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Arkansas Forward: Recommended Walk Phase AI Use Cases</w:t>
      </w:r>
    </w:p>
    <w:p>
      <w:pPr>
        <w:jc w:val="center"/>
      </w:pPr>
      <w:r>
        <w:rPr>
          <w:b/>
          <w:sz w:val="28"/>
        </w:rPr>
        <w:t>Accelerating Value from the State's ERP Transformation — A Guide for Arkansas Leaders</w:t>
      </w:r>
    </w:p>
    <w:p>
      <w:pPr>
        <w:jc w:val="center"/>
      </w:pPr>
      <w:r>
        <w:rPr>
          <w:sz w:val="22"/>
        </w:rPr>
        <w:t>April 2026 | Draft for Discussion</w:t>
      </w:r>
    </w:p>
    <w:p>
      <w:pPr>
        <w:jc w:val="center"/>
      </w:pPr>
      <w:r>
        <w:rPr>
          <w:i/>
          <w:sz w:val="22"/>
        </w:rPr>
        <w:t>This paper outlines eight AI-enabled use cases recommended for the Walk Phase of Arkansas's ERP transformation, building on the planned July 2026 go-live.</w:t>
      </w:r>
    </w:p>
    <w:p/>
    <w:p>
      <w:pPr>
        <w:pStyle w:val="Heading1"/>
      </w:pPr>
      <w:r>
        <w:t>Executive Summary</w:t>
      </w:r>
    </w:p>
    <w:p>
      <w:pPr/>
      <w:r>
        <w:t>Arkansas is at an inflection point. The planned July 2026 go-live of the state's integrated enterprise resource planning system — covering finance, procurement, and human resources — creates a foundation for AI-enabled improvements that were not previously possible at scale. The Arkansas Forward initiative has identified a $300 million savings target across six years. This paper outlines eight practical AI use cases that can be pursued in the months following go-live, each grounded in the state's documented priorities and in proven examples from comparable government organizations.</w:t>
      </w:r>
    </w:p>
    <w:p>
      <w:r>
        <w:t>These use cases reflect the "Walk Phase" of a Crawl–Walk–Run implementation strategy. The Crawl Phase establishes the foundational platform — the ERP system itself, the AI assistant layer, and the unified work portal. The Walk Phase activates targeted, high-value capabilities that build on that foundation. Walk Phase use cases have clear and measurable value, can be scoped within a 90-day planning window after go-live, and do not require new or duplicate technology investments. They activate capabilities within the platform Arkansas is already deploying.</w:t>
      </w:r>
    </w:p>
    <w:p>
      <w:r>
        <w:t>Each use case in this paper is supported by a real-world government reference from SAP's Innovation Award program, demonstrating that comparable organizations — including U.S. state agencies, municipal governments, and international public sector bodies — have achieved measurable results with the same underlying capabilities. Arkansas has the advantage of learning from these examples and can move faster because the platform foundation will already be in place.</w:t>
      </w:r>
    </w:p>
    <w:p>
      <w:pPr>
        <w:pStyle w:val="Heading1"/>
      </w:pPr>
      <w:r>
        <w:t>Strategic Context</w:t>
      </w:r>
    </w:p>
    <w:p>
      <w:r>
        <w:t>The Arkansas Forward initiative, launched in 2024, identified $300 million in potential savings and cost avoidance over six years. The five focus areas are information technology ($65–$130 million), procurement ($140–$230 million), fleet management ($3–$5 million annually), personnel, and real estate. The state spends approximately $1.7 billion annually on procurement across more than 200 agencies that largely buy independently — the largest single savings opportunity identified by the initiative. In parallel, the state's February 2026 executive order on permitting reform specifically calls for the use of artificial intelligence to expedite permit processing across agencies in agriculture, energy, labor, and health.</w:t>
      </w:r>
    </w:p>
    <w:p>
      <w:r>
        <w:t>The state's AI Center of Excellence published a report in February 2026 recommending AI investments across four pillars: workforce productivity, operational efficiencies, program integrity, and digital government services. The use cases in this paper align directly with these pillars. Where AI systems affect citizen benefits, eligibility determinations, or other consequential decisions, Arkansas Act 848 (HB 1958) requires that human decision-makers retain final authority. No AI system may replace human judgment in these contexts — it may only provide analysis, flags, and recommendations to support the humans who remain accountable.</w:t>
      </w:r>
    </w:p>
    <w:p>
      <w:pPr>
        <w:pStyle w:val="Heading1"/>
      </w:pPr>
      <w:r>
        <w:t>Use Case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Use Case</w:t>
            </w:r>
          </w:p>
        </w:tc>
        <w:tc>
          <w:tcPr>
            <w:tcW w:type="dxa" w:w="1728"/>
          </w:tcPr>
          <w:p>
            <w:r>
              <w:rPr>
                <w:b/>
                <w:sz w:val="18"/>
              </w:rPr>
              <w:t>Strategic Alignment</w:t>
            </w:r>
          </w:p>
        </w:tc>
        <w:tc>
          <w:tcPr>
            <w:tcW w:type="dxa" w:w="1728"/>
          </w:tcPr>
          <w:p>
            <w:r>
              <w:rPr>
                <w:b/>
                <w:sz w:val="18"/>
              </w:rPr>
              <w:t>AI Capabilities</w:t>
            </w:r>
          </w:p>
        </w:tc>
        <w:tc>
          <w:tcPr>
            <w:tcW w:type="dxa" w:w="1728"/>
          </w:tcPr>
          <w:p>
            <w:r>
              <w:rPr>
                <w:b/>
                <w:sz w:val="18"/>
              </w:rPr>
              <w:t>Estimated Value</w:t>
            </w:r>
          </w:p>
        </w:tc>
        <w:tc>
          <w:tcPr>
            <w:tcW w:type="dxa" w:w="1728"/>
          </w:tcPr>
          <w:p>
            <w:r>
              <w:rPr>
                <w:b/>
                <w:sz w:val="18"/>
              </w:rPr>
              <w:t>Licensing</w:t>
            </w:r>
          </w:p>
        </w:tc>
      </w:tr>
      <w:tr>
        <w:tc>
          <w:tcPr>
            <w:tcW w:type="dxa" w:w="1728"/>
          </w:tcPr>
          <w:p>
            <w:r>
              <w:rPr>
                <w:sz w:val="18"/>
              </w:rPr>
              <w:t>1 — Benefits and Claims Fraud Detection</w:t>
            </w:r>
          </w:p>
        </w:tc>
        <w:tc>
          <w:tcPr>
            <w:tcW w:type="dxa" w:w="1728"/>
          </w:tcPr>
          <w:p>
            <w:r>
              <w:rPr>
                <w:sz w:val="18"/>
              </w:rPr>
              <w:t>Program Integrity</w:t>
            </w:r>
          </w:p>
        </w:tc>
        <w:tc>
          <w:tcPr>
            <w:tcW w:type="dxa" w:w="1728"/>
          </w:tcPr>
          <w:p>
            <w:r>
              <w:rPr>
                <w:sz w:val="18"/>
              </w:rPr>
              <w:t>Detects anomalous patterns in claims and payments; flags duplicates and eligibility inconsistencies for human review</w:t>
            </w:r>
          </w:p>
        </w:tc>
        <w:tc>
          <w:tcPr>
            <w:tcW w:type="dxa" w:w="1728"/>
          </w:tcPr>
          <w:p>
            <w:r>
              <w:rPr>
                <w:sz w:val="18"/>
              </w:rPr>
              <w:t>$2M–$10M in prevented improper payments/yr</w:t>
            </w:r>
          </w:p>
        </w:tc>
        <w:tc>
          <w:tcPr>
            <w:tcW w:type="dxa" w:w="1728"/>
          </w:tcPr>
          <w:p>
            <w:r>
              <w:rPr>
                <w:sz w:val="18"/>
              </w:rPr>
              <w:t>Additional AI licensing required</w:t>
            </w:r>
          </w:p>
        </w:tc>
      </w:tr>
      <w:tr>
        <w:tc>
          <w:tcPr>
            <w:tcW w:type="dxa" w:w="1728"/>
          </w:tcPr>
          <w:p>
            <w:r>
              <w:rPr>
                <w:sz w:val="18"/>
              </w:rPr>
              <w:t>2 — Automated Payment Matching</w:t>
            </w:r>
          </w:p>
        </w:tc>
        <w:tc>
          <w:tcPr>
            <w:tcW w:type="dxa" w:w="1728"/>
          </w:tcPr>
          <w:p>
            <w:r>
              <w:rPr>
                <w:sz w:val="18"/>
              </w:rPr>
              <w:t>Operational Efficiency</w:t>
            </w:r>
          </w:p>
        </w:tc>
        <w:tc>
          <w:tcPr>
            <w:tcW w:type="dxa" w:w="1728"/>
          </w:tcPr>
          <w:p>
            <w:r>
              <w:rPr>
                <w:sz w:val="18"/>
              </w:rPr>
              <w:t>Automatically matches incoming payments to open invoices; routes exceptions to staff</w:t>
            </w:r>
          </w:p>
        </w:tc>
        <w:tc>
          <w:tcPr>
            <w:tcW w:type="dxa" w:w="1728"/>
          </w:tcPr>
          <w:p>
            <w:r>
              <w:rPr>
                <w:sz w:val="18"/>
              </w:rPr>
              <w:t>Staff hours saved; faster month-end close</w:t>
            </w:r>
          </w:p>
        </w:tc>
        <w:tc>
          <w:tcPr>
            <w:tcW w:type="dxa" w:w="1728"/>
          </w:tcPr>
          <w:p>
            <w:r>
              <w:rPr>
                <w:sz w:val="18"/>
              </w:rPr>
              <w:t>Premium AI licensing required</w:t>
            </w:r>
          </w:p>
        </w:tc>
      </w:tr>
      <w:tr>
        <w:tc>
          <w:tcPr>
            <w:tcW w:type="dxa" w:w="1728"/>
          </w:tcPr>
          <w:p>
            <w:r>
              <w:rPr>
                <w:sz w:val="18"/>
              </w:rPr>
              <w:t>3 — Procurement Spend Consolidation</w:t>
            </w:r>
          </w:p>
        </w:tc>
        <w:tc>
          <w:tcPr>
            <w:tcW w:type="dxa" w:w="1728"/>
          </w:tcPr>
          <w:p>
            <w:r>
              <w:rPr>
                <w:sz w:val="18"/>
              </w:rPr>
              <w:t>Arkansas Forward Procurement</w:t>
            </w:r>
          </w:p>
        </w:tc>
        <w:tc>
          <w:tcPr>
            <w:tcW w:type="dxa" w:w="1728"/>
          </w:tcPr>
          <w:p>
            <w:r>
              <w:rPr>
                <w:sz w:val="18"/>
              </w:rPr>
              <w:t>Analyzes spending patterns across agencies; surfaces consolidation and savings opportunities</w:t>
            </w:r>
          </w:p>
        </w:tc>
        <w:tc>
          <w:tcPr>
            <w:tcW w:type="dxa" w:w="1728"/>
          </w:tcPr>
          <w:p>
            <w:r>
              <w:rPr>
                <w:sz w:val="18"/>
              </w:rPr>
              <w:t>$10M–$20M/yr (part of $140M–$230M target)</w:t>
            </w:r>
          </w:p>
        </w:tc>
        <w:tc>
          <w:tcPr>
            <w:tcW w:type="dxa" w:w="1728"/>
          </w:tcPr>
          <w:p>
            <w:r>
              <w:rPr>
                <w:sz w:val="18"/>
              </w:rPr>
              <w:t>Included in base platform</w:t>
            </w:r>
          </w:p>
        </w:tc>
      </w:tr>
      <w:tr>
        <w:tc>
          <w:tcPr>
            <w:tcW w:type="dxa" w:w="1728"/>
          </w:tcPr>
          <w:p>
            <w:r>
              <w:rPr>
                <w:sz w:val="18"/>
              </w:rPr>
              <w:t>4 — Invoice and Document Processing</w:t>
            </w:r>
          </w:p>
        </w:tc>
        <w:tc>
          <w:tcPr>
            <w:tcW w:type="dxa" w:w="1728"/>
          </w:tcPr>
          <w:p>
            <w:r>
              <w:rPr>
                <w:sz w:val="18"/>
              </w:rPr>
              <w:t>Operational Efficiency</w:t>
            </w:r>
          </w:p>
        </w:tc>
        <w:tc>
          <w:tcPr>
            <w:tcW w:type="dxa" w:w="1728"/>
          </w:tcPr>
          <w:p>
            <w:r>
              <w:rPr>
                <w:sz w:val="18"/>
              </w:rPr>
              <w:t>Reads and extracts data from incoming documents automatically; validates against purchase orders</w:t>
            </w:r>
          </w:p>
        </w:tc>
        <w:tc>
          <w:tcPr>
            <w:tcW w:type="dxa" w:w="1728"/>
          </w:tcPr>
          <w:p>
            <w:r>
              <w:rPr>
                <w:sz w:val="18"/>
              </w:rPr>
              <w:t>$300K–$500K direct savings</w:t>
            </w:r>
          </w:p>
        </w:tc>
        <w:tc>
          <w:tcPr>
            <w:tcW w:type="dxa" w:w="1728"/>
          </w:tcPr>
          <w:p>
            <w:r>
              <w:rPr>
                <w:sz w:val="18"/>
              </w:rPr>
              <w:t>Premium AI licensing required</w:t>
            </w:r>
          </w:p>
        </w:tc>
      </w:tr>
      <w:tr>
        <w:tc>
          <w:tcPr>
            <w:tcW w:type="dxa" w:w="1728"/>
          </w:tcPr>
          <w:p>
            <w:r>
              <w:rPr>
                <w:sz w:val="18"/>
              </w:rPr>
              <w:t>5 — Workforce Retention Analytics</w:t>
            </w:r>
          </w:p>
        </w:tc>
        <w:tc>
          <w:tcPr>
            <w:tcW w:type="dxa" w:w="1728"/>
          </w:tcPr>
          <w:p>
            <w:r>
              <w:rPr>
                <w:sz w:val="18"/>
              </w:rPr>
              <w:t>Personnel / Workforce Productivity</w:t>
            </w:r>
          </w:p>
        </w:tc>
        <w:tc>
          <w:tcPr>
            <w:tcW w:type="dxa" w:w="1728"/>
          </w:tcPr>
          <w:p>
            <w:r>
              <w:rPr>
                <w:sz w:val="18"/>
              </w:rPr>
              <w:t>Identifies flight-risk employees; surfaces attrition patterns by agency and role</w:t>
            </w:r>
          </w:p>
        </w:tc>
        <w:tc>
          <w:tcPr>
            <w:tcW w:type="dxa" w:w="1728"/>
          </w:tcPr>
          <w:p>
            <w:r>
              <w:rPr>
                <w:sz w:val="18"/>
              </w:rPr>
              <w:t>$5K–$15K per retained employee</w:t>
            </w:r>
          </w:p>
        </w:tc>
        <w:tc>
          <w:tcPr>
            <w:tcW w:type="dxa" w:w="1728"/>
          </w:tcPr>
          <w:p>
            <w:r>
              <w:rPr>
                <w:sz w:val="18"/>
              </w:rPr>
              <w:t>Core HR analytics included; predictive features may require additional SAC licensing</w:t>
            </w:r>
          </w:p>
        </w:tc>
      </w:tr>
      <w:tr>
        <w:tc>
          <w:tcPr>
            <w:tcW w:type="dxa" w:w="1728"/>
          </w:tcPr>
          <w:p>
            <w:r>
              <w:rPr>
                <w:sz w:val="18"/>
              </w:rPr>
              <w:t>6 — Program Cost Transparency</w:t>
            </w:r>
          </w:p>
        </w:tc>
        <w:tc>
          <w:tcPr>
            <w:tcW w:type="dxa" w:w="1728"/>
          </w:tcPr>
          <w:p>
            <w:r>
              <w:rPr>
                <w:sz w:val="18"/>
              </w:rPr>
              <w:t>Arkansas Forward Accountability</w:t>
            </w:r>
          </w:p>
        </w:tc>
        <w:tc>
          <w:tcPr>
            <w:tcW w:type="dxa" w:w="1728"/>
          </w:tcPr>
          <w:p>
            <w:r>
              <w:rPr>
                <w:sz w:val="18"/>
              </w:rPr>
              <w:t>Allocates shared costs across programs; produces fully-loaded cost view of state services</w:t>
            </w:r>
          </w:p>
        </w:tc>
        <w:tc>
          <w:tcPr>
            <w:tcW w:type="dxa" w:w="1728"/>
          </w:tcPr>
          <w:p>
            <w:r>
              <w:rPr>
                <w:sz w:val="18"/>
              </w:rPr>
              <w:t>Foundational for $300M savings identification</w:t>
            </w:r>
          </w:p>
        </w:tc>
        <w:tc>
          <w:tcPr>
            <w:tcW w:type="dxa" w:w="1728"/>
          </w:tcPr>
          <w:p>
            <w:r>
              <w:rPr>
                <w:sz w:val="18"/>
              </w:rPr>
              <w:t>Separate module licensing required (not included in base platform)</w:t>
            </w:r>
          </w:p>
        </w:tc>
      </w:tr>
      <w:tr>
        <w:tc>
          <w:tcPr>
            <w:tcW w:type="dxa" w:w="1728"/>
          </w:tcPr>
          <w:p>
            <w:r>
              <w:rPr>
                <w:sz w:val="18"/>
              </w:rPr>
              <w:t>7 — Emergency and Continuity Planning</w:t>
            </w:r>
          </w:p>
        </w:tc>
        <w:tc>
          <w:tcPr>
            <w:tcW w:type="dxa" w:w="1728"/>
          </w:tcPr>
          <w:p>
            <w:r>
              <w:rPr>
                <w:sz w:val="18"/>
              </w:rPr>
              <w:t>Operational Resilience</w:t>
            </w:r>
          </w:p>
        </w:tc>
        <w:tc>
          <w:tcPr>
            <w:tcW w:type="dxa" w:w="1728"/>
          </w:tcPr>
          <w:p>
            <w:r>
              <w:rPr>
                <w:sz w:val="18"/>
              </w:rPr>
              <w:t>Models cross-agency financial and workforce scenarios; supports disaster and budget contingency planning</w:t>
            </w:r>
          </w:p>
        </w:tc>
        <w:tc>
          <w:tcPr>
            <w:tcW w:type="dxa" w:w="1728"/>
          </w:tcPr>
          <w:p>
            <w:r>
              <w:rPr>
                <w:sz w:val="18"/>
              </w:rPr>
              <w:t>Supports $300M savings identification</w:t>
            </w:r>
          </w:p>
        </w:tc>
        <w:tc>
          <w:tcPr>
            <w:tcW w:type="dxa" w:w="1728"/>
          </w:tcPr>
          <w:p>
            <w:r>
              <w:rPr>
                <w:sz w:val="18"/>
              </w:rPr>
              <w:t>Included in base platform</w:t>
            </w:r>
          </w:p>
        </w:tc>
      </w:tr>
      <w:tr>
        <w:tc>
          <w:tcPr>
            <w:tcW w:type="dxa" w:w="1728"/>
          </w:tcPr>
          <w:p>
            <w:r>
              <w:rPr>
                <w:sz w:val="18"/>
              </w:rPr>
              <w:t>8 — Fleet and Asset Management</w:t>
            </w:r>
          </w:p>
        </w:tc>
        <w:tc>
          <w:tcPr>
            <w:tcW w:type="dxa" w:w="1728"/>
          </w:tcPr>
          <w:p>
            <w:r>
              <w:rPr>
                <w:sz w:val="18"/>
              </w:rPr>
              <w:t>Arkansas Forward Fleet Pillar</w:t>
            </w:r>
          </w:p>
        </w:tc>
        <w:tc>
          <w:tcPr>
            <w:tcW w:type="dxa" w:w="1728"/>
          </w:tcPr>
          <w:p>
            <w:r>
              <w:rPr>
                <w:sz w:val="18"/>
              </w:rPr>
              <w:t>Analyzes utilization; predicts maintenance needs; identifies underused assets for consolidation</w:t>
            </w:r>
          </w:p>
        </w:tc>
        <w:tc>
          <w:tcPr>
            <w:tcW w:type="dxa" w:w="1728"/>
          </w:tcPr>
          <w:p>
            <w:r>
              <w:rPr>
                <w:sz w:val="18"/>
              </w:rPr>
              <w:t>$3M–$5M/yr (Arkansas Forward fleet target)</w:t>
            </w:r>
          </w:p>
        </w:tc>
        <w:tc>
          <w:tcPr>
            <w:tcW w:type="dxa" w:w="1728"/>
          </w:tcPr>
          <w:p>
            <w:r>
              <w:rPr>
                <w:sz w:val="18"/>
              </w:rPr>
              <w:t>Separate module licensing required for asset performance management</w:t>
            </w:r>
          </w:p>
        </w:tc>
      </w:tr>
    </w:tbl>
    <w:p/>
    <w:p>
      <w:pPr>
        <w:pStyle w:val="Heading1"/>
      </w:pPr>
      <w:r>
        <w:t>Use Case Descriptions</w:t>
      </w:r>
    </w:p>
    <w:p>
      <w:pPr>
        <w:pStyle w:val="Heading2"/>
      </w:pPr>
      <w:r>
        <w:t>1. Benefits and Claims Fraud Detection</w:t>
      </w:r>
    </w:p>
    <w:p>
      <w:r>
        <w:t>Arkansas administers unemployment insurance, food assistance, and Medicaid — programs collectively totaling billions of dollars in annual payments. Without automated screening, fraudulent or erroneous payments can go undetected until audits surface them years later. The state's food assistance program carried an error rate of 9.56 percent in recent measurement against a federal threshold of 6 percent; states that remain above that threshold face financial penalties starting in federal fiscal year 2028. AI can help by continuously comparing claims records against known patterns of fraud — flagging duplicate submissions, suspicious provider billing, and eligibility inconsistencies for human investigators to review. Importantly, under Arkansas Act 848, no automated system may make a final determination affecting a citizen's benefits; every flag generated by the system goes to a trained caseworker who makes the actual decision. When deployed, this capability requires additional AI licensing beyond the base ERP subscription — a cost that should be evaluated against the value of payments protected. Comparable government organizations have demonstrated that this type of AI screening can protect millions of dollars annually when properly configured and staffed.</w:t>
      </w:r>
    </w:p>
    <w:p>
      <w:pPr>
        <w:spacing w:before="60" w:after="60"/>
        <w:ind w:left="360"/>
      </w:pPr>
      <w:r>
        <w:rPr>
          <w:i/>
          <w:sz w:val="20"/>
        </w:rPr>
        <w:t xml:space="preserve">Peer Reference: SERVICIO PUBLICO DE EMPLEO ESTATAL (Spain), 2025 — Transformed public unemployment benefits management, achieving significant reductions in processing time. </w:t>
      </w:r>
      <w:hyperlink r:id="rId9">
        <w:r>
          <w:rPr>
            <w:rStyle w:val="Hyperlink"/>
            <w:color w:val="0563C1"/>
            <w:u w:val="single"/>
          </w:rPr>
          <w:t xml:space="preserve">View submission.</w:t>
        </w:r>
      </w:hyperlink>
    </w:p>
    <w:p>
      <w:pPr>
        <w:spacing w:before="60" w:after="60"/>
        <w:ind w:left="360"/>
      </w:pPr>
      <w:r>
        <w:rPr>
          <w:i/>
          <w:sz w:val="20"/>
        </w:rPr>
        <w:t xml:space="preserve">Peer Reference: City of Madrid, 2026 — Consolidated 12 million fragmented taxpayer records into 5.1 million verified golden records, saving 10,000 workdays annually. </w:t>
      </w:r>
      <w:hyperlink r:id="rId10">
        <w:r>
          <w:rPr>
            <w:rStyle w:val="Hyperlink"/>
            <w:color w:val="0563C1"/>
            <w:u w:val="single"/>
          </w:rPr>
          <w:t xml:space="preserve">View submission.</w:t>
        </w:r>
      </w:hyperlink>
    </w:p>
    <w:p>
      <w:pPr>
        <w:pStyle w:val="Heading2"/>
      </w:pPr>
      <w:r>
        <w:t>2. Automated Payment Matching</w:t>
      </w:r>
    </w:p>
    <w:p>
      <w:r>
        <w:t>The Department of Finance and Administration and dozens of state agencies receive payments from citizens, vendors, and federal sources every day. Matching each incoming payment to the correct open invoice or account is a time-consuming manual process prone to error, and delays in matching extend the time it takes to close the books each month. AI-powered payment matching learns from historical payment data to automatically pair incoming funds with outstanding invoices — handling the straightforward cases without human intervention and routing only the exceptions to staff for review. Over time, the system improves its own accuracy as it processes more transactions. The result is a faster month-end close, fewer aging receivables, and staff time freed from repetitive matching work to focus on exception resolution and financial analysis. This AI-powered matching capability requires premium licensing beyond the base ERP subscription — a cost that should be weighed against the staff time savings and faster revenue recognition it enables. Several organizations of comparable scale have used this capability to cut invoice processing time by half.</w:t>
      </w:r>
    </w:p>
    <w:p>
      <w:pPr>
        <w:spacing w:before="60" w:after="60"/>
        <w:ind w:left="360"/>
      </w:pPr>
      <w:r>
        <w:rPr>
          <w:i/>
          <w:sz w:val="20"/>
        </w:rPr>
        <w:t xml:space="preserve">Peer Reference: Sony Pictures Network India, 2024 — Achieved 50% reduction in supplier invoice processing time. </w:t>
      </w:r>
      <w:hyperlink r:id="rId11">
        <w:r>
          <w:rPr>
            <w:rStyle w:val="Hyperlink"/>
            <w:color w:val="0563C1"/>
            <w:u w:val="single"/>
          </w:rPr>
          <w:t xml:space="preserve">View submission.</w:t>
        </w:r>
      </w:hyperlink>
    </w:p>
    <w:p>
      <w:pPr>
        <w:spacing w:before="60" w:after="60"/>
        <w:ind w:left="360"/>
      </w:pPr>
      <w:r>
        <w:rPr>
          <w:i/>
          <w:sz w:val="20"/>
        </w:rPr>
        <w:t xml:space="preserve">Peer Reference: Imperial Brands PLC, 2025 — Delivered seamless invoice, payment, and cashflow management across global operations. </w:t>
      </w:r>
      <w:hyperlink r:id="rId12">
        <w:r>
          <w:rPr>
            <w:rStyle w:val="Hyperlink"/>
            <w:color w:val="0563C1"/>
            <w:u w:val="single"/>
          </w:rPr>
          <w:t xml:space="preserve">View submission.</w:t>
        </w:r>
      </w:hyperlink>
    </w:p>
    <w:p>
      <w:pPr>
        <w:pStyle w:val="Heading2"/>
      </w:pPr>
      <w:r>
        <w:t>3. Procurement Spend Consolidation Intelligence</w:t>
      </w:r>
    </w:p>
    <w:p>
      <w:r>
        <w:t>Arkansas spends approximately $1.7 billion annually on goods and services purchased across more than 200 agencies. Arkansas Forward found that agencies largely procure independently, meaning the state routinely pays different prices for the same items and misses the volume discounts that consolidated purchasing would generate. The initiative estimated $140 to $230 million in potential savings from procurement consolidation — the largest single savings opportunity identified. AI can accelerate this work by analyzing purchasing data across all agencies simultaneously, identifying where the same or equivalent items are being purchased from different vendors at different prices, surfacing the top opportunities for consolidation, and flagging purchases that fall outside established contracts. This gives procurement leaders a clear, evidence-based starting point for consolidation negotiations rather than requiring months of manual spend analysis. As the state's new eProcurement system (ARBuy) comes online alongside the core ERP, the quality of data available for this analysis will grow. Comparable government procurement programs have used this type of AI analysis to eliminate hundreds of thousands of repetitive tasks and cut contract processing time by ninety percent.</w:t>
      </w:r>
    </w:p>
    <w:p>
      <w:pPr>
        <w:spacing w:before="60" w:after="60"/>
        <w:ind w:left="360"/>
      </w:pPr>
      <w:r>
        <w:rPr>
          <w:i/>
          <w:sz w:val="20"/>
        </w:rPr>
        <w:t xml:space="preserve">Peer Reference: Transport for NSW, 2024 — Transformed government procurement with guided buying, achieving 50% reduction in time to complete common tasks. </w:t>
      </w:r>
      <w:hyperlink r:id="rId13">
        <w:r>
          <w:rPr>
            <w:rStyle w:val="Hyperlink"/>
            <w:color w:val="0563C1"/>
            <w:u w:val="single"/>
          </w:rPr>
          <w:t xml:space="preserve">View submission.</w:t>
        </w:r>
      </w:hyperlink>
    </w:p>
    <w:p>
      <w:pPr>
        <w:spacing w:before="60" w:after="60"/>
        <w:ind w:left="360"/>
      </w:pPr>
      <w:r>
        <w:rPr>
          <w:i/>
          <w:sz w:val="20"/>
        </w:rPr>
        <w:t xml:space="preserve">Peer Reference: Junta de Castilla y León (Spain), 2026 — Eliminated 400,000 repetitive procurement tasks in six months, reducing processing time by 90%. </w:t>
      </w:r>
      <w:hyperlink r:id="rId14">
        <w:r>
          <w:rPr>
            <w:rStyle w:val="Hyperlink"/>
            <w:color w:val="0563C1"/>
            <w:u w:val="single"/>
          </w:rPr>
          <w:t xml:space="preserve">View submission.</w:t>
        </w:r>
      </w:hyperlink>
    </w:p>
    <w:p>
      <w:pPr>
        <w:pStyle w:val="Heading2"/>
      </w:pPr>
      <w:r>
        <w:t>4. Invoice and Document Processing Automation</w:t>
      </w:r>
    </w:p>
    <w:p>
      <w:r>
        <w:t>State agencies receive thousands of invoices, applications, and supporting documents every month. Staff currently spend significant time manually reading these documents, keying information into systems, and checking for errors — work that is repetitive, error-prone, and difficult to scale during high-volume periods. AI-powered document processing changes this by reading incoming documents automatically, extracting the relevant fields, validating the extracted data against purchase orders and master records, and routing any exceptions to staff for review. Documents that pass validation move through the process without manual intervention; only the exceptions require human attention. Research consistently shows that organizations implementing this type of automation reduce manual data entry by 70 to 85 percent. For a state processing the volume of invoices associated with $1.7 billion in annual procurement, even a partial reduction in manual processing translates to significant staff time savings and faster payments to vendors. This document AI capability requires premium licensing beyond the base ERP subscription, and the business case is straightforward: at the volume of invoices the state processes against $1.7 billion in annual procurement, the staff hours saved will typically justify the cost within the first year.</w:t>
      </w:r>
    </w:p>
    <w:p>
      <w:pPr>
        <w:spacing w:before="60" w:after="60"/>
        <w:ind w:left="360"/>
      </w:pPr>
      <w:r>
        <w:rPr>
          <w:i/>
          <w:sz w:val="20"/>
        </w:rPr>
        <w:t xml:space="preserve">Peer Reference: Diakonie Nord Nord Ost, 2025 — Pioneered automatic, standardized purchase-to-pay processing in the social services sector, reducing manual effort by 64%. </w:t>
      </w:r>
      <w:hyperlink r:id="rId15">
        <w:r>
          <w:rPr>
            <w:rStyle w:val="Hyperlink"/>
            <w:color w:val="0563C1"/>
            <w:u w:val="single"/>
          </w:rPr>
          <w:t xml:space="preserve">View submission.</w:t>
        </w:r>
      </w:hyperlink>
    </w:p>
    <w:p>
      <w:pPr>
        <w:spacing w:before="60" w:after="60"/>
        <w:ind w:left="360"/>
      </w:pPr>
      <w:r>
        <w:rPr>
          <w:i/>
          <w:sz w:val="20"/>
        </w:rPr>
        <w:t xml:space="preserve">Peer Reference: City of Tacoma, 2026 — AI-enabled S/4HANA transformation achieving 70%+ automation rate and 30–50% faster analytics delivery. </w:t>
      </w:r>
      <w:hyperlink r:id="rId16">
        <w:r>
          <w:rPr>
            <w:rStyle w:val="Hyperlink"/>
            <w:color w:val="0563C1"/>
            <w:u w:val="single"/>
          </w:rPr>
          <w:t xml:space="preserve">View submission.</w:t>
        </w:r>
      </w:hyperlink>
    </w:p>
    <w:p>
      <w:pPr>
        <w:pStyle w:val="Heading2"/>
      </w:pPr>
      <w:r>
        <w:t>5. Workforce Retention Analytics</w:t>
      </w:r>
    </w:p>
    <w:p>
      <w:r>
        <w:t>Arkansas state government employs approximately 22,500 people in the executive branch and has documented workforce retention challenges across agencies. The state's $139 million pay plan addresses the compensation dimension of retention — but pay is rarely the only reason employees leave. Understanding which roles, agencies, and tenure bands carry the highest attrition risk, and why, allows HR leaders and agency directors to make targeted decisions about where retention investments will have the greatest impact. Some workforce analytics capabilities are already available through the human resources components of the system that went live earlier this year; these will expand significantly after the full July 2026 go-live. AI-powered analytics can surface patterns in voluntary departures, identify employees showing early warning indicators of disengagement, and help leaders prioritize where to act. At a conservative estimate of $5,000 to $15,000 in recruitment and training costs per departure, a one percent reduction in voluntary attrition across the state workforce represents millions of dollars in avoided costs annually — and, more importantly, continuity of service to Arkansas residents. Core HR reporting capabilities are available within the existing HR platform already in use; the more advanced predictive analytics — identifying flight risk before an employee decides to leave — may require additional analytics licensing and some configuration work to deploy fully.</w:t>
      </w:r>
    </w:p>
    <w:p>
      <w:pPr>
        <w:spacing w:before="60" w:after="60"/>
        <w:ind w:left="360"/>
      </w:pPr>
      <w:r>
        <w:rPr>
          <w:i/>
          <w:sz w:val="20"/>
        </w:rPr>
        <w:t xml:space="preserve">Peer Reference: Swiss Post, 2024 — Self-service HR data analytics using SAP Datasphere, achieving a 30% reduction in development tasks and improved workforce visibility. </w:t>
      </w:r>
      <w:hyperlink r:id="rId17">
        <w:r>
          <w:rPr>
            <w:rStyle w:val="Hyperlink"/>
            <w:color w:val="0563C1"/>
            <w:u w:val="single"/>
          </w:rPr>
          <w:t xml:space="preserve">View submission.</w:t>
        </w:r>
      </w:hyperlink>
    </w:p>
    <w:p>
      <w:pPr>
        <w:spacing w:before="60" w:after="60"/>
        <w:ind w:left="360"/>
      </w:pPr>
      <w:r>
        <w:rPr>
          <w:i/>
          <w:sz w:val="20"/>
        </w:rPr>
        <w:t xml:space="preserve">Peer Reference: California Department of Corrections and Rehabilitation, 2026 — Migrated from legacy ERP to S/4HANA Cloud Private Edition, reducing manual reporting effort by 20% and achieving 100% user adoption. </w:t>
      </w:r>
      <w:hyperlink r:id="rId18">
        <w:r>
          <w:rPr>
            <w:rStyle w:val="Hyperlink"/>
            <w:color w:val="0563C1"/>
            <w:u w:val="single"/>
          </w:rPr>
          <w:t xml:space="preserve">View submission.</w:t>
        </w:r>
      </w:hyperlink>
    </w:p>
    <w:p>
      <w:pPr>
        <w:pStyle w:val="Heading2"/>
      </w:pPr>
      <w:r>
        <w:t>6. Program Cost Transparency</w:t>
      </w:r>
    </w:p>
    <w:p>
      <w:r>
        <w:t>Arkansas manages a budget exceeding $6 billion across more than 200 agencies, many of which share centralized services — information technology, facilities, fleet management, and human resources administration. Without a clear view of how those shared costs are allocated across programs, it is difficult to know what any given service actually costs to deliver. This makes it hard to identify where consolidation would save money, where programs are being subsidized by others, and where the $300 million Arkansas Forward savings target can realistically be achieved. AI-assisted cost allocation models distribute shared service costs across programs and agencies based on actual usage, producing a fully-loaded view of what each program costs to run. This also supports the state's obligations under governmental accounting standards that require improved cost reporting. This capability is a separately licensed module not included in the base ERP platform. Government organizations that have implemented this type of cost transparency have described it as foundational — not a destination in itself, but the prerequisite for nearly every data-driven savings decision that follows. Given that it directly enables identification of the $300 million Arkansas Forward target, the licensing investment warrants serious consideration early in the roadmap.</w:t>
      </w:r>
    </w:p>
    <w:p>
      <w:pPr>
        <w:spacing w:before="60" w:after="60"/>
        <w:ind w:left="360"/>
      </w:pPr>
      <w:r>
        <w:rPr>
          <w:i/>
          <w:sz w:val="20"/>
        </w:rPr>
        <w:t xml:space="preserve">Peer Reference: State of California, Department of Water Resources, 2025 — Automated and transparent billing platform delivering a threefold increase in cost transparency. </w:t>
      </w:r>
      <w:hyperlink r:id="rId19">
        <w:r>
          <w:rPr>
            <w:rStyle w:val="Hyperlink"/>
            <w:color w:val="0563C1"/>
            <w:u w:val="single"/>
          </w:rPr>
          <w:t xml:space="preserve">View submission.</w:t>
        </w:r>
      </w:hyperlink>
    </w:p>
    <w:p>
      <w:pPr>
        <w:spacing w:before="60" w:after="60"/>
        <w:ind w:left="360"/>
      </w:pPr>
      <w:r>
        <w:rPr>
          <w:i/>
          <w:sz w:val="20"/>
        </w:rPr>
        <w:t xml:space="preserve">Peer Reference: Canton of Zurich, 2025 — Modernized government budget planning, significantly reducing sources needed in the annual budgeting cycle. </w:t>
      </w:r>
      <w:hyperlink r:id="rId20">
        <w:r>
          <w:rPr>
            <w:rStyle w:val="Hyperlink"/>
            <w:color w:val="0563C1"/>
            <w:u w:val="single"/>
          </w:rPr>
          <w:t xml:space="preserve">View submission.</w:t>
        </w:r>
      </w:hyperlink>
    </w:p>
    <w:p>
      <w:pPr>
        <w:pStyle w:val="Heading2"/>
      </w:pPr>
      <w:r>
        <w:t>7. Emergency and Continuity Planning</w:t>
      </w:r>
    </w:p>
    <w:p>
      <w:r>
        <w:t>Arkansas faces significant risk from tornadoes and severe weather events, and state government must be able to respond rapidly when those events occur — pre-positioning resources, reallocating budgets, and adjusting workforce deployments across agencies in ways that are currently difficult to coordinate. Beyond emergency response, the state also needs to model the budget impacts of scenarios it cannot fully control: a surge in Medicaid enrollment, a shortfall in tax receipts, a change in federal funding. Integrated planning tools address this by connecting financial, workforce, and operational data into a single environment where decision-makers can run scenario analyses and see the cascading implications across agencies before committing resources. What once required weeks of spreadsheet reconciliation across departments can be modeled and reviewed in hours. This is the same type of integrated planning capability recommended in the AI Center of Excellence's 2026 report for connecting financial and operational decision-making across the enterprise. The capability is part of the base platform, and the discipline of building connected planning models also directly supports the ongoing work of identifying where the $300 million Arkansas Forward target can be met.</w:t>
      </w:r>
    </w:p>
    <w:p>
      <w:pPr>
        <w:spacing w:before="60" w:after="60"/>
        <w:ind w:left="360"/>
      </w:pPr>
      <w:r>
        <w:rPr>
          <w:i/>
          <w:sz w:val="20"/>
        </w:rPr>
        <w:t xml:space="preserve">Peer Reference: City of Hagen (Germany), 2025 — Boosted government transparency and efficiency with real-time financial planning, achieving a 95% reduction in custom code. </w:t>
      </w:r>
      <w:hyperlink r:id="rId21">
        <w:r>
          <w:rPr>
            <w:rStyle w:val="Hyperlink"/>
            <w:color w:val="0563C1"/>
            <w:u w:val="single"/>
          </w:rPr>
          <w:t xml:space="preserve">View submission.</w:t>
        </w:r>
      </w:hyperlink>
    </w:p>
    <w:p>
      <w:pPr>
        <w:spacing w:before="60" w:after="60"/>
        <w:ind w:left="360"/>
      </w:pPr>
      <w:r>
        <w:rPr>
          <w:i/>
          <w:sz w:val="20"/>
        </w:rPr>
        <w:t xml:space="preserve">Peer Reference: Ministry of Defence of Ukraine, 2026 — Managed $65.6 billion in defence spending on a unified real-time financial platform, reducing reporting effort by 67%. </w:t>
      </w:r>
      <w:hyperlink r:id="rId22">
        <w:r>
          <w:rPr>
            <w:rStyle w:val="Hyperlink"/>
            <w:color w:val="0563C1"/>
            <w:u w:val="single"/>
          </w:rPr>
          <w:t xml:space="preserve">View submission.</w:t>
        </w:r>
      </w:hyperlink>
    </w:p>
    <w:p>
      <w:pPr>
        <w:pStyle w:val="Heading2"/>
      </w:pPr>
      <w:r>
        <w:t>8. Fleet and Asset Management Optimization</w:t>
      </w:r>
    </w:p>
    <w:p>
      <w:r>
        <w:t>Arkansas Forward found that the state operates approximately 3,980 passenger vehicles at a cost of $21 million per year, with more than 600 vehicles logging fewer than 100 miles during all of 2023. The initiative recommended reducing the fleet by more than 860 vehicles — a target that requires data to defend, particularly when agencies are reluctant to give up assets they perceive as necessary. AI-powered fleet analytics makes that case with evidence: by analyzing utilization patterns across every vehicle in the fleet, it shows precisely which vehicles are underused, where consolidation is feasible, and what the realistic savings would be. The same underlying capability applies to facilities and other physical assets — tracking utilization, predicting when maintenance is needed before failures occur, and identifying assets that could be consolidated or disposed of. With 40 percent of the state's real estate leases expiring within two years, the timing is particularly relevant for facilities decisions as well. Fleet utilization analysis builds on logistics and asset data the ERP captures from day one; the more advanced predictive maintenance and asset performance features require a separate licensed module not included in the base platform, and should be evaluated as part of the broader fleet right-sizing business case.</w:t>
      </w:r>
    </w:p>
    <w:p>
      <w:pPr>
        <w:spacing w:before="60" w:after="60"/>
        <w:ind w:left="360"/>
      </w:pPr>
      <w:r>
        <w:rPr>
          <w:i/>
          <w:sz w:val="20"/>
        </w:rPr>
        <w:t xml:space="preserve">Peer Reference: City of Mississauga, 2024 — Streamlined operations through automation, achieving a threefold increase in processing efficiency. </w:t>
      </w:r>
      <w:hyperlink r:id="rId23">
        <w:r>
          <w:rPr>
            <w:rStyle w:val="Hyperlink"/>
            <w:color w:val="0563C1"/>
            <w:u w:val="single"/>
          </w:rPr>
          <w:t xml:space="preserve">View submission.</w:t>
        </w:r>
      </w:hyperlink>
    </w:p>
    <w:p>
      <w:pPr>
        <w:spacing w:before="60" w:after="60"/>
        <w:ind w:left="360"/>
      </w:pPr>
      <w:r>
        <w:rPr>
          <w:i/>
          <w:sz w:val="20"/>
        </w:rPr>
        <w:t xml:space="preserve">Peer Reference: Queensland Department of Transport and Main Roads, 2026 — AI-optimized $500 million annual road maintenance program, reinvesting $9.5 million per year through smarter asset decisions. </w:t>
      </w:r>
      <w:hyperlink r:id="rId24">
        <w:r>
          <w:rPr>
            <w:rStyle w:val="Hyperlink"/>
            <w:color w:val="0563C1"/>
            <w:u w:val="single"/>
          </w:rPr>
          <w:t xml:space="preserve">View submission.</w:t>
        </w:r>
      </w:hyperlink>
    </w:p>
    <w:p/>
    <w:p>
      <w:pPr>
        <w:spacing w:before="120" w:after="120"/>
        <w:ind w:left="576" w:right="576"/>
      </w:pPr>
      <w:r>
        <w:rPr>
          <w:b/>
          <w:sz w:val="21"/>
        </w:rPr>
        <w:t xml:space="preserve">Note on Human Oversight: </w:t>
      </w:r>
      <w:r>
        <w:rPr>
          <w:sz w:val="21"/>
        </w:rPr>
        <w:t>Arkansas Act 848 (HB 1958) requires that any AI system affecting citizen benefits, eligibility, or rights must augment — not replace — human decision-making authority. Use cases involving benefits screening and claims analysis include mandatory human review steps at every consequential decision point. The AI provides analysis and flags; the human makes the determination. This is not a limitation on AI adoption — it is a governance standard that builds public trust and legal defensibility into every use case from the outset.</w:t>
      </w:r>
    </w:p>
    <w:p>
      <w:pPr>
        <w:pStyle w:val="Heading1"/>
      </w:pPr>
      <w:r>
        <w:t>Recommended Next Steps</w:t>
      </w:r>
    </w:p>
    <w:p>
      <w:r>
        <w:t>Following the July 2026 go-live, the recommended path forward is to select two or three of these use cases for immediate scoping — choosing based on executive sponsorship, available ownership, and strategic priority — and to schedule focused workshops with the relevant agency stakeholders in the third quarter of 2026. Each selected use case should have a named owner, a defined success metric, and a 90-day implementation target. It is worth noting that several use cases in this paper require licensing beyond the base platform: fraud detection, automated payment matching, and document processing each require premium AI licensing; program cost transparency and asset performance management are separately licensed modules; and workforce analytics at its most predictive level may require additional analytics licensing. For these, the business case should be built and the licensing conversation held before scoping begins. The remaining use cases — procurement spend analysis and integrated planning — are available within the base platform and represent good candidates for early, lower-friction wins.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ap.com/documents/2025/03/788e4e3f-fb7e-0010-bca6-c68f7e60039b.html" TargetMode="External"/><Relationship Id="rId10" Type="http://schemas.openxmlformats.org/officeDocument/2006/relationships/hyperlink" Target="https://www.sap.com/documents/2026/02/c0a8c23c-407f-0010-bca6-c68f7e60039b.html" TargetMode="External"/><Relationship Id="rId11" Type="http://schemas.openxmlformats.org/officeDocument/2006/relationships/hyperlink" Target="https://www.sap.com/documents/2024/01/74617175-a67e-0010-bca6-c68f7e60039b.html" TargetMode="External"/><Relationship Id="rId12" Type="http://schemas.openxmlformats.org/officeDocument/2006/relationships/hyperlink" Target="https://www.sap.com/documents/2025/03/96573a0c-fc7e-0010-bca6-c68f7e60039b.html" TargetMode="External"/><Relationship Id="rId13" Type="http://schemas.openxmlformats.org/officeDocument/2006/relationships/hyperlink" Target="https://www.sap.com/documents/2024/01/c45f85d0-a77e-0010-bca6-c68f7e60039b.html" TargetMode="External"/><Relationship Id="rId14" Type="http://schemas.openxmlformats.org/officeDocument/2006/relationships/hyperlink" Target="https://www.sap.com/documents/2026/03/1639aedc-417f-0010-bca6-c68f7e60039b.html" TargetMode="External"/><Relationship Id="rId15" Type="http://schemas.openxmlformats.org/officeDocument/2006/relationships/hyperlink" Target="https://www.sap.com/documents/2025/03/020dae1c-fc7e-0010-bca6-c68f7e60039b.html" TargetMode="External"/><Relationship Id="rId16" Type="http://schemas.openxmlformats.org/officeDocument/2006/relationships/hyperlink" Target="https://www.sap.com/documents/2026/03/1a2b9fb8-427f-0010-bca6-c68f7e60039b.html" TargetMode="External"/><Relationship Id="rId17" Type="http://schemas.openxmlformats.org/officeDocument/2006/relationships/hyperlink" Target="https://www.sap.com/documents/2024/01/7455a634-a57e-0010-bca6-c68f7e60039b.html" TargetMode="External"/><Relationship Id="rId18" Type="http://schemas.openxmlformats.org/officeDocument/2006/relationships/hyperlink" Target="https://www.sap.com/documents/2026/02/309bf83a-407f-0010-bca6-c68f7e60039b.html" TargetMode="External"/><Relationship Id="rId19" Type="http://schemas.openxmlformats.org/officeDocument/2006/relationships/hyperlink" Target="https://www.sap.com/documents/2025/03/b6be9539-fb7e-0010-bca6-c68f7e60039b.html" TargetMode="External"/><Relationship Id="rId20" Type="http://schemas.openxmlformats.org/officeDocument/2006/relationships/hyperlink" Target="https://www.sap.com/documents/2025/03/16c00540-fb7e-0010-bca6-c68f7e60039b.html" TargetMode="External"/><Relationship Id="rId21" Type="http://schemas.openxmlformats.org/officeDocument/2006/relationships/hyperlink" Target="https://www.sap.com/documents/2025/03/a6974e3f-fb7e-0010-bca6-c68f7e60039b.html" TargetMode="External"/><Relationship Id="rId22" Type="http://schemas.openxmlformats.org/officeDocument/2006/relationships/hyperlink" Target="https://www.sap.com/documents/2026/03/aa3b577a-417f-0010-bca6-c68f7e60039b.html" TargetMode="External"/><Relationship Id="rId23" Type="http://schemas.openxmlformats.org/officeDocument/2006/relationships/hyperlink" Target="https://www.sap.com/documents/2024/01/be6fe072-a57e-0010-bca6-c68f7e60039b.html" TargetMode="External"/><Relationship Id="rId24" Type="http://schemas.openxmlformats.org/officeDocument/2006/relationships/hyperlink" Target="https://www.sap.com/documents/2026/02/8a198ed3-3e7f-0010-bca6-c68f7e60039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