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3D6B"/>
          </w:tcPr>
          <w:p>
            <w:pPr>
              <w:spacing w:before="600" w:after="12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KLING &amp; FREITAG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color w:val="B0C4D8"/>
                <w:sz w:val="32"/>
              </w:rPr>
              <w:t>GmbH</w:t>
            </w:r>
          </w:p>
          <w:p>
            <w:pPr>
              <w:spacing w:before="80" w:after="600"/>
              <w:jc w:val="center"/>
            </w:pPr>
            <w:r>
              <w:rPr>
                <w:rFonts w:ascii="Calibri" w:hAnsi="Calibri"/>
                <w:i/>
                <w:color w:val="B0C4D8"/>
                <w:sz w:val="22"/>
              </w:rPr>
              <w:t>Hannover · Professionelle Audio- &amp; Beschallungssysteme</w:t>
            </w:r>
          </w:p>
        </w:tc>
      </w:tr>
    </w:tbl>
    <w:p/>
    <w:p>
      <w:pPr>
        <w:spacing w:before="400" w:after="120"/>
        <w:jc w:val="center"/>
      </w:pPr>
      <w:r>
        <w:rPr>
          <w:rFonts w:ascii="Calibri" w:hAnsi="Calibri"/>
          <w:b/>
          <w:color w:val="0F3D6B"/>
          <w:sz w:val="44"/>
        </w:rPr>
        <w:t>IT-Strategie &amp; Digitalisierungsfahrplan</w:t>
      </w:r>
    </w:p>
    <w:p>
      <w:pPr>
        <w:spacing w:before="0" w:after="120"/>
        <w:jc w:val="center"/>
      </w:pPr>
      <w:r>
        <w:rPr>
          <w:rFonts w:ascii="Calibri" w:hAnsi="Calibri"/>
          <w:i/>
          <w:color w:val="6C849B"/>
          <w:sz w:val="26"/>
        </w:rPr>
        <w:t>ERP · DMS · KI · Infrastruktur · Zukunftsvision</w:t>
      </w:r>
    </w:p>
    <w:p>
      <w:pPr>
        <w:spacing w:before="120" w:after="800"/>
        <w:jc w:val="center"/>
      </w:pPr>
      <w:r>
        <w:rPr>
          <w:rFonts w:ascii="Calibri" w:hAnsi="Calibri"/>
          <w:color w:val="6C849B"/>
          <w:sz w:val="20"/>
        </w:rPr>
        <w:t>Stand: Juni 2026  |  Intern – Vertraulich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5D04"/>
          </w:tcPr>
          <w:p>
            <w:pPr>
              <w:spacing w:before="60" w:after="60"/>
            </w:pP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1. Management Summary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Kling &amp; Freitag GmbH ist ein etablierter deutscher Hersteller professioneller Audio- und Beschallungssysteme mit Sitz in Hannover. Das Unternehmen steht vor einer tiefgreifenden digitalen Transformation seiner gesamten IT-Landschaft – vom ERP-System über das Dokumentenmanagement bis hin zur Einführung lokaler KI-Systeme.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Die vorliegende Strategie fasst Gegenwart, laufende Projekte und die langfristige Zielvision zusammen. Sie bildet die Grundlage für Investitionsentscheidungen, Projektpriorisierungen und die Kommunikation mit internen und externen Stakeholdern.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Kernaussagen auf einen Blick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Thema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Unternehmen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Kling &amp; Freitag GmbH, Hannover | ~30 MA | ~6 Mio. € Umsatz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IT-Betrieb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Vollständig Inhouse, eigene Serverinfrastruktur (Hyper-V)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ERP heute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eEvolution – seit 20+ Jahren, Ablösung durch Odoo Enterprise 19 geplant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DMS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bitfarm-Archiv Enterprise 3.6.2 – Aufbau läuft aktiv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KI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Lokales Ollama-System (qwen3:8b / qwen2.5:72b), RTX 4090 in Planung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Ziel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Integrierte Unternehmensplattform: lokal, update-sicher, datenschutzkonform</w:t>
            </w:r>
          </w:p>
        </w:tc>
      </w:tr>
    </w:tbl>
    <w:p/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2. Unternehmensrahmen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2.1 Profil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Kling &amp; Freitag GmbH entwickelt und produziert hochwertige Lautsprechersysteme für Touring, Installation und professionelle Beschallungslösungen. Mit ca. 30 Mitarbeitern und einem Jahresumsatz von ca. 6 Mio. € ist das Unternehmen im Premium-Segment der Professional-Audio-Branche positioniert.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Standort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Hannover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Mitarbeiterzahl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30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Jahresumsatz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6 Mio.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IT-Betrieb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Vollständig Inhouse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Kernprodukte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Lautsprechersysteme für Touring &amp; Installation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Märkte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Deutschland / International – Professioneller Audiosektor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2.2 IT-Governance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Die gesamte IT-Infrastruktur wird intern betrieben und administriert. Externe Dienstleister werden punktuell für Spezialprojekte hinzugezogen. Die strategische IT-Hoheit liegt vollständig bei Kling &amp; Freitag, was maximale Flexibilität, Datenschutz und Kostenkontrolle gewährleistet.</w:t>
      </w:r>
    </w:p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3. Ist-Zustand der IT-Landschaft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3.1 ERP-System – eEvolution (Bestand)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Das ERP-System eEvolution ist seit über 20 Jahren produktiv im Einsatz und deckt alle wesentlichen Unternehmensprozesse ab. Es läuft auf einem SQL Server 2019 mit einer Datenbankgröße von ca. 20 GB.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Seriennummern- und Chargenverwaltung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Fertigungs- und Produktionsprozesse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Einkauf, Verkauf, Lagerverwaltung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Buchhaltung und Finanzen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Aktuelle Lizenz- und Supportkosten: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Betrag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Lizenzkosten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27.000 € / Jahr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Supportkosten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15.000 € / Jahr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Gesamtkosten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42.000 € / Jahr</w:t>
            </w:r>
          </w:p>
        </w:tc>
      </w:tr>
    </w:tbl>
    <w:p>
      <w:pPr>
        <w:spacing w:before="40" w:after="60"/>
      </w:pPr>
      <w:r>
        <w:rPr>
          <w:rFonts w:ascii="Calibri" w:hAnsi="Calibri"/>
          <w:color w:val="1A1A2E"/>
          <w:sz w:val="21"/>
        </w:rPr>
        <w:t>Einschätzung: Das System ist stabil und bewährt, aber technologisch veraltet. Fehlende Modernisierungspfade, eingeschränkte Integrationsfähigkeit und die hohen laufenden Kosten rechtfertigen die geplante Migration zu Odoo Enterprise 19.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3.2 Serverinfrastruktur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 / Host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Funktion / Details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HV01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Hauptserver (Hyper-V)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HV03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ERP-Dedizierter Server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SV-Odoo-erp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Ubuntu 24.04 LTS | 6 vCPU | 16 GB RAM | PostgreSQL 16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DMS-Archiv-Server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bitfarm-Archiv Enterprise 3.6.2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Synology RS820+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Primär-NAS / Backup-Tier 1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Synology RS816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Sekundär-NAS / Backup-Tier 2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3.3 Netzwerkinfrastruktur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Ausprägung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Netzwerkbereich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192.168.120.0/24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Hersteller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LANCOM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Segmentierung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VLAN-Strukturen vorhanden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Fernzugriff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VPN-Zugänge (Konzept in Überarbeitung)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Backup-Strategie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Täglich &amp; wöchentlich, Wiederherstellung mehrfach getestet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3.4 DMS – bitfarm-Archiv Enterprise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bitfarm-Archiv Enterprise 3.6.2 ist die eingesetzte Dokumentenmanagement-Plattform. Die Implementierung befindet sich im aktiven Aufbau. Kernziele sind strukturierte Archivierung mit OCR-Erkennung, automatischer Metadatenextraktion und Revisionssicherheit.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3.5 KI-Infrastruktur (lokal)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Plattform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Ollama (lokaler Betrieb, keine Cloud)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Modell 1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qwen3:8b – für schnelle Klassifizierungsaufgaben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Modell 2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qwen2.5:72b – für komplexe Analyse und Extraktion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GPU (Produktion)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NVIDIA RTX 4090 – in Planung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GPU (Test)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NVIDIA RTX 3060 Ti – aktives Testsystem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4. Laufende Projekte (Stand Juni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Projekt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Ziel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 Enterprise 19 Aufbau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Umsetzung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ERP-Ablösung eEvolution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Reverse-Proxy-Konzept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Planung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Sichere externe Erreichbarkeit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VPN-Konzept (Überarbeitung)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Planung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Fernzugriff &amp; Mobile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Dokumententrichter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Entwicklung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Fileserver → DMS-Migration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bitfarm DMS Integration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Aufbau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Revisionssichere Archivierung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OCR / KI-Klassifizierung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Entwicklung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Automatische Dokumentenerkennung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Infrastrukturinventur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Bestandsaufnahme aller Systeme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Netzwerkdokumentation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VLAN, IP-Plan, Topologie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Fileserver-Analyse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Arbeit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Historische Datenbasis digitalisieren</w:t>
            </w:r>
          </w:p>
        </w:tc>
      </w:tr>
    </w:tbl>
    <w:p/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4.1 Dokumententrichter – Eigenentwicklung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Der Dokumententrichter ist eine eigenentwickelte Softwareplattform, die den gesamten Prozess von der Fileserver-Quelle bis zum DMS-Import orchestriert. Er bildet das zentrale Nervensystem der Dokumentendigitalisierung bei Kling &amp; Freitag.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Fileserver-Analyse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Identifikation und Kategorisierung vorhandener Dokumente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OCR-Verarbeitung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Texterkennung für nicht-durchsuchbare Dateien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KI-Klassifizierung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Automatische Zuweisung von Dokumenttypen und Metadaten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bitfarm-Import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Strukturierter Ingest in das DMS mit XML-/JOB-Erzeugung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GUI-Steuerung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Benutzeroberfläche für Operatoren und Prüffälle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Prüffallmanagement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Manuelle Nachbearbeitung von Klassifizierungszweifeln</w:t>
            </w:r>
          </w:p>
        </w:tc>
      </w:tr>
    </w:tbl>
    <w:p>
      <w:pPr>
        <w:spacing w:before="40" w:after="60"/>
      </w:pPr>
      <w:r>
        <w:rPr>
          <w:rFonts w:ascii="Calibri" w:hAnsi="Calibri"/>
          <w:color w:val="1A1A2E"/>
          <w:sz w:val="21"/>
        </w:rPr>
        <w:t>Unterstützte Fachbereiche: Einkauf · Buchhaltung · Vertrieb · Personal · Technik · Produktion</w:t>
      </w:r>
    </w:p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5. IT-Zukunftsstrategie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5.1 Strategische Leitprinzipien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Die IT-Strategie von Kling &amp; Freitag folgt vier übergeordneten Prinzipien, die alle Investitions- und Architekturentscheidungen leiten:</w:t>
      </w:r>
    </w:p>
    <w:p>
      <w:pPr>
        <w:spacing w:before="80" w:after="40"/>
        <w:ind w:left="283"/>
      </w:pPr>
      <w:r>
        <w:rPr>
          <w:rFonts w:ascii="Calibri" w:hAnsi="Calibri"/>
          <w:b/>
          <w:color w:val="E85D04"/>
          <w:sz w:val="21"/>
        </w:rPr>
        <w:t xml:space="preserve">Lokal vor Cloud: </w:t>
      </w:r>
      <w:r>
        <w:rPr>
          <w:rFonts w:ascii="Calibri" w:hAnsi="Calibri"/>
          <w:color w:val="1A1A2E"/>
          <w:sz w:val="21"/>
        </w:rPr>
        <w:t>Alle Kernsysteme werden auf eigener Infrastruktur betrieben. Dies gewährleistet maximalen Datenschutz (DSGVO), Kostenkontrolle und Unabhängigkeit von externen Anbietern.</w:t>
      </w:r>
    </w:p>
    <w:p>
      <w:pPr>
        <w:spacing w:before="80" w:after="40"/>
        <w:ind w:left="283"/>
      </w:pPr>
      <w:r>
        <w:rPr>
          <w:rFonts w:ascii="Calibri" w:hAnsi="Calibri"/>
          <w:b/>
          <w:color w:val="E85D04"/>
          <w:sz w:val="21"/>
        </w:rPr>
        <w:t xml:space="preserve">Update-Sicherheit: </w:t>
      </w:r>
      <w:r>
        <w:rPr>
          <w:rFonts w:ascii="Calibri" w:hAnsi="Calibri"/>
          <w:color w:val="1A1A2E"/>
          <w:sz w:val="21"/>
        </w:rPr>
        <w:t>Integrationen und Anpassungen werden so gestaltet, dass Standard-Updates der Kernsysteme nicht blockiert werden. Wo möglich werden offizielle APIs und Standard-Module genutzt.</w:t>
      </w:r>
    </w:p>
    <w:p>
      <w:pPr>
        <w:spacing w:before="80" w:after="40"/>
        <w:ind w:left="283"/>
      </w:pPr>
      <w:r>
        <w:rPr>
          <w:rFonts w:ascii="Calibri" w:hAnsi="Calibri"/>
          <w:b/>
          <w:color w:val="E85D04"/>
          <w:sz w:val="21"/>
        </w:rPr>
        <w:t xml:space="preserve">Regeln vor KI: </w:t>
      </w:r>
      <w:r>
        <w:rPr>
          <w:rFonts w:ascii="Calibri" w:hAnsi="Calibri"/>
          <w:color w:val="1A1A2E"/>
          <w:sz w:val="21"/>
        </w:rPr>
        <w:t>KI-Systeme agieren als kontrollierte Prüfinstanz, nicht als primäre Entscheidungslogik. Regelbasierte Systeme bilden die Grundschicht; KI ergänzt und validiert.</w:t>
      </w:r>
    </w:p>
    <w:p>
      <w:pPr>
        <w:spacing w:before="80" w:after="40"/>
        <w:ind w:left="283"/>
      </w:pPr>
      <w:r>
        <w:rPr>
          <w:rFonts w:ascii="Calibri" w:hAnsi="Calibri"/>
          <w:b/>
          <w:color w:val="E85D04"/>
          <w:sz w:val="21"/>
        </w:rPr>
        <w:t xml:space="preserve">Langfristige Wartbarkeit: </w:t>
      </w:r>
      <w:r>
        <w:rPr>
          <w:rFonts w:ascii="Calibri" w:hAnsi="Calibri"/>
          <w:color w:val="1A1A2E"/>
          <w:sz w:val="21"/>
        </w:rPr>
        <w:t>Alle Eigenentwicklungen werden dokumentiert, modular aufgebaut und mit Fokus auf Übergabe- und Wartbarkeit gestaltet.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5.2 Zielarchitektur 2027+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Das Zielbild ist eine vollständig integrierte, lokale Unternehmensplattform, die alle Geschäftsprozesse digital abbildet und miteinander verbindet: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 Enterprise 19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ERP-Kern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CRM, Einkauf, Verkauf, Lager, Fertigung, Buchhaltung, Reporting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bitfarm-Archiv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DMS-Kern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Revisionssichere Archivierung aller Geschäftsdokumente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Ollama (lokal)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KI-Kern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Klassifizierung, Extraktion, Analyse – vollständig On-Premise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Dokumententrichter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Middleware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Orchestrierung Fileserver → OCR → KI → DMS → ERP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LANCOM / VPN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Infrastruktur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Sichere interne und externe Konnektivität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Mobile App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Endnutzer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Odoo-App für Barcode, Scanner, Außendienst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5.3 Phasenplan</w:t>
      </w:r>
    </w:p>
    <w:p>
      <w:pPr>
        <w:spacing w:before="160" w:after="40"/>
      </w:pPr>
      <w:r>
        <w:rPr>
          <w:rFonts w:ascii="Calibri" w:hAnsi="Calibri"/>
          <w:b/>
          <w:color w:val="0F3D6B"/>
          <w:sz w:val="22"/>
        </w:rPr>
        <w:t>Phase 1 – Fundament (2026)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Fertigstellung Odoo-Server (Reverse Proxy, HTTPS, VPN)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bitfarm DMS: Basiskonfiguration &amp; erste Fachbereiche produktiv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Dokumententrichter: Pilotbetrieb mit Fachbereich Einkauf/Buchhaltung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Netzwerk- &amp; Infrastrukturdokumentation abgeschlossen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KI: RTX 4090 beschafft, qwen2.5:72b im Produktiveinsatz</w:t>
      </w:r>
    </w:p>
    <w:p>
      <w:pPr>
        <w:spacing w:before="160" w:after="40"/>
      </w:pPr>
      <w:r>
        <w:rPr>
          <w:rFonts w:ascii="Calibri" w:hAnsi="Calibri"/>
          <w:b/>
          <w:color w:val="0F3D6B"/>
          <w:sz w:val="22"/>
        </w:rPr>
        <w:t>Phase 2 – Integration (2026–2027)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Odoo: Einkauf, Verkauf, Lager, Fertigung live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ERP-Migration: Datenmigration eEvolution → Odoo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bitfarm–Odoo-Integration: Dokumente verknüpft mit ERP-Objekten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Alle Fachbereiche im Dokumententrichter aktiv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Mobile App: Barcode &amp; Scannerintegration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Abschaltung eEvolution (Meilenstein: Kostenentlastung ~42.000 €/Jahr)</w:t>
      </w:r>
    </w:p>
    <w:p>
      <w:pPr>
        <w:spacing w:before="160" w:after="40"/>
      </w:pPr>
      <w:r>
        <w:rPr>
          <w:rFonts w:ascii="Calibri" w:hAnsi="Calibri"/>
          <w:b/>
          <w:color w:val="0F3D6B"/>
          <w:sz w:val="22"/>
        </w:rPr>
        <w:t>Phase 3 – Optimierung &amp; KI (2027+)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KI-gestützte ERP-Auswertungen und Prognosen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Automatisierte Workflows zwischen Odoo, DMS und KI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BI &amp; Reporting-Dashboards auf Odoo-Basis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Kundenportal live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Vollständige historische Fileserver-Digitalisierung abgeschlossen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Wissensmanagement-System auf KI-Basis</w:t>
      </w:r>
    </w:p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6. Odoo Enterprise 19 – Migrationsplan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6.1 Systemkonfiguration (Ziel)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Betriebssystem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Ubuntu Server 24.04.4 LTS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VM / Hostname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SV-Odoo-erp / odoo-erp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Hardware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6 vCPU / 16 GB RAM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Datenbank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PostgreSQL 16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Odoo-Version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Enterprise 19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Produktivdatenbank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kuf-erp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Zugang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HTTPS via Reverse Proxy + VPN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6.2 Geplante Module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CRM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Einkauf (Purchase)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Verkauf (Sales)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Lagerverwaltung (Inventory)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Fertigung (Manufacturing)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Buchhaltung (Accounting)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Reporting &amp; BI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Kundenportal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Mobile App (Barcode &amp; Scanner)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6.3 Wirtschaftliche Bewertung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Die Migration zu Odoo Enterprise 19 ist wirtschaftlich klar vorteilhaft: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Betrag / Zeitraum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eEvolution Lizenz + Support (aktuell)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~42.000 € / Jahr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 Enterprise (geschätzt)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~8.000–15.000 € / Jahr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Jährliche Einsparung (ab Migration)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~27.000–34.000 € / Jahr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Break-even Migrationsaufwand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12–18 Monate nach Go-live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7. KI-Strategie – Lokal, Kontrolliert, Skalierbar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7.1 Grundprinzip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Kling &amp; Freitag verfolgt einen bewusst konservativen, aber zukunftsfähigen KI-Ansatz: "Regeln zuerst – KI nur als kontrollierte Prüfinstanz." Dies bedeutet: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Primäre Klassifizierung erfolgt über regelbasierte Logik (deterministische Systeme)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KI übernimmt Grenz- und Zweifelsfälle, die Regeln nicht eindeutig lösen können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Alle KI-Entscheidungen sind nachvollziehbar und können durch Operatoren korrigiert werden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Kein Einsatz von Cloud-KI – alle Modelle laufen On-Premise (Datenschutz)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7.2 Einsatzbereiche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Anwendungsfall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Dokumentklassifizierung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Automatische Erkennung von Rechnungen, Lieferscheinen, Verträgen etc.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Metadatenextraktion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Erkennung von Datum, Betrag, Lieferant, Kostenstelle aus Dokumenten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Plausibilitätsprüfung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Validierung extrahierter Daten gegen ERP-Stammdaten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ERP-Auswertungen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Analyse von Verkaufsdaten, Lagerbeständen, Produktionsmengen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Prognosen &amp; Trends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Kurzfristige Absatz- und Bestandsprognosen auf Basis historischer Daten</w:t>
            </w:r>
          </w:p>
        </w:tc>
      </w:tr>
    </w:tbl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7.3 Hardware-Roadmap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Die KI-Infrastruktur wird schrittweise ausgebaut, um die wachsenden Anforderungen zu erfüllen: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Hardware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RTX 3060 Ti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Testbetrieb, schnelle Modelle (qwen3:8b)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RTX 4090 (24 GB)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In Planung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Produktionsbetrieb, große Modelle (qwen2.5:72b)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Dual-GPU-Setup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Langfristig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Parallelbetrieb mehrerer Modelle / erhöhter Durchsatz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8. Risiken &amp; Gegenmaßnahmen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Wahrscheinlichkeit</w:t>
            </w:r>
          </w:p>
        </w:tc>
        <w:tc>
          <w:tcPr>
            <w:tcW w:type="dxa" w:w="3024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Maßnahme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ERP-Migration zu komplex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Phasenweiser Rollout; parallelbetrieb ERP-Systeme; Testmigration vorab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Know-how-Konzentration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Vollständige Dokumentation; Übergabeprozesse definieren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KI-Fehlklassifizierungen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Prüffallmanagement im Trichter; manuelle Überprüfung kritischer Dokumente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Infrastrukturausfall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Tägliche Backups; geprüfte Wiederherstellung; Redundanz über Synology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GPU-Engpass / Lieferzeit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Frühzeitige Bestellung RTX 4090; Fallback auf kleinere Modelle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Update-Inkompatibilität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1A1A2E"/>
                <w:sz w:val="20"/>
              </w:rPr>
              <w:t>API-first Integrationen; regelmäßige Kompatibilitätstests vor Updates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9. Investitionsübersicht (Schätzung)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4536"/>
            <w:shd w:val="clear" w:color="auto" w:fill="0F3D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Geschätzte Kosten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 Enterprise 19 Lizenz (p.a.)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8.000–12.000 €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Odoo-Implementierung / Migration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15.000–30.000 €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RTX 4090 (KI-GPU)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1.500–2.000 €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Netzwerk-Upgrades (LANCOM)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2.000–5.000 €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bitfarm DMS Erweiterungen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3.000–6.000 €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Dokumententrichter-Entwicklung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intern (Eigenleistung)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GESAMT Investition (einmalig)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21.500–43.000 €</w:t>
            </w:r>
          </w:p>
        </w:tc>
      </w:tr>
      <w:tr>
        <w:tc>
          <w:tcPr>
            <w:tcW w:type="dxa" w:w="4536"/>
            <w:shd w:val="clear" w:color="auto" w:fill="EEF3F8"/>
          </w:tcPr>
          <w:p>
            <w:r>
              <w:rPr>
                <w:rFonts w:ascii="Calibri" w:hAnsi="Calibri"/>
                <w:color w:val="1A1A2E"/>
                <w:sz w:val="20"/>
              </w:rPr>
              <w:t>GESAMT laufend p.a. (Einsparung: ~42k → ~12k)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1A1A2E"/>
                <w:sz w:val="20"/>
              </w:rPr>
              <w:t>ca. 12.000–17.000 €</w:t>
            </w:r>
          </w:p>
        </w:tc>
      </w:tr>
    </w:tbl>
    <w:p>
      <w:pPr>
        <w:spacing w:before="40" w:after="60"/>
      </w:pPr>
      <w:r>
        <w:rPr>
          <w:rFonts w:ascii="Calibri" w:hAnsi="Calibri"/>
          <w:color w:val="1A1A2E"/>
          <w:sz w:val="21"/>
        </w:rPr>
        <w:t>Hinweis: Die einmaligen Investitionskosten amortisieren sich durch die jährliche Einsparung bei den ERP-Kosten innerhalb von 12–18 Monaten nach vollständiger Migration.</w:t>
      </w:r>
    </w:p>
    <w:p>
      <w:r>
        <w:br w:type="page"/>
      </w:r>
    </w:p>
    <w:p>
      <w:pPr>
        <w:spacing w:before="280" w:after="120"/>
        <w:pBdr>
          <w:bottom w:val="single" w:sz="8" w:color="0F3D6B"/>
        </w:pBdr>
      </w:pPr>
      <w:r>
        <w:rPr>
          <w:rFonts w:ascii="Calibri" w:hAnsi="Calibri"/>
          <w:b/>
          <w:color w:val="0F3D6B"/>
          <w:sz w:val="32"/>
        </w:rPr>
        <w:t>10. Fazit &amp; strategische Empfehlung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Kling &amp; Freitag befindet sich an einem entscheidenden Wendepunkt seiner IT-Geschichte. Die Kombination aus einem technologisch veralteten ERP-System, wachsenden Anforderungen an Dokumentenmanagement und dem Potenzial moderner KI-Systeme schafft ein klares Handlungserfordernis – aber auch eine einmalige Chance.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Was jetzt richtig ist: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Den eingeschlagenen Weg konsequent weiterverfolgen – alle Projekte sind strategisch korrekt ausgerichtet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Odoo-Migration priorisieren – sie ist der Schlüssel zur Kostenentlastung und Modernisierung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Dokumententrichter als Wettbewerbsvorteil sehen – er ist einzigartig und schafft nachhaltigen Mehrwert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KI schrittweise ausbauen – pragmatisch und ohne Hype, mit klarem Nutzennachweis je Anwendungsfall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2E"/>
          <w:sz w:val="21"/>
        </w:rPr>
        <w:t>Dokumentation und Know-how-Transfer als Pflicht – nicht als Option</w:t>
      </w:r>
    </w:p>
    <w:p>
      <w:pPr>
        <w:spacing w:before="280" w:after="120"/>
        <w:pBdr>
          <w:bottom w:val="single" w:sz="4" w:color="E85D04"/>
        </w:pBdr>
      </w:pPr>
      <w:r>
        <w:rPr>
          <w:rFonts w:ascii="Calibri" w:hAnsi="Calibri"/>
          <w:b/>
          <w:color w:val="E85D04"/>
          <w:sz w:val="26"/>
        </w:rPr>
        <w:t>Langfristiges Zielbild:</w:t>
      </w:r>
    </w:p>
    <w:p>
      <w:pPr>
        <w:spacing w:before="40" w:after="60"/>
      </w:pPr>
      <w:r>
        <w:rPr>
          <w:rFonts w:ascii="Calibri" w:hAnsi="Calibri"/>
          <w:color w:val="1A1A2E"/>
          <w:sz w:val="21"/>
        </w:rPr>
        <w:t>Kling &amp; Freitag wird bis 2027 über eine vollständig integrierte, lokale IT-Plattform verfügen, die alle Geschäftsprozesse digital und effizient abbildet. Die IT wird vom Kostenfaktor zum echten Wettbewerbsvorteil – durch niedrigere Betriebskosten, schnellere Prozesse, bessere Datenqualität und die einzigartige Fähigkeit, historisches Wissen zu digitalisieren und nutzbar zu machen.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3D6B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B0C4D8"/>
                <w:sz w:val="18"/>
              </w:rPr>
              <w:t>Kling &amp; Freitag GmbH  |  IT-Strategie &amp; Digitalisierungsfahrplan  |  Stand Juni 2026  |  Intern – Vertraulich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