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F3D6B"/>
          </w:tcPr>
          <w:p>
            <w:pPr>
              <w:spacing w:before="600" w:after="1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6"/>
              </w:rPr>
              <w:t>KLING &amp; FREITAG</w:t>
            </w:r>
          </w:p>
          <w:p>
            <w:pPr>
              <w:spacing w:before="0" w:after="80"/>
              <w:jc w:val="center"/>
            </w:pPr>
            <w:r>
              <w:rPr>
                <w:rFonts w:ascii="Calibri" w:hAnsi="Calibri"/>
                <w:b w:val="0"/>
                <w:i w:val="0"/>
                <w:color w:val="B0C4D8"/>
                <w:sz w:val="32"/>
              </w:rPr>
              <w:t>GmbH</w:t>
            </w:r>
          </w:p>
          <w:p>
            <w:pPr>
              <w:spacing w:before="80" w:after="600"/>
              <w:jc w:val="center"/>
            </w:pPr>
            <w:r>
              <w:rPr>
                <w:rFonts w:ascii="Calibri" w:hAnsi="Calibri"/>
                <w:b w:val="0"/>
                <w:i/>
                <w:color w:val="B0C4D8"/>
                <w:sz w:val="22"/>
              </w:rPr>
              <w:t>Hannover · Professionelle Audio- &amp; Beschallungssysteme</w:t>
            </w:r>
          </w:p>
        </w:tc>
      </w:tr>
    </w:tbl>
    <w:p/>
    <w:p>
      <w:pPr>
        <w:spacing w:before="400" w:after="120"/>
        <w:jc w:val="center"/>
      </w:pPr>
      <w:r>
        <w:rPr>
          <w:rFonts w:ascii="Calibri" w:hAnsi="Calibri"/>
          <w:b/>
          <w:color w:val="0F3D6B"/>
          <w:sz w:val="44"/>
        </w:rPr>
        <w:t>IT-Strategie &amp; Digitalisierungsfahrplan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6C849B"/>
          <w:sz w:val="26"/>
        </w:rPr>
        <w:t>ERP · DMS · KI · Infrastruktur · Zukunftsvision</w:t>
      </w:r>
    </w:p>
    <w:p>
      <w:pPr>
        <w:spacing w:before="120" w:after="800"/>
        <w:jc w:val="center"/>
      </w:pPr>
      <w:r>
        <w:rPr>
          <w:rFonts w:ascii="Calibri" w:hAnsi="Calibri"/>
          <w:b w:val="0"/>
          <w:i/>
          <w:color w:val="6C849B"/>
          <w:sz w:val="20"/>
        </w:rPr>
        <w:t>Stand: Juni 2026  |  Odoo Go-live: 1. Oktober 2026  |  Intern – Vertraulich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5D04"/>
          </w:tcPr>
          <w:p>
            <w:pPr>
              <w:spacing w:before="60" w:after="60"/>
            </w:pPr>
          </w:p>
        </w:tc>
      </w:tr>
    </w:tbl>
    <w:p>
      <w:r>
        <w:br w:type="page"/>
      </w:r>
    </w:p>
    <w:p>
      <w:pPr>
        <w:spacing w:before="280" w:after="120"/>
        <w:pBdr>
          <w:bottom w:val="single" w:sz="8" w:color="0F3D6B"/>
        </w:pBdr>
      </w:pPr>
      <w:r>
        <w:rPr>
          <w:rFonts w:ascii="Calibri" w:hAnsi="Calibri"/>
          <w:b/>
          <w:color w:val="0F3D6B"/>
          <w:sz w:val="32"/>
        </w:rPr>
        <w:t>1. Management Summary</w:t>
      </w:r>
    </w:p>
    <w:p>
      <w:pPr>
        <w:spacing w:before="40" w:after="60"/>
      </w:pPr>
      <w:r>
        <w:rPr>
          <w:rFonts w:ascii="Calibri" w:hAnsi="Calibri"/>
          <w:color w:val="1A1A2E"/>
          <w:sz w:val="21"/>
        </w:rPr>
        <w:t>Kling &amp; Freitag GmbH befindet sich mitten in einer tiefgreifenden digitalen Transformation. Der Aufbau von Odoo Enterprise 19 ist weit fortgeschritten – der geplante Go-live ist der 1. Oktober 2026. Reverse Proxy und HTTPS laufen bereits; die erste Datenmigration aus eEvolution ist abgeschlossen. Die lokale KI-Infrastruktur (RTX 4090, Ollama) ist produktionsbereit.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Thema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 / Inhalt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Unternehmen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Kling &amp; Freitag GmbH, Hannover | ~30 MA | ~6 Mio. € Umsatz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IT-Betrieb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Vollständig Inhouse, eigene Serverinfrastruktur (Hyper-V)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ERP Ist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eEvolution – Ablösung läuft, erste Datenmigration abgeschlossen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ERP Ziel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C01050"/>
                <w:sz w:val="20"/>
              </w:rPr>
              <w:t>Odoo Enterprise 19 – Go-live: 1. Oktober 2026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Odoo Stand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Reverse Proxy + HTTPS läuft, Subdomain ausstehend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DMS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bitfarm-Archiv Enterprise 3.6.2 – Aufbau aktiv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KI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Ollama (qwen3:8b / qwen2.5:72b) – RTX 4090 läuft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Ziel 2027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Integrierte Unternehmensplattform: lokal, update-sicher, datenschutzkonform</w:t>
            </w:r>
          </w:p>
        </w:tc>
      </w:tr>
    </w:tbl>
    <w:p/>
    <w:p>
      <w:pPr>
        <w:spacing w:before="280" w:after="120"/>
        <w:pBdr>
          <w:bottom w:val="single" w:sz="8" w:color="0F3D6B"/>
        </w:pBdr>
      </w:pPr>
      <w:r>
        <w:rPr>
          <w:rFonts w:ascii="Calibri" w:hAnsi="Calibri"/>
          <w:b/>
          <w:color w:val="0F3D6B"/>
          <w:sz w:val="32"/>
        </w:rPr>
        <w:t>2. Unternehmensrahmen</w:t>
      </w:r>
    </w:p>
    <w:p>
      <w:pPr>
        <w:spacing w:before="40" w:after="60"/>
      </w:pPr>
      <w:r>
        <w:rPr>
          <w:rFonts w:ascii="Calibri" w:hAnsi="Calibri"/>
          <w:color w:val="1A1A2E"/>
          <w:sz w:val="21"/>
        </w:rPr>
        <w:t>Kling &amp; Freitag GmbH entwickelt und produziert hochwertige Lautsprechersysteme für Touring, Installation und professionelle Beschallungslösungen (Hannover). Mit ca. 30 Mitarbeitern und ~6 Mio. € Jahresumsatz ist das Unternehmen im Premium-Segment der Professional-Audio-Branche positioniert.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Wert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Standort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Hannover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Mitarbeiterzahl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30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Jahresumsatz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6 Mio. €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IT-Betrieb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Vollständig Inhouse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Kernprodukte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Lautsprechersysteme für Touring &amp; Installation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IT-Governance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Strategische IT-Hoheit vollständig intern</w:t>
            </w:r>
          </w:p>
        </w:tc>
      </w:tr>
    </w:tbl>
    <w:p>
      <w:r>
        <w:br w:type="page"/>
      </w:r>
    </w:p>
    <w:p>
      <w:pPr>
        <w:spacing w:before="280" w:after="120"/>
        <w:pBdr>
          <w:bottom w:val="single" w:sz="8" w:color="0F3D6B"/>
        </w:pBdr>
      </w:pPr>
      <w:r>
        <w:rPr>
          <w:rFonts w:ascii="Calibri" w:hAnsi="Calibri"/>
          <w:b/>
          <w:color w:val="0F3D6B"/>
          <w:sz w:val="32"/>
        </w:rPr>
        <w:t>3. Ist-Zustand der IT-Landschaft (Juni 2026)</w:t>
      </w:r>
    </w:p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3.1 ERP – eEvolution (Bestand / Ablösung)</w:t>
      </w:r>
    </w:p>
    <w:p>
      <w:pPr>
        <w:spacing w:before="40" w:after="60"/>
      </w:pPr>
      <w:r>
        <w:rPr>
          <w:rFonts w:ascii="Calibri" w:hAnsi="Calibri"/>
          <w:color w:val="1A1A2E"/>
          <w:sz w:val="21"/>
        </w:rPr>
        <w:t>eEvolution ist seit über 20 Jahren produktiv im Einsatz. Die Migration zu Odoo Enterprise 19 läuft aktiv – die erste Datenübernahme ist abgeschlossen. Parallelbetrieb bis Odoo Go-live am 1. Oktober 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Wert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Datenbank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SQL Server 2019, ca. 20 GB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Betrieb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Produktiv – parallel zu Odoo-Aufbau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Erste Datenmigration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Abgeschlossen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Lizenzkosten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27.000 € / Jahr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Supportkosten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15.000 € / Jahr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Abschaltung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C01050"/>
                <w:sz w:val="20"/>
              </w:rPr>
              <w:t>Nach Odoo Go-live (1. Oktober 2026)</w:t>
            </w:r>
          </w:p>
        </w:tc>
      </w:tr>
    </w:tbl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3.2 Odoo Enterprise 19 – aktueller Umsetzungsstand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Komponente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VM / Hostname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SV-Odoo-erp / odoo-erp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OS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Ubuntu Server 24.04.4 LTS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Hardware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6 vCPU / 16 GB RAM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Datenbank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PostgreSQL 16 | Produktivdatenbank: kuf-erp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Reverse Proxy + HTTPS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Läuft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Subdomain (Webserver)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B86E00"/>
                <w:sz w:val="20"/>
              </w:rPr>
              <w:t>Ausstehend – letzter offener Punkt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VPN-Zugriff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B86E00"/>
                <w:sz w:val="20"/>
              </w:rPr>
              <w:t>In Planung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Mobile App / Barcode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B86E00"/>
                <w:sz w:val="20"/>
              </w:rPr>
              <w:t>In Planung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Erste Datenmigration eEvolution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Abgeschlossen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C01050"/>
                <w:sz w:val="20"/>
              </w:rPr>
              <w:t>Geplanter Go-live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C01050"/>
                <w:sz w:val="20"/>
              </w:rPr>
              <w:t>1. Oktober 2026</w:t>
            </w:r>
          </w:p>
        </w:tc>
      </w:tr>
    </w:tbl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3.3 Serverinfrastruktur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System / Host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HV01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Hauptserver (Hyper-V)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HV03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ERP-Dedizierter Server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SV-Odoo-erp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Ubuntu 24.04 LTS | 6 vCPU | 16 GB RAM | PostgreSQL 16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DMS-Archiv-Server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bitfarm-Archiv Enterprise 3.6.2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Synology RS820+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Primär-NAS / Backup-Tier 1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Synology RS816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Sekundär-NAS / Backup-Tier 2</w:t>
            </w:r>
          </w:p>
        </w:tc>
      </w:tr>
    </w:tbl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3.4 Netzwerkinfrastruktur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Ausprägung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Netzwerkbereich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192.168.120.0/24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Hersteller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LANCOM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Segmentierung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VLAN-Strukturen vorhanden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Fernzugriff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VPN (Konzept in Überarbeitung)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Backup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Täglich &amp; wöchentlich – Wiederherstellung mehrfach getestet</w:t>
            </w:r>
          </w:p>
        </w:tc>
      </w:tr>
    </w:tbl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3.5 DMS – bitfarm-Archiv Enterprise 3.6.2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Strukturierte Archivierung mit OCR-Erkennung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Automatische Metadatenextraktion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Fachbereichsbezogene Archivierung (Einkauf, Buchhaltung, Vertrieb, Personal, Technik, Produktion)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Revisionssicherheit und Auffindbarkeit historischer Dokumente</w:t>
      </w:r>
    </w:p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3.6 KI-Infrastruktur (lokal, On-Premise)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Komponente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Plattform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Ollama – vollständig lokal, keine Cloud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Modell 1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qwen3:8b – schnelle Klassifizierung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Modell 2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qwen2.5:72b – komplexe Analyse &amp; Extraktion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GPU (Produktion)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NVIDIA RTX 4090 – Läuft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Grundprinzip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Regeln zuerst – KI nur als kontrollierte Prüfinstanz</w:t>
            </w:r>
          </w:p>
        </w:tc>
      </w:tr>
    </w:tbl>
    <w:p>
      <w:r>
        <w:br w:type="page"/>
      </w:r>
    </w:p>
    <w:p>
      <w:pPr>
        <w:spacing w:before="280" w:after="120"/>
        <w:pBdr>
          <w:bottom w:val="single" w:sz="8" w:color="0F3D6B"/>
        </w:pBdr>
      </w:pPr>
      <w:r>
        <w:rPr>
          <w:rFonts w:ascii="Calibri" w:hAnsi="Calibri"/>
          <w:b/>
          <w:color w:val="0F3D6B"/>
          <w:sz w:val="32"/>
        </w:rPr>
        <w:t>4. Laufende Projekte (Stand Juni 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Projekt</w:t>
            </w:r>
          </w:p>
        </w:tc>
        <w:tc>
          <w:tcPr>
            <w:tcW w:type="dxa" w:w="3024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024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Ziel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Odoo Enterprise 19 – Aufbau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0F3D6B"/>
                <w:sz w:val="20"/>
              </w:rPr>
              <w:t>In Umsetzung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C01050"/>
                <w:sz w:val="20"/>
              </w:rPr>
              <w:t>ERP-Ablösung eEvolution – Go-live 1.10.2026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Datenmigration eEvolution → Odoo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B7A47"/>
                <w:sz w:val="20"/>
              </w:rPr>
              <w:t>Erste Übernahme abgeschlossen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C01050"/>
                <w:sz w:val="20"/>
              </w:rPr>
              <w:t>Vollständige Migration bis Go-live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Reverse Proxy + HTTPS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B7A47"/>
                <w:sz w:val="20"/>
              </w:rPr>
              <w:t>Läuft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Sichere Erreichbarkeit Odoo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Subdomain auf Webserver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B86E00"/>
                <w:sz w:val="20"/>
              </w:rPr>
              <w:t>Ausstehend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B86E00"/>
                <w:sz w:val="20"/>
              </w:rPr>
              <w:t>Letzter offener Punkt für Odoo-Zugang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VPN-Konzept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B86E00"/>
                <w:sz w:val="20"/>
              </w:rPr>
              <w:t>In Planung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Fernzugriff &amp; Mobile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Dokumententrichter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0F3D6B"/>
                <w:sz w:val="20"/>
              </w:rPr>
              <w:t>In Entwicklung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Fileserver → OCR → KI → DMS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bitfarm DMS Integration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0F3D6B"/>
                <w:sz w:val="20"/>
              </w:rPr>
              <w:t>In Aufbau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Revisionssichere Archivierung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OCR / KI-Klassifizierung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0F3D6B"/>
                <w:sz w:val="20"/>
              </w:rPr>
              <w:t>In Entwicklung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Automatische Dokumentenerkennung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Infrastrukturinventur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Laufend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Bestandsaufnahme aller Systeme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Netzwerkdokumentation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Laufend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VLAN, IP-Plan, Topologie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Fileserver-Analyse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0F3D6B"/>
                <w:sz w:val="20"/>
              </w:rPr>
              <w:t>In Arbeit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Historische Datenbasis digitalisieren</w:t>
            </w:r>
          </w:p>
        </w:tc>
      </w:tr>
    </w:tbl>
    <w:p/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4.1 Dokumententrichter – Eigenentwicklung</w:t>
      </w:r>
    </w:p>
    <w:p>
      <w:pPr>
        <w:spacing w:before="40" w:after="60"/>
      </w:pPr>
      <w:r>
        <w:rPr>
          <w:rFonts w:ascii="Calibri" w:hAnsi="Calibri"/>
          <w:color w:val="1A1A2E"/>
          <w:sz w:val="21"/>
        </w:rPr>
        <w:t>Der Dokumententrichter ist eine eigenentwickelte Plattform, die den vollständigen Prozess von der Fileserver-Quelle bis zum DMS-Import orchestriert – das zentrale Nervensystem der Dokumentendigitalisierung bei Kling &amp; Freitag.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Modul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Fileserver-Analyse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Identifikation und Kategorisierung vorhandener Dokumente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OCR-Verarbeitung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Texterkennung für nicht-durchsuchbare Dateien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KI-Klassifizierung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Automatische Zuweisung von Dokumenttypen und Metadaten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bitfarm-Import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Strukturierter Ingest in das DMS mit XML-/JOB-Erzeugung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GUI-Steuerung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Benutzeroberfläche für Operatoren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Prüffallmanagement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Manuelle Nachbearbeitung von Klassifizierungszweifeln</w:t>
            </w:r>
          </w:p>
        </w:tc>
      </w:tr>
    </w:tbl>
    <w:p>
      <w:r>
        <w:br w:type="page"/>
      </w:r>
    </w:p>
    <w:p>
      <w:pPr>
        <w:spacing w:before="280" w:after="120"/>
        <w:pBdr>
          <w:bottom w:val="single" w:sz="8" w:color="0F3D6B"/>
        </w:pBdr>
      </w:pPr>
      <w:r>
        <w:rPr>
          <w:rFonts w:ascii="Calibri" w:hAnsi="Calibri"/>
          <w:b/>
          <w:color w:val="0F3D6B"/>
          <w:sz w:val="32"/>
        </w:rPr>
        <w:t>5. IT-Zukunftsstrategie</w:t>
      </w:r>
    </w:p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5.1 Strategische Leitprinzipien</w:t>
      </w:r>
    </w:p>
    <w:p>
      <w:pPr>
        <w:spacing w:before="80" w:after="40"/>
        <w:ind w:left="283"/>
      </w:pPr>
      <w:r>
        <w:rPr>
          <w:rFonts w:ascii="Calibri" w:hAnsi="Calibri"/>
          <w:b/>
          <w:color w:val="E85D04"/>
          <w:sz w:val="21"/>
        </w:rPr>
        <w:t xml:space="preserve">Lokal vor Cloud: </w:t>
      </w:r>
      <w:r>
        <w:rPr>
          <w:rFonts w:ascii="Calibri" w:hAnsi="Calibri"/>
          <w:color w:val="1A1A2E"/>
          <w:sz w:val="21"/>
        </w:rPr>
        <w:t>Alle Kernsysteme laufen auf eigener Infrastruktur – maximaler Datenschutz (DSGVO), Kostenkontrolle, Unabhängigkeit.</w:t>
      </w:r>
    </w:p>
    <w:p>
      <w:pPr>
        <w:spacing w:before="80" w:after="40"/>
        <w:ind w:left="283"/>
      </w:pPr>
      <w:r>
        <w:rPr>
          <w:rFonts w:ascii="Calibri" w:hAnsi="Calibri"/>
          <w:b/>
          <w:color w:val="E85D04"/>
          <w:sz w:val="21"/>
        </w:rPr>
        <w:t xml:space="preserve">Update-Sicherheit: </w:t>
      </w:r>
      <w:r>
        <w:rPr>
          <w:rFonts w:ascii="Calibri" w:hAnsi="Calibri"/>
          <w:color w:val="1A1A2E"/>
          <w:sz w:val="21"/>
        </w:rPr>
        <w:t>Integrationen werden so gestaltet, dass Standard-Updates der Kernsysteme nicht blockiert werden.</w:t>
      </w:r>
    </w:p>
    <w:p>
      <w:pPr>
        <w:spacing w:before="80" w:after="40"/>
        <w:ind w:left="283"/>
      </w:pPr>
      <w:r>
        <w:rPr>
          <w:rFonts w:ascii="Calibri" w:hAnsi="Calibri"/>
          <w:b/>
          <w:color w:val="E85D04"/>
          <w:sz w:val="21"/>
        </w:rPr>
        <w:t xml:space="preserve">Regeln vor KI: </w:t>
      </w:r>
      <w:r>
        <w:rPr>
          <w:rFonts w:ascii="Calibri" w:hAnsi="Calibri"/>
          <w:color w:val="1A1A2E"/>
          <w:sz w:val="21"/>
        </w:rPr>
        <w:t>KI agiert als kontrollierte Prüfinstanz, nicht als primäre Entscheidungslogik. Regelbasierte Systeme bilden die Grundschicht.</w:t>
      </w:r>
    </w:p>
    <w:p>
      <w:pPr>
        <w:spacing w:before="80" w:after="40"/>
        <w:ind w:left="283"/>
      </w:pPr>
      <w:r>
        <w:rPr>
          <w:rFonts w:ascii="Calibri" w:hAnsi="Calibri"/>
          <w:b/>
          <w:color w:val="E85D04"/>
          <w:sz w:val="21"/>
        </w:rPr>
        <w:t xml:space="preserve">Langfristige Wartbarkeit: </w:t>
      </w:r>
      <w:r>
        <w:rPr>
          <w:rFonts w:ascii="Calibri" w:hAnsi="Calibri"/>
          <w:color w:val="1A1A2E"/>
          <w:sz w:val="21"/>
        </w:rPr>
        <w:t>Alle Eigenentwicklungen werden vollständig dokumentiert, modular aufgebaut und auf Übergabe ausgelegt.</w:t>
      </w:r>
    </w:p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5.2 Zielarchitektur 2027+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System</w:t>
            </w:r>
          </w:p>
        </w:tc>
        <w:tc>
          <w:tcPr>
            <w:tcW w:type="dxa" w:w="3024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Schicht</w:t>
            </w:r>
          </w:p>
        </w:tc>
        <w:tc>
          <w:tcPr>
            <w:tcW w:type="dxa" w:w="3024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Odoo Enterprise 19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ERP-Kern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B7A47"/>
                <w:sz w:val="20"/>
              </w:rPr>
              <w:t>CRM, Einkauf, Verkauf, Lager, Fertigung, Buchhaltung, Reporting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bitfarm-Archiv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DMS-Kern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Revisionssichere Archivierung aller Geschäftsdokumente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Ollama (lokal)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KI-Kern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Klassifizierung, Extraktion, Analyse – On-Premise, RTX 4090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Dokumententrichter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Middleware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Orchestrierung Fileserver → OCR → KI → DMS → ERP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LANCOM / VPN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Infrastruktur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Sichere interne und externe Konnektivität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Mobile App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Endnutzer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Odoo-App für Barcode, Scanner, Außendienst</w:t>
            </w:r>
          </w:p>
        </w:tc>
      </w:tr>
    </w:tbl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5.3 Phasenplan mit Meilensteinen</w:t>
      </w:r>
    </w:p>
    <w:p>
      <w:pPr>
        <w:spacing w:before="160" w:after="40"/>
      </w:pPr>
      <w:r>
        <w:rPr>
          <w:rFonts w:ascii="Calibri" w:hAnsi="Calibri"/>
          <w:b/>
          <w:color w:val="C01050"/>
          <w:sz w:val="22"/>
        </w:rPr>
        <w:t>Phase 1 – Fundament &amp; Go-live (bis 1. Oktober 2026)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Subdomain einrichten → Odoo extern erreichbar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VPN-Zugriff finalisieren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Vollständige Datenmigration eEvolution → Odoo abschließen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GO-LIVE Odoo Enterprise 19: 1. Oktober 2026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bitfarm DMS: erste Fachbereiche produktiv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Dokumententrichter: Pilotbetrieb Einkauf/Buchhaltung</w:t>
      </w:r>
    </w:p>
    <w:p>
      <w:pPr>
        <w:spacing w:before="160" w:after="40"/>
      </w:pPr>
      <w:r>
        <w:rPr>
          <w:rFonts w:ascii="Calibri" w:hAnsi="Calibri"/>
          <w:b/>
          <w:color w:val="0F3D6B"/>
          <w:sz w:val="22"/>
        </w:rPr>
        <w:t>Phase 2 – Integration &amp; Ablösung (Q4 2026 – 2027)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Alle Odoo-Module live (Einkauf, Verkauf, Lager, Fertigung, Buchhaltung)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bitfarm–Odoo-Integration: Dokumente direkt mit ERP-Objekten verknüpft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Alle Fachbereiche im Dokumententrichter aktiv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Mobile App: Barcode &amp; Scannerintegration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Abschaltung eEvolution → Einsparung ~42.000 €/Jahr</w:t>
      </w:r>
    </w:p>
    <w:p>
      <w:pPr>
        <w:spacing w:before="160" w:after="40"/>
      </w:pPr>
      <w:r>
        <w:rPr>
          <w:rFonts w:ascii="Calibri" w:hAnsi="Calibri"/>
          <w:b/>
          <w:color w:val="0F3D6B"/>
          <w:sz w:val="22"/>
        </w:rPr>
        <w:t>Phase 3 – KI-Ausbau &amp; Optimierung (2027+)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KI-gestützte ERP-Auswertungen und Prognosen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Automatisierte Workflows zwischen Odoo, DMS und KI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BI &amp; Reporting-Dashboards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Kundenportal live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Vollständige historische Fileserver-Digitalisierung abgeschlossen</w:t>
      </w:r>
    </w:p>
    <w:p>
      <w:r>
        <w:br w:type="page"/>
      </w:r>
    </w:p>
    <w:p>
      <w:pPr>
        <w:spacing w:before="280" w:after="120"/>
        <w:pBdr>
          <w:bottom w:val="single" w:sz="8" w:color="0F3D6B"/>
        </w:pBdr>
      </w:pPr>
      <w:r>
        <w:rPr>
          <w:rFonts w:ascii="Calibri" w:hAnsi="Calibri"/>
          <w:b/>
          <w:color w:val="0F3D6B"/>
          <w:sz w:val="32"/>
        </w:rPr>
        <w:t>6. Odoo Enterprise 19 – Migrationsplan</w:t>
      </w:r>
    </w:p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6.1 Systemkonfiguration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Wert / Status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Betriebssystem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Ubuntu Server 24.04.4 LTS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VM / Hostname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SV-Odoo-erp / odoo-erp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Hardware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6 vCPU / 16 GB RAM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Datenbank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PostgreSQL 16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Odoo-Version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Enterprise 19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B7A47"/>
                <w:sz w:val="20"/>
              </w:rPr>
              <w:t>Produktivdatenbank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kuf-erp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Reverse Proxy + HTTPS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Läuft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Subdomain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B86E00"/>
                <w:sz w:val="20"/>
              </w:rPr>
              <w:t>Ausstehend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VPN-Zugriff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B86E00"/>
                <w:sz w:val="20"/>
              </w:rPr>
              <w:t>In Planung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C01050"/>
                <w:sz w:val="20"/>
              </w:rPr>
              <w:t>Geplanter Go-live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C01050"/>
                <w:sz w:val="20"/>
              </w:rPr>
              <w:t>1. Oktober 2026</w:t>
            </w:r>
          </w:p>
        </w:tc>
      </w:tr>
    </w:tbl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6.2 Migrationsstatus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Aufgabe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Systemaufbau (VM, OS, PostgreSQL)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Abgeschlossen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Odoo 19 Installation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Abgeschlossen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Reverse Proxy + HTTPS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Läuft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Subdomain-Konfiguration Webserver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B86E00"/>
                <w:sz w:val="20"/>
              </w:rPr>
              <w:t>Ausstehend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Erste Datenübernahme aus eEvolution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Abgeschlossen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Vollständige Datenmigration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0F3D6B"/>
                <w:sz w:val="20"/>
              </w:rPr>
              <w:t>In Arbeit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Modulkonfiguration &amp; Customizing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0F3D6B"/>
                <w:sz w:val="20"/>
              </w:rPr>
              <w:t>In Arbeit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User-Schulung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B86E00"/>
                <w:sz w:val="20"/>
              </w:rPr>
              <w:t>Ausstehend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C01050"/>
                <w:sz w:val="20"/>
              </w:rPr>
              <w:t>Go-live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C01050"/>
                <w:sz w:val="20"/>
              </w:rPr>
              <w:t>1. Oktober 2026</w:t>
            </w:r>
          </w:p>
        </w:tc>
      </w:tr>
    </w:tbl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6.3 Geplante Module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CRM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Einkauf (Purchase)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Verkauf (Sales)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Lagerverwaltung (Inventory)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Fertigung (Manufacturing)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Buchhaltung (Accounting)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Reporting &amp; BI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Kundenportal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Mobile App (Barcode &amp; Scanner)</w:t>
      </w:r>
    </w:p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6.4 Wirtschaftliche Bewertung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Position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Betrag / Zeitraum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eEvolution Lizenz + Support (heute)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~42.000 € / Jahr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Odoo Enterprise (geschätzt)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~8.000–15.000 € / Jahr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C01050"/>
                <w:sz w:val="20"/>
              </w:rPr>
              <w:t>Jährliche Einsparung (ab Go-live 1.10.2026)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~27.000–34.000 € / Jahr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Break-even Migrationsaufwand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C01050"/>
                <w:sz w:val="20"/>
              </w:rPr>
              <w:t>ca. 12–18 Monate nach Go-live</w:t>
            </w:r>
          </w:p>
        </w:tc>
      </w:tr>
    </w:tbl>
    <w:p>
      <w:r>
        <w:br w:type="page"/>
      </w:r>
    </w:p>
    <w:p>
      <w:pPr>
        <w:spacing w:before="280" w:after="120"/>
        <w:pBdr>
          <w:bottom w:val="single" w:sz="8" w:color="0F3D6B"/>
        </w:pBdr>
      </w:pPr>
      <w:r>
        <w:rPr>
          <w:rFonts w:ascii="Calibri" w:hAnsi="Calibri"/>
          <w:b/>
          <w:color w:val="0F3D6B"/>
          <w:sz w:val="32"/>
        </w:rPr>
        <w:t>7. KI-Strategie – Lokal, Kontrolliert, Skalierbar</w:t>
      </w:r>
    </w:p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7.1 Grundprinzip</w:t>
      </w:r>
    </w:p>
    <w:p>
      <w:pPr>
        <w:spacing w:before="40" w:after="60"/>
      </w:pPr>
      <w:r>
        <w:rPr>
          <w:rFonts w:ascii="Calibri" w:hAnsi="Calibri"/>
          <w:color w:val="1A1A2E"/>
          <w:sz w:val="21"/>
        </w:rPr>
        <w:t>"Regeln zuerst – KI nur als kontrollierte Prüfinstanz." Regelbasierte Systeme bilden die Grundschicht; KI übernimmt Grenz- und Zweifelsfälle. Alle KI-Entscheidungen sind nachvollziehbar und durch Operatoren korrigierbar. Kein Cloud-KI-Einsatz – alle Modelle laufen vollständig On-Premise (Datenschutz, Kostenkontrolle).</w:t>
      </w:r>
    </w:p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7.2 Infrastruktur (aktuell)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Komponente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Plattform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Ollama (lokal)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Modell 1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qwen3:8b – schnelle Klassifizierung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Modell 2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qwen2.5:72b – komplexe Analyse, Extraktion, Prognosen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GPU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NVIDIA RTX 4090 – Läuft (Produktionssystem)</w:t>
            </w:r>
          </w:p>
        </w:tc>
      </w:tr>
    </w:tbl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7.3 Einsatzbereiche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Anwendungsfall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Beschreibung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Dokumentklassifizierung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Automatische Erkennung von Rechnungen, Lieferscheinen, Verträgen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Metadatenextraktion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Datum, Betrag, Lieferant, Kostenstelle aus Dokumenten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Plausibilitätsprüfung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Validierung extrahierter Daten gegen ERP-Stammdaten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ERP-Auswertungen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Analyse von Verkaufsdaten, Lagerbeständen, Produktionsmengen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Prognosen &amp; Trends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Kurzfristige Absatz- und Bestandsprognosen</w:t>
            </w:r>
          </w:p>
        </w:tc>
      </w:tr>
    </w:tbl>
    <w:p>
      <w:r>
        <w:br w:type="page"/>
      </w:r>
    </w:p>
    <w:p>
      <w:pPr>
        <w:spacing w:before="280" w:after="120"/>
        <w:pBdr>
          <w:bottom w:val="single" w:sz="8" w:color="0F3D6B"/>
        </w:pBdr>
      </w:pPr>
      <w:r>
        <w:rPr>
          <w:rFonts w:ascii="Calibri" w:hAnsi="Calibri"/>
          <w:b/>
          <w:color w:val="0F3D6B"/>
          <w:sz w:val="32"/>
        </w:rPr>
        <w:t>8. Risiken &amp; Gegenmaßnahmen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Risiko</w:t>
            </w:r>
          </w:p>
        </w:tc>
        <w:tc>
          <w:tcPr>
            <w:tcW w:type="dxa" w:w="3024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Wahrscheinlichkeit</w:t>
            </w:r>
          </w:p>
        </w:tc>
        <w:tc>
          <w:tcPr>
            <w:tcW w:type="dxa" w:w="3024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Maßnahme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C01050"/>
                <w:sz w:val="20"/>
              </w:rPr>
              <w:t>Go-live-Termin 1.10.2026 unter Druck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Subdomain &amp; VPN jetzt priorisieren; täglichen Fortschritt tracken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ERP-Migration zu komplex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Phasenweiser Rollout; Parallelbetrieb; Testmigration vorab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Know-how-Konzentration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Vollständige Dokumentation; Übergabeprozesse definieren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KI-Fehlklassifizierungen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Prüffallmanagement; manuelle Prüfung kritischer Dokumente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Infrastrukturausfall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Niedrig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Tägliche Backups; geprüfte Wiederherstellung; Synology-Redundanz</w:t>
            </w:r>
          </w:p>
        </w:tc>
      </w:tr>
      <w:tr>
        <w:tc>
          <w:tcPr>
            <w:tcW w:type="dxa" w:w="3024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Update-Inkompatibilität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color w:val="1A1A2E"/>
                <w:sz w:val="20"/>
              </w:rPr>
              <w:t>API-first Integrationen; Kompatibilitätstests vor Updates</w:t>
            </w:r>
          </w:p>
        </w:tc>
      </w:tr>
    </w:tbl>
    <w:p>
      <w:r>
        <w:br w:type="page"/>
      </w:r>
    </w:p>
    <w:p>
      <w:pPr>
        <w:spacing w:before="280" w:after="120"/>
        <w:pBdr>
          <w:bottom w:val="single" w:sz="8" w:color="0F3D6B"/>
        </w:pBdr>
      </w:pPr>
      <w:r>
        <w:rPr>
          <w:rFonts w:ascii="Calibri" w:hAnsi="Calibri"/>
          <w:b/>
          <w:color w:val="0F3D6B"/>
          <w:sz w:val="32"/>
        </w:rPr>
        <w:t>9. Investitionsübersicht (Schätzung)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Position</w:t>
            </w:r>
          </w:p>
        </w:tc>
        <w:tc>
          <w:tcPr>
            <w:tcW w:type="dxa" w:w="4536"/>
            <w:shd w:val="clear" w:color="auto" w:fill="0F3D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Kosten / Status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Odoo Enterprise 19 Lizenz (p.a.)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8.000–12.000 €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Odoo-Implementierung / Migration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15.000–30.000 €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RTX 4090 (KI-GPU)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B7A47"/>
                <w:sz w:val="20"/>
              </w:rPr>
              <w:t>beschafft und in Betrieb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Netzwerk-Upgrades (LANCOM)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2.000–5.000 €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bitfarm DMS Erweiterungen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3.000–6.000 €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Dokumententrichter-Entwicklung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intern (Eigenleistung)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GESAMT Investition einmalig (Rest)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20.000–41.000 €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C01050"/>
                <w:sz w:val="20"/>
              </w:rPr>
              <w:t>GESAMT laufend p.a. (nach Odoo Go-live)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12.000–17.000 €</w:t>
            </w:r>
          </w:p>
        </w:tc>
      </w:tr>
      <w:tr>
        <w:tc>
          <w:tcPr>
            <w:tcW w:type="dxa" w:w="4536"/>
            <w:shd w:val="clear" w:color="auto" w:fill="EEF3F8"/>
          </w:tcPr>
          <w:p>
            <w:r>
              <w:rPr>
                <w:rFonts w:ascii="Calibri" w:hAnsi="Calibri"/>
                <w:color w:val="1A1A2E"/>
                <w:sz w:val="20"/>
              </w:rPr>
              <w:t>Jährliche Einsparung gegenüber heute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color w:val="1A1A2E"/>
                <w:sz w:val="20"/>
              </w:rPr>
              <w:t>ca. 27.000–34.000 €</w:t>
            </w:r>
          </w:p>
        </w:tc>
      </w:tr>
    </w:tbl>
    <w:p>
      <w:pPr>
        <w:spacing w:before="40" w:after="60"/>
      </w:pPr>
      <w:r>
        <w:rPr>
          <w:rFonts w:ascii="Calibri" w:hAnsi="Calibri"/>
          <w:color w:val="1A1A2E"/>
          <w:sz w:val="21"/>
        </w:rPr>
        <w:t>Die einmaligen Migrationskosten amortisieren sich durch die jährliche ERP-Kosteneinsparung von ~34.000 € innerhalb von 12–18 Monaten nach dem Go-live am 1. Oktober 2026.</w:t>
      </w:r>
    </w:p>
    <w:p>
      <w:r>
        <w:br w:type="page"/>
      </w:r>
    </w:p>
    <w:p>
      <w:pPr>
        <w:spacing w:before="280" w:after="120"/>
        <w:pBdr>
          <w:bottom w:val="single" w:sz="8" w:color="0F3D6B"/>
        </w:pBdr>
      </w:pPr>
      <w:r>
        <w:rPr>
          <w:rFonts w:ascii="Calibri" w:hAnsi="Calibri"/>
          <w:b/>
          <w:color w:val="0F3D6B"/>
          <w:sz w:val="32"/>
        </w:rPr>
        <w:t>10. Fazit &amp; strategische Empfehlung</w:t>
      </w:r>
    </w:p>
    <w:p>
      <w:pPr>
        <w:spacing w:before="40" w:after="60"/>
      </w:pPr>
      <w:r>
        <w:rPr>
          <w:rFonts w:ascii="Calibri" w:hAnsi="Calibri"/>
          <w:color w:val="1A1A2E"/>
          <w:sz w:val="21"/>
        </w:rPr>
        <w:t>Kling &amp; Freitag ist auf dem richtigen Weg und liefert konkrete Ergebnisse: Odoo läuft mit Reverse Proxy und HTTPS, die erste Datenmigration ist abgeschlossen, die RTX 4090 KI-Infrastruktur ist produktiv. Der Go-live-Termin 1. Oktober 2026 ist realistisch und sollte als verbindliches Ziel gelten.</w:t>
      </w:r>
    </w:p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Offene Punkte bis Go-live (1. Oktober 2026):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Subdomain auf dem Webserver einrichten → letzter Schritt für externe Erreichbarkeit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VPN-Konzept finalisieren und umsetzen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Vollständige Datenmigration eEvolution → Odoo abschließen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User-Schulungen durchführen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color w:val="1A1A2E"/>
          <w:sz w:val="21"/>
        </w:rPr>
        <w:t>Go-live Odoo Enterprise 19: 1. Oktober 2026</w:t>
      </w:r>
    </w:p>
    <w:p>
      <w:pPr>
        <w:spacing w:before="200" w:after="80"/>
        <w:pBdr>
          <w:bottom w:val="single" w:sz="4" w:color="E85D04"/>
        </w:pBdr>
      </w:pPr>
      <w:r>
        <w:rPr>
          <w:rFonts w:ascii="Calibri" w:hAnsi="Calibri"/>
          <w:b/>
          <w:color w:val="E85D04"/>
          <w:sz w:val="26"/>
        </w:rPr>
        <w:t>Strategische Empfehlung:</w:t>
      </w:r>
    </w:p>
    <w:p>
      <w:pPr>
        <w:spacing w:before="40" w:after="60"/>
      </w:pPr>
      <w:r>
        <w:rPr>
          <w:rFonts w:ascii="Calibri" w:hAnsi="Calibri"/>
          <w:color w:val="1A1A2E"/>
          <w:sz w:val="21"/>
        </w:rPr>
        <w:t>Fokus auf den Go-live-Termin 1. Oktober 2026. Danach: eEvolution abschalten und die ~42.000 € jährliche Ersparnis realisieren. Parallel Dokumententrichter und bitfarm DMS produktiv bringen. Die KI-Infrastruktur (RTX 4090 läuft) ist bereit – sie wartet nur auf die Workflows.</w:t>
      </w:r>
    </w:p>
    <w:p>
      <w:pPr>
        <w:spacing w:before="40" w:after="60"/>
      </w:pPr>
      <w:r>
        <w:rPr>
          <w:rFonts w:ascii="Calibri" w:hAnsi="Calibri"/>
          <w:color w:val="1A1A2E"/>
          <w:sz w:val="21"/>
        </w:rPr>
        <w:t>Bis Ende 2027 wird Kling &amp; Freitag über eine vollständig integrierte, lokale IT-Plattform verfügen, die alle Geschäftsprozesse digital abbildet – und die IT vom Kostenfaktor zum echten Wettbewerbsvorteil macht.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F3D6B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color w:val="B0C4D8"/>
                <w:sz w:val="18"/>
              </w:rPr>
              <w:t>Kling &amp; Freitag GmbH  |  IT-Strategie &amp; Digitalisierungsfahrplan  |  Odoo Go-live: 1. Oktober 2026  |  Intern – Vertraulich</w:t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