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94F1" w14:textId="77777777" w:rsidR="00685084" w:rsidRDefault="00C21360">
      <w:pPr>
        <w:spacing w:after="60"/>
      </w:pPr>
      <w:r>
        <w:rPr>
          <w:b/>
          <w:bCs/>
          <w:color w:val="000000"/>
          <w:sz w:val="36"/>
          <w:szCs w:val="36"/>
        </w:rPr>
        <w:t>JBY Yacht Management Page</w:t>
      </w:r>
    </w:p>
    <w:p w14:paraId="3EFB93C1" w14:textId="77777777" w:rsidR="00685084" w:rsidRDefault="00C21360">
      <w:pPr>
        <w:spacing w:after="60"/>
      </w:pPr>
      <w:r>
        <w:rPr>
          <w:color w:val="1F3A5F"/>
          <w:sz w:val="28"/>
          <w:szCs w:val="28"/>
        </w:rPr>
        <w:t>What to Keep and What to Change</w:t>
      </w:r>
    </w:p>
    <w:p w14:paraId="06EEB23C" w14:textId="77777777" w:rsidR="00685084" w:rsidRDefault="00C21360">
      <w:pPr>
        <w:spacing w:after="80"/>
      </w:pPr>
      <w:r>
        <w:rPr>
          <w:i/>
          <w:iCs/>
          <w:color w:val="595959"/>
          <w:sz w:val="20"/>
          <w:szCs w:val="20"/>
        </w:rPr>
        <w:t>Source: Microsoft Clarity, jeffbrownyachts.com/yacht-management, 3/16/2026 to 5/14/2026</w:t>
      </w:r>
    </w:p>
    <w:p w14:paraId="0E38494B" w14:textId="77777777" w:rsidR="00685084" w:rsidRDefault="00685084">
      <w:pPr>
        <w:pBdr>
          <w:bottom w:val="single" w:sz="6" w:space="1" w:color="1F3A5F"/>
        </w:pBdr>
        <w:spacing w:before="80" w:after="200"/>
      </w:pPr>
    </w:p>
    <w:p w14:paraId="20607D24" w14:textId="77777777" w:rsidR="00685084" w:rsidRDefault="00C21360">
      <w:pPr>
        <w:pStyle w:val="Heading2"/>
      </w:pPr>
      <w:r>
        <w:t>The Setup</w:t>
      </w:r>
    </w:p>
    <w:p w14:paraId="30AD9F14" w14:textId="77777777" w:rsidR="00685084" w:rsidRDefault="00C21360">
      <w:pPr>
        <w:spacing w:after="120" w:line="300" w:lineRule="auto"/>
      </w:pPr>
      <w:r>
        <w:t>Smaller page, smaller audience, higher intent than most. 132 unique users and 144 sessions over 60 days. 49% of those sessions register as high intention. Friction is quiet but real, and the dead clicks are landing in one very specific place.</w:t>
      </w:r>
    </w:p>
    <w:p w14:paraId="0FBC834F" w14:textId="77777777" w:rsidR="00685084" w:rsidRDefault="00C21360">
      <w:pPr>
        <w:pStyle w:val="Heading3"/>
      </w:pPr>
      <w:r>
        <w:t>Snapshot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80"/>
      </w:tblGrid>
      <w:tr w:rsidR="00685084" w14:paraId="2966AD03"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E061449" w14:textId="77777777" w:rsidR="00685084" w:rsidRDefault="00C21360">
            <w:r>
              <w:rPr>
                <w:b/>
                <w:bCs/>
                <w:color w:val="FFFFFF"/>
                <w:sz w:val="20"/>
                <w:szCs w:val="20"/>
              </w:rPr>
              <w:t>Metric</w:t>
            </w:r>
          </w:p>
        </w:tc>
        <w:tc>
          <w:tcPr>
            <w:tcW w:w="60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5A452343" w14:textId="77777777" w:rsidR="00685084" w:rsidRDefault="00C21360">
            <w:r>
              <w:rPr>
                <w:b/>
                <w:bCs/>
                <w:color w:val="FFFFFF"/>
                <w:sz w:val="20"/>
                <w:szCs w:val="20"/>
              </w:rPr>
              <w:t>Value</w:t>
            </w:r>
          </w:p>
        </w:tc>
      </w:tr>
      <w:tr w:rsidR="00685084" w14:paraId="6E46C3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08269A" w14:textId="77777777" w:rsidR="00685084" w:rsidRDefault="00C21360">
            <w:r>
              <w:rPr>
                <w:b/>
                <w:bCs/>
                <w:color w:val="000000"/>
                <w:sz w:val="20"/>
                <w:szCs w:val="20"/>
              </w:rPr>
              <w:t>Unique users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DCBF8" w14:textId="77777777" w:rsidR="00685084" w:rsidRDefault="00C21360">
            <w:r>
              <w:rPr>
                <w:color w:val="000000"/>
                <w:sz w:val="20"/>
                <w:szCs w:val="20"/>
              </w:rPr>
              <w:t>132</w:t>
            </w:r>
          </w:p>
        </w:tc>
      </w:tr>
      <w:tr w:rsidR="00685084" w14:paraId="4921145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D0BB13" w14:textId="77777777" w:rsidR="00685084" w:rsidRDefault="00C21360">
            <w:r>
              <w:rPr>
                <w:b/>
                <w:bCs/>
                <w:color w:val="000000"/>
                <w:sz w:val="20"/>
                <w:szCs w:val="20"/>
              </w:rPr>
              <w:t>Sessions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59A67" w14:textId="77777777" w:rsidR="00685084" w:rsidRDefault="00C21360">
            <w:r>
              <w:rPr>
                <w:color w:val="000000"/>
                <w:sz w:val="20"/>
                <w:szCs w:val="20"/>
              </w:rPr>
              <w:t>144</w:t>
            </w:r>
          </w:p>
        </w:tc>
      </w:tr>
      <w:tr w:rsidR="00685084" w14:paraId="7B8626D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1747C6" w14:textId="77777777" w:rsidR="00685084" w:rsidRDefault="00C21360">
            <w:r>
              <w:rPr>
                <w:b/>
                <w:bCs/>
                <w:color w:val="000000"/>
                <w:sz w:val="20"/>
                <w:szCs w:val="20"/>
              </w:rPr>
              <w:t>New vs returning</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92BE8" w14:textId="77777777" w:rsidR="00685084" w:rsidRDefault="00C21360">
            <w:r>
              <w:rPr>
                <w:color w:val="000000"/>
                <w:sz w:val="20"/>
                <w:szCs w:val="20"/>
              </w:rPr>
              <w:t>87% new, 13% returning</w:t>
            </w:r>
          </w:p>
        </w:tc>
      </w:tr>
      <w:tr w:rsidR="00685084" w14:paraId="209378DB"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8DE657" w14:textId="77777777" w:rsidR="00685084" w:rsidRDefault="00C21360">
            <w:r>
              <w:rPr>
                <w:b/>
                <w:bCs/>
                <w:color w:val="000000"/>
                <w:sz w:val="20"/>
                <w:szCs w:val="20"/>
              </w:rPr>
              <w:t>High intent share</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A93C3" w14:textId="77777777" w:rsidR="00685084" w:rsidRDefault="00C21360">
            <w:r>
              <w:rPr>
                <w:color w:val="000000"/>
                <w:sz w:val="20"/>
                <w:szCs w:val="20"/>
              </w:rPr>
              <w:t>49% (rest split between low and medium)</w:t>
            </w:r>
          </w:p>
        </w:tc>
      </w:tr>
      <w:tr w:rsidR="00685084" w14:paraId="7E4119C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903B4E" w14:textId="77777777" w:rsidR="00685084" w:rsidRDefault="00C21360">
            <w:r>
              <w:rPr>
                <w:b/>
                <w:bCs/>
                <w:color w:val="000000"/>
                <w:sz w:val="20"/>
                <w:szCs w:val="20"/>
              </w:rPr>
              <w:t>Friction signals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FFFB2" w14:textId="77777777" w:rsidR="00685084" w:rsidRDefault="00C21360">
            <w:r>
              <w:rPr>
                <w:color w:val="000000"/>
                <w:sz w:val="20"/>
                <w:szCs w:val="20"/>
              </w:rPr>
              <w:t>16% dead clicks, 37% quick back, 0 rage clicks</w:t>
            </w:r>
          </w:p>
        </w:tc>
      </w:tr>
      <w:tr w:rsidR="00685084" w14:paraId="4299088A"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8666B2" w14:textId="77777777" w:rsidR="00685084" w:rsidRDefault="00C21360">
            <w:r>
              <w:rPr>
                <w:b/>
                <w:bCs/>
                <w:color w:val="000000"/>
                <w:sz w:val="20"/>
                <w:szCs w:val="20"/>
              </w:rPr>
              <w:t>Top mobile interaction</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E831F" w14:textId="77777777" w:rsidR="00685084" w:rsidRDefault="00C21360">
            <w:r>
              <w:rPr>
                <w:color w:val="000000"/>
                <w:sz w:val="20"/>
                <w:szCs w:val="20"/>
              </w:rPr>
              <w:t>Hamburger menu (23% of taps)</w:t>
            </w:r>
          </w:p>
        </w:tc>
      </w:tr>
    </w:tbl>
    <w:p w14:paraId="03E96C87" w14:textId="77777777" w:rsidR="00685084" w:rsidRDefault="00C21360">
      <w:pPr>
        <w:pBdr>
          <w:left w:val="single" w:sz="12" w:space="8" w:color="1F3A5F"/>
        </w:pBdr>
        <w:shd w:val="clear" w:color="auto" w:fill="F2F2F2"/>
        <w:spacing w:before="60" w:after="120" w:line="280" w:lineRule="auto"/>
      </w:pPr>
      <w:r>
        <w:rPr>
          <w:b/>
          <w:bCs/>
          <w:color w:val="000000"/>
          <w:sz w:val="20"/>
          <w:szCs w:val="20"/>
        </w:rPr>
        <w:t xml:space="preserve">Note: </w:t>
      </w:r>
      <w:r>
        <w:rPr>
          <w:i/>
          <w:iCs/>
          <w:color w:val="000000"/>
          <w:sz w:val="20"/>
          <w:szCs w:val="20"/>
        </w:rPr>
        <w:t>Click, scroll, and attention data for this report is mobile-only. Desktop and tablet behavior data was not available. A second pass once that data is accessible would round out the picture.</w:t>
      </w:r>
    </w:p>
    <w:p w14:paraId="2CF53B14" w14:textId="77777777" w:rsidR="00685084" w:rsidRDefault="00C21360">
      <w:pPr>
        <w:pStyle w:val="Heading2"/>
      </w:pPr>
      <w:r>
        <w:t>Keep</w:t>
      </w:r>
    </w:p>
    <w:p w14:paraId="56E84568" w14:textId="77777777" w:rsidR="00685084" w:rsidRDefault="00C21360">
      <w:pPr>
        <w:pStyle w:val="ListParagraph"/>
        <w:numPr>
          <w:ilvl w:val="0"/>
          <w:numId w:val="2"/>
        </w:numPr>
        <w:spacing w:after="100" w:line="300" w:lineRule="auto"/>
      </w:pPr>
      <w:r>
        <w:rPr>
          <w:b/>
          <w:bCs/>
        </w:rPr>
        <w:t xml:space="preserve">The audience qualifies itself. </w:t>
      </w:r>
      <w:r>
        <w:t>49% of sessions register as high intention. That is well above what most service-overview pages on the site pull. Whatever is sending people here is sending the right people. Protect the inbound paths.</w:t>
      </w:r>
    </w:p>
    <w:p w14:paraId="27BB8A23" w14:textId="27E39045" w:rsidR="00685084" w:rsidRDefault="00C21360">
      <w:pPr>
        <w:pStyle w:val="ListParagraph"/>
        <w:numPr>
          <w:ilvl w:val="0"/>
          <w:numId w:val="2"/>
        </w:numPr>
        <w:spacing w:after="100" w:line="300" w:lineRule="auto"/>
      </w:pPr>
      <w:r>
        <w:rPr>
          <w:b/>
          <w:bCs/>
        </w:rPr>
        <w:t xml:space="preserve">Mid-page content holds attention. </w:t>
      </w:r>
      <w:r>
        <w:t>Mobile visitors who scroll past the hero spend an average of 30 seconds in a tight band between 45% and 55% scroll depth</w:t>
      </w:r>
      <w:r w:rsidR="00416006">
        <w:t xml:space="preserve"> (request evaluation and services section)</w:t>
      </w:r>
      <w:r>
        <w:t>.</w:t>
      </w:r>
    </w:p>
    <w:p w14:paraId="60AF3502" w14:textId="0DB38EFE" w:rsidR="00685084" w:rsidRDefault="00C21360">
      <w:pPr>
        <w:pStyle w:val="ListParagraph"/>
        <w:numPr>
          <w:ilvl w:val="0"/>
          <w:numId w:val="2"/>
        </w:numPr>
        <w:spacing w:after="100" w:line="300" w:lineRule="auto"/>
      </w:pPr>
      <w:r>
        <w:rPr>
          <w:b/>
          <w:bCs/>
        </w:rPr>
        <w:t xml:space="preserve">There is a second attention spike at 85% to 90% scroll. </w:t>
      </w:r>
      <w:r>
        <w:t>Visitors who reach the bottom of the page</w:t>
      </w:r>
      <w:r w:rsidR="00416006">
        <w:t xml:space="preserve"> (Get Started section)</w:t>
      </w:r>
      <w:r>
        <w:t xml:space="preserve"> dwell there for 20 to 24 seconds on average. The people who make it that far are reading.</w:t>
      </w:r>
    </w:p>
    <w:p w14:paraId="3C9174D4" w14:textId="77777777" w:rsidR="00685084" w:rsidRDefault="00C21360">
      <w:pPr>
        <w:pStyle w:val="ListParagraph"/>
        <w:numPr>
          <w:ilvl w:val="0"/>
          <w:numId w:val="2"/>
        </w:numPr>
        <w:spacing w:after="100" w:line="300" w:lineRule="auto"/>
      </w:pPr>
      <w:r>
        <w:rPr>
          <w:b/>
          <w:bCs/>
        </w:rPr>
        <w:t xml:space="preserve">The page is not pushing people away. </w:t>
      </w:r>
      <w:r>
        <w:t>Quick back click rate is 37%, meaningfully lower than the 54% on the brand pages. Zero rage clicks. The frustration is quiet, not explosive. The structural read of the page is working.</w:t>
      </w:r>
    </w:p>
    <w:p w14:paraId="333BC075" w14:textId="77777777" w:rsidR="00685084" w:rsidRDefault="00C21360">
      <w:pPr>
        <w:pStyle w:val="Heading2"/>
      </w:pPr>
      <w:r>
        <w:t>Change</w:t>
      </w:r>
    </w:p>
    <w:p w14:paraId="1653215F" w14:textId="7AEF9EAE" w:rsidR="00685084" w:rsidRDefault="00C21360">
      <w:pPr>
        <w:pStyle w:val="ListParagraph"/>
        <w:numPr>
          <w:ilvl w:val="0"/>
          <w:numId w:val="3"/>
        </w:numPr>
        <w:spacing w:after="100" w:line="300" w:lineRule="auto"/>
      </w:pPr>
      <w:r>
        <w:rPr>
          <w:b/>
          <w:bCs/>
        </w:rPr>
        <w:t xml:space="preserve">Make the sub-service blocks actual links. </w:t>
      </w:r>
      <w:r>
        <w:t xml:space="preserve">Session recordings show repeated attempts to click into Boatyard Services, Crew, Maintenance, and Berthing as if they were navigation. They are not. They are </w:t>
      </w:r>
      <w:r w:rsidR="00416006">
        <w:t>a list</w:t>
      </w:r>
      <w:r>
        <w:t xml:space="preserve"> inside the dark services section. On mobile, roughly a quarter of all recorded </w:t>
      </w:r>
      <w:r>
        <w:lastRenderedPageBreak/>
        <w:t>taps land on those paragraphs and produce nothing. This is the single highest-leverage change on the page. Each sub-service needs its own destination, or at minimum its own anchor and CTA.</w:t>
      </w:r>
    </w:p>
    <w:p w14:paraId="0E33FD53" w14:textId="77777777" w:rsidR="00685084" w:rsidRDefault="00C21360">
      <w:pPr>
        <w:pStyle w:val="ListParagraph"/>
        <w:numPr>
          <w:ilvl w:val="0"/>
          <w:numId w:val="3"/>
        </w:numPr>
        <w:spacing w:after="100" w:line="300" w:lineRule="auto"/>
      </w:pPr>
      <w:r>
        <w:rPr>
          <w:b/>
          <w:bCs/>
        </w:rPr>
        <w:t xml:space="preserve">Move the primary CTA up into the high-attention zone. </w:t>
      </w:r>
      <w:r>
        <w:t>The bottom-of-page CTA is registering a single tap in the entire dataset. The conversion ask is below where most visitors are looking. Place a CTA at the 45% to 55% scroll zone where attention is densest, and keep one at the bottom for the long readers.</w:t>
      </w:r>
    </w:p>
    <w:p w14:paraId="7B8A1B63" w14:textId="77777777" w:rsidR="00685084" w:rsidRDefault="00C21360">
      <w:pPr>
        <w:pStyle w:val="ListParagraph"/>
        <w:numPr>
          <w:ilvl w:val="0"/>
          <w:numId w:val="3"/>
        </w:numPr>
        <w:spacing w:after="100" w:line="300" w:lineRule="auto"/>
      </w:pPr>
      <w:r>
        <w:rPr>
          <w:b/>
          <w:bCs/>
        </w:rPr>
        <w:t xml:space="preserve">Hamburger menu is the #1 tap. </w:t>
      </w:r>
      <w:r>
        <w:t>22.62% of all mobile taps on this page go to the hamburger. Visitors are landing on Yacht Management and immediately reaching for navigation. Two reads: the page is being used as a hub that needs better internal routing, or the sub-services are not being recognized as routes at all. Either way, the fix is the same as #1: surface the sub-services as visible links higher on the page.</w:t>
      </w:r>
    </w:p>
    <w:p w14:paraId="7C4994AE" w14:textId="77777777" w:rsidR="00685084" w:rsidRDefault="00C21360">
      <w:pPr>
        <w:pStyle w:val="ListParagraph"/>
        <w:numPr>
          <w:ilvl w:val="0"/>
          <w:numId w:val="3"/>
        </w:numPr>
        <w:spacing w:after="100" w:line="300" w:lineRule="auto"/>
      </w:pPr>
      <w:r>
        <w:rPr>
          <w:b/>
          <w:bCs/>
        </w:rPr>
        <w:t xml:space="preserve">Trim the mobile upper third. </w:t>
      </w:r>
      <w:r>
        <w:t>Drop-off on mobile is sharp. 17% gone by 15% scroll, 70% gone by 45% scroll. The top of the page is asking for too much patience before showing what the page is actually about. Tighten the hero or pull a service grid above the fold.</w:t>
      </w:r>
    </w:p>
    <w:p w14:paraId="182CDAA3" w14:textId="77777777" w:rsidR="00685084" w:rsidRDefault="00C21360">
      <w:pPr>
        <w:pStyle w:val="Heading3"/>
      </w:pPr>
      <w:r>
        <w:t>Notes</w:t>
      </w:r>
    </w:p>
    <w:p w14:paraId="0BCC6A99" w14:textId="77777777" w:rsidR="00685084" w:rsidRDefault="00C21360">
      <w:pPr>
        <w:spacing w:after="120" w:line="300" w:lineRule="auto"/>
      </w:pPr>
      <w:r>
        <w:t>This is a low-volume, high-intent page. The audience is already qualified. The work here is not pulling more traffic in. It is making sure the visitors who already arrived can reach the service they came for. The sub-service link fix is the one to do first.</w:t>
      </w:r>
    </w:p>
    <w:sectPr w:rsidR="006850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C7D"/>
    <w:multiLevelType w:val="hybridMultilevel"/>
    <w:tmpl w:val="B1E2B20E"/>
    <w:lvl w:ilvl="0" w:tplc="43044370">
      <w:start w:val="1"/>
      <w:numFmt w:val="bullet"/>
      <w:lvlText w:val="●"/>
      <w:lvlJc w:val="left"/>
      <w:pPr>
        <w:ind w:left="720" w:hanging="360"/>
      </w:pPr>
    </w:lvl>
    <w:lvl w:ilvl="1" w:tplc="8A22B7D8">
      <w:start w:val="1"/>
      <w:numFmt w:val="bullet"/>
      <w:lvlText w:val="○"/>
      <w:lvlJc w:val="left"/>
      <w:pPr>
        <w:ind w:left="1440" w:hanging="360"/>
      </w:pPr>
    </w:lvl>
    <w:lvl w:ilvl="2" w:tplc="59768AEE">
      <w:start w:val="1"/>
      <w:numFmt w:val="bullet"/>
      <w:lvlText w:val="■"/>
      <w:lvlJc w:val="left"/>
      <w:pPr>
        <w:ind w:left="2160" w:hanging="360"/>
      </w:pPr>
    </w:lvl>
    <w:lvl w:ilvl="3" w:tplc="5ED6BE34">
      <w:start w:val="1"/>
      <w:numFmt w:val="bullet"/>
      <w:lvlText w:val="●"/>
      <w:lvlJc w:val="left"/>
      <w:pPr>
        <w:ind w:left="2880" w:hanging="360"/>
      </w:pPr>
    </w:lvl>
    <w:lvl w:ilvl="4" w:tplc="895C0524">
      <w:start w:val="1"/>
      <w:numFmt w:val="bullet"/>
      <w:lvlText w:val="○"/>
      <w:lvlJc w:val="left"/>
      <w:pPr>
        <w:ind w:left="3600" w:hanging="360"/>
      </w:pPr>
    </w:lvl>
    <w:lvl w:ilvl="5" w:tplc="AD6A3992">
      <w:start w:val="1"/>
      <w:numFmt w:val="bullet"/>
      <w:lvlText w:val="■"/>
      <w:lvlJc w:val="left"/>
      <w:pPr>
        <w:ind w:left="4320" w:hanging="360"/>
      </w:pPr>
    </w:lvl>
    <w:lvl w:ilvl="6" w:tplc="1D5007A4">
      <w:start w:val="1"/>
      <w:numFmt w:val="bullet"/>
      <w:lvlText w:val="●"/>
      <w:lvlJc w:val="left"/>
      <w:pPr>
        <w:ind w:left="5040" w:hanging="360"/>
      </w:pPr>
    </w:lvl>
    <w:lvl w:ilvl="7" w:tplc="6D80644C">
      <w:start w:val="1"/>
      <w:numFmt w:val="bullet"/>
      <w:lvlText w:val="●"/>
      <w:lvlJc w:val="left"/>
      <w:pPr>
        <w:ind w:left="5760" w:hanging="360"/>
      </w:pPr>
    </w:lvl>
    <w:lvl w:ilvl="8" w:tplc="3F749D0A">
      <w:start w:val="1"/>
      <w:numFmt w:val="bullet"/>
      <w:lvlText w:val="●"/>
      <w:lvlJc w:val="left"/>
      <w:pPr>
        <w:ind w:left="6480" w:hanging="360"/>
      </w:pPr>
    </w:lvl>
  </w:abstractNum>
  <w:abstractNum w:abstractNumId="1" w15:restartNumberingAfterBreak="0">
    <w:nsid w:val="0FA60E5B"/>
    <w:multiLevelType w:val="hybridMultilevel"/>
    <w:tmpl w:val="BA642270"/>
    <w:lvl w:ilvl="0" w:tplc="72549766">
      <w:start w:val="1"/>
      <w:numFmt w:val="decimal"/>
      <w:lvlText w:val="%1."/>
      <w:lvlJc w:val="left"/>
      <w:pPr>
        <w:ind w:left="540" w:hanging="360"/>
      </w:pPr>
    </w:lvl>
    <w:lvl w:ilvl="1" w:tplc="C616DDC8">
      <w:numFmt w:val="decimal"/>
      <w:lvlText w:val=""/>
      <w:lvlJc w:val="left"/>
    </w:lvl>
    <w:lvl w:ilvl="2" w:tplc="EC5C3960">
      <w:numFmt w:val="decimal"/>
      <w:lvlText w:val=""/>
      <w:lvlJc w:val="left"/>
    </w:lvl>
    <w:lvl w:ilvl="3" w:tplc="9EACAE7A">
      <w:numFmt w:val="decimal"/>
      <w:lvlText w:val=""/>
      <w:lvlJc w:val="left"/>
    </w:lvl>
    <w:lvl w:ilvl="4" w:tplc="F5A08D7A">
      <w:numFmt w:val="decimal"/>
      <w:lvlText w:val=""/>
      <w:lvlJc w:val="left"/>
    </w:lvl>
    <w:lvl w:ilvl="5" w:tplc="FAFAFEBA">
      <w:numFmt w:val="decimal"/>
      <w:lvlText w:val=""/>
      <w:lvlJc w:val="left"/>
    </w:lvl>
    <w:lvl w:ilvl="6" w:tplc="ACB4ED52">
      <w:numFmt w:val="decimal"/>
      <w:lvlText w:val=""/>
      <w:lvlJc w:val="left"/>
    </w:lvl>
    <w:lvl w:ilvl="7" w:tplc="1450A52E">
      <w:numFmt w:val="decimal"/>
      <w:lvlText w:val=""/>
      <w:lvlJc w:val="left"/>
    </w:lvl>
    <w:lvl w:ilvl="8" w:tplc="531A60FA">
      <w:numFmt w:val="decimal"/>
      <w:lvlText w:val=""/>
      <w:lvlJc w:val="left"/>
    </w:lvl>
  </w:abstractNum>
  <w:abstractNum w:abstractNumId="2" w15:restartNumberingAfterBreak="0">
    <w:nsid w:val="30766B7A"/>
    <w:multiLevelType w:val="hybridMultilevel"/>
    <w:tmpl w:val="098CBCBE"/>
    <w:lvl w:ilvl="0" w:tplc="6A7EED7C">
      <w:start w:val="1"/>
      <w:numFmt w:val="decimal"/>
      <w:lvlText w:val="%1."/>
      <w:lvlJc w:val="left"/>
      <w:pPr>
        <w:ind w:left="540" w:hanging="360"/>
      </w:pPr>
    </w:lvl>
    <w:lvl w:ilvl="1" w:tplc="6DC0EE42">
      <w:numFmt w:val="decimal"/>
      <w:lvlText w:val=""/>
      <w:lvlJc w:val="left"/>
    </w:lvl>
    <w:lvl w:ilvl="2" w:tplc="04C43ED0">
      <w:numFmt w:val="decimal"/>
      <w:lvlText w:val=""/>
      <w:lvlJc w:val="left"/>
    </w:lvl>
    <w:lvl w:ilvl="3" w:tplc="134A708E">
      <w:numFmt w:val="decimal"/>
      <w:lvlText w:val=""/>
      <w:lvlJc w:val="left"/>
    </w:lvl>
    <w:lvl w:ilvl="4" w:tplc="549A1884">
      <w:numFmt w:val="decimal"/>
      <w:lvlText w:val=""/>
      <w:lvlJc w:val="left"/>
    </w:lvl>
    <w:lvl w:ilvl="5" w:tplc="EFF66C8C">
      <w:numFmt w:val="decimal"/>
      <w:lvlText w:val=""/>
      <w:lvlJc w:val="left"/>
    </w:lvl>
    <w:lvl w:ilvl="6" w:tplc="CE565070">
      <w:numFmt w:val="decimal"/>
      <w:lvlText w:val=""/>
      <w:lvlJc w:val="left"/>
    </w:lvl>
    <w:lvl w:ilvl="7" w:tplc="64F0D7FA">
      <w:numFmt w:val="decimal"/>
      <w:lvlText w:val=""/>
      <w:lvlJc w:val="left"/>
    </w:lvl>
    <w:lvl w:ilvl="8" w:tplc="30709494">
      <w:numFmt w:val="decimal"/>
      <w:lvlText w:val=""/>
      <w:lvlJc w:val="left"/>
    </w:lvl>
  </w:abstractNum>
  <w:abstractNum w:abstractNumId="3" w15:restartNumberingAfterBreak="0">
    <w:nsid w:val="5ADB5CED"/>
    <w:multiLevelType w:val="hybridMultilevel"/>
    <w:tmpl w:val="7CE2504A"/>
    <w:lvl w:ilvl="0" w:tplc="957E6FC2">
      <w:start w:val="1"/>
      <w:numFmt w:val="bullet"/>
      <w:lvlText w:val="•"/>
      <w:lvlJc w:val="left"/>
      <w:pPr>
        <w:ind w:left="540" w:hanging="270"/>
      </w:pPr>
    </w:lvl>
    <w:lvl w:ilvl="1" w:tplc="FBC6A724">
      <w:numFmt w:val="decimal"/>
      <w:lvlText w:val=""/>
      <w:lvlJc w:val="left"/>
    </w:lvl>
    <w:lvl w:ilvl="2" w:tplc="83FCF62C">
      <w:numFmt w:val="decimal"/>
      <w:lvlText w:val=""/>
      <w:lvlJc w:val="left"/>
    </w:lvl>
    <w:lvl w:ilvl="3" w:tplc="9DA07C50">
      <w:numFmt w:val="decimal"/>
      <w:lvlText w:val=""/>
      <w:lvlJc w:val="left"/>
    </w:lvl>
    <w:lvl w:ilvl="4" w:tplc="AF7A483C">
      <w:numFmt w:val="decimal"/>
      <w:lvlText w:val=""/>
      <w:lvlJc w:val="left"/>
    </w:lvl>
    <w:lvl w:ilvl="5" w:tplc="9CCE12FE">
      <w:numFmt w:val="decimal"/>
      <w:lvlText w:val=""/>
      <w:lvlJc w:val="left"/>
    </w:lvl>
    <w:lvl w:ilvl="6" w:tplc="E9249A76">
      <w:numFmt w:val="decimal"/>
      <w:lvlText w:val=""/>
      <w:lvlJc w:val="left"/>
    </w:lvl>
    <w:lvl w:ilvl="7" w:tplc="27A89D2E">
      <w:numFmt w:val="decimal"/>
      <w:lvlText w:val=""/>
      <w:lvlJc w:val="left"/>
    </w:lvl>
    <w:lvl w:ilvl="8" w:tplc="591AD220">
      <w:numFmt w:val="decimal"/>
      <w:lvlText w:val=""/>
      <w:lvlJc w:val="left"/>
    </w:lvl>
  </w:abstractNum>
  <w:num w:numId="1" w16cid:durableId="1644657347">
    <w:abstractNumId w:val="0"/>
    <w:lvlOverride w:ilvl="0">
      <w:startOverride w:val="1"/>
    </w:lvlOverride>
  </w:num>
  <w:num w:numId="2" w16cid:durableId="975646844">
    <w:abstractNumId w:val="1"/>
    <w:lvlOverride w:ilvl="0">
      <w:startOverride w:val="1"/>
    </w:lvlOverride>
  </w:num>
  <w:num w:numId="3" w16cid:durableId="10804468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084"/>
    <w:rsid w:val="00416006"/>
    <w:rsid w:val="00533AD9"/>
    <w:rsid w:val="00685084"/>
    <w:rsid w:val="00774833"/>
    <w:rsid w:val="00C21360"/>
    <w:rsid w:val="00C6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66EB"/>
  <w15:docId w15:val="{2F226446-089A-429D-B93A-654FC89D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80" w:after="100"/>
      <w:outlineLvl w:val="1"/>
    </w:pPr>
    <w:rPr>
      <w:b/>
      <w:bCs/>
      <w:color w:val="1F3A5F"/>
      <w:sz w:val="26"/>
      <w:szCs w:val="26"/>
    </w:rPr>
  </w:style>
  <w:style w:type="paragraph" w:styleId="Heading3">
    <w:name w:val="heading 3"/>
    <w:uiPriority w:val="9"/>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 Smith</cp:lastModifiedBy>
  <cp:revision>3</cp:revision>
  <dcterms:created xsi:type="dcterms:W3CDTF">2026-05-14T18:58:00Z</dcterms:created>
  <dcterms:modified xsi:type="dcterms:W3CDTF">2026-05-14T19:05:00Z</dcterms:modified>
</cp:coreProperties>
</file>