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1200"/>
        <w:jc w:val="center"/>
      </w:pPr>
      <w:r>
        <w:rPr>
          <w:b/>
          <w:bCs/>
          <w:color w:val="1F4E79"/>
          <w:sz w:val="44"/>
          <w:szCs w:val="44"/>
        </w:rPr>
        <w:t xml:space="preserve">RGW small-object performance:</w:t>
      </w:r>
    </w:p>
    <w:p>
      <w:pPr>
        <w:spacing w:after="240"/>
        <w:jc w:val="center"/>
      </w:pPr>
      <w:r>
        <w:rPr>
          <w:b/>
          <w:bCs/>
          <w:color w:val="1F4E79"/>
          <w:sz w:val="44"/>
          <w:szCs w:val="44"/>
        </w:rPr>
        <w:t xml:space="preserve">the bucket index bottleneck</w:t>
      </w:r>
    </w:p>
    <w:p>
      <w:pPr>
        <w:spacing w:after="60"/>
        <w:jc w:val="center"/>
      </w:pPr>
      <w:r>
        <w:rPr>
          <w:color w:val="666666"/>
          <w:sz w:val="26"/>
          <w:szCs w:val="26"/>
        </w:rPr>
        <w:t xml:space="preserve">Code-level analysis and optimization guide</w:t>
      </w:r>
    </w:p>
    <w:p>
      <w:pPr>
        <w:spacing w:after="900"/>
        <w:jc w:val="center"/>
      </w:pPr>
      <w:r>
        <w:rPr>
          <w:color w:val="666666"/>
          <w:sz w:val="22"/>
          <w:szCs w:val="22"/>
        </w:rPr>
        <w:t xml:space="preserve">Adi Bakamovic · Clyso · August 2026</w:t>
      </w:r>
    </w:p>
    <w:p>
      <w:pPr>
        <w:spacing w:after="120" w:line="276"/>
      </w:pPr>
      <w:r>
        <w:rPr>
          <w:b/>
          <w:bCs/>
        </w:rPr>
        <w:t xml:space="preserve">Context. </w:t>
      </w:r>
      <w:r>
        <w:t xml:space="preserve">The Clyso Enterprise Storage All-Flash Ceph Deployment Guide v1.1 measured 178K PUT/s for 4KB objects across 20 RGW daemons and observed that “CPU usage and round-trip latency for bucket metadata played a bigger role in aggregate performance than network throughput. Bucket index contention between the RGW daemons may have played a significant role.” This document traces that hypothesis through the Ceph source code, explains the mechanism precisely, and lists what can be done about it — operationally today and in code upstream. A companion Markdown document (rgw-bucket-index-bottleneck-analysis.md) carries full file-and-line references.</w:t>
      </w:r>
    </w:p>
    <w:p>
      <w:pPr>
        <w:pStyle w:val="Heading1"/>
        <w:spacing w:after="140" w:before="320"/>
      </w:pPr>
      <w:r>
        <w:t xml:space="preserve">1. Executive summary</w:t>
      </w:r>
    </w:p>
    <w:p>
      <w:pPr>
        <w:spacing w:after="120" w:line="276"/>
      </w:pPr>
      <w:r>
        <w:t xml:space="preserve">The code confirms the guide's hypothesis and sharpens it. Two bottlenecks compound at high small-object PUT rates:</w:t>
      </w:r>
    </w:p>
    <w:p>
      <w:pPr>
        <w:pStyle w:val="ListParagraph"/>
        <w:numPr>
          <w:ilvl w:val="0"/>
          <w:numId w:val="2"/>
        </w:numPr>
        <w:spacing w:after="80" w:line="276"/>
      </w:pPr>
      <w:r>
        <w:rPr>
          <w:b/>
          <w:bCs/>
        </w:rPr>
        <w:t xml:space="preserve">Bucket index contention. </w:t>
      </w:r>
      <w:r>
        <w:t xml:space="preserve">Every PUT performs two metadata operations against a bucket index shard object. All RGW daemons hash object names onto the same per-bucket set of shard objects, so adding daemons adds offered load but zero server-side parallelism. Each shard lives on one primary OSD where index operations effectively execute one at a time, each performing six RocksDB reads and three to four writes per completed PUT.</w:t>
      </w:r>
    </w:p>
    <w:p>
      <w:pPr>
        <w:pStyle w:val="ListParagraph"/>
        <w:numPr>
          <w:ilvl w:val="0"/>
          <w:numId w:val="2"/>
        </w:numPr>
        <w:spacing w:after="80" w:line="276"/>
      </w:pPr>
      <w:r>
        <w:rPr>
          <w:b/>
          <w:bCs/>
        </w:rPr>
        <w:t xml:space="preserve">RGW per-request CPU. </w:t>
      </w:r>
      <w:r>
        <w:t xml:space="preserve">A 4KB authenticated PUT hashes the payload up to three times (SHA256 verification, MD5 ETag, optional checksum) plus a per-chunk HMAC signature chain for streaming uploads — on top of HTTP parsing and per-request setup. In the guide's test, 20 RGW daemons consumed 269 CPU cores against 475 for the entire OSD tier.</w:t>
      </w:r>
    </w:p>
    <w:p>
      <w:pPr>
        <w:spacing w:after="120" w:line="276"/>
      </w:pPr>
      <w:r>
        <w:t xml:space="preserve">The per-shard throughput ceiling is approximately </w:t>
      </w:r>
      <w:r>
        <w:rPr>
          <w:i/>
          <w:iCs/>
        </w:rPr>
        <w:t xml:space="preserve">1 / (index-op commit latency)</w:t>
      </w:r>
      <w:r>
        <w:t xml:space="preserve">. The number of RGW daemons does not appear in that formula — which is exactly why the guide predicts difficulty scaling beyond 20 daemons without careful planning.</w:t>
      </w:r>
    </w:p>
    <w:p>
      <w:pPr>
        <w:pStyle w:val="Heading1"/>
        <w:spacing w:after="140" w:before="320"/>
      </w:pPr>
      <w:r>
        <w:t xml:space="preserve">2. Why the bucket index serializes writes</w:t>
      </w:r>
    </w:p>
    <w:p>
      <w:pPr>
        <w:spacing w:after="120" w:line="276"/>
      </w:pPr>
      <w:r>
        <w:t xml:space="preserve">A PUT is not just a data write. Before writing object data, RGW synchronously marks the object as pending in the bucket index (“prepare”); after the data write it updates the index entry and bucket statistics (“complete”). These land on an index shard object chosen by hashing the object name, and a bucket has a fixed number of shards.</w:t>
      </w:r>
    </w:p>
    <w:p>
      <w:pPr>
        <w:spacing w:after="120" w:line="276"/>
      </w:pPr>
      <w:r>
        <w:t xml:space="preserve">At the OSD hosting a shard, each index operation runs inline on a single worker thread and performs:</w:t>
      </w:r>
    </w:p>
    <w:p>
      <w:pPr>
        <w:spacing w:after="120"/>
      </w:pPr>
    </w:p>
    <w:tbl>
      <w:tblPr>
        <w:tblW w:type="dxa" w:w="9540"/>
        <w:tblBorders>
          <w:top w:val="single" w:color="auto" w:sz="4"/>
          <w:left w:val="single" w:color="auto" w:sz="4"/>
          <w:bottom w:val="single" w:color="auto" w:sz="4"/>
          <w:right w:val="single" w:color="auto" w:sz="4"/>
          <w:insideH w:val="single" w:color="auto" w:sz="4"/>
          <w:insideV w:val="single" w:color="auto" w:sz="4"/>
        </w:tblBorders>
      </w:tblPr>
      <w:tblGrid>
        <w:gridCol w:w="2200"/>
        <w:gridCol w:w="2600"/>
        <w:gridCol w:w="2600"/>
        <w:gridCol w:w="2140"/>
      </w:tblGrid>
      <w:tr>
        <w:trPr>
          <w:tblHeader/>
        </w:trPr>
        <w:tc>
          <w:tcPr>
            <w:tcW w:type="dxa" w:w="2200"/>
            <w:shd w:fill="1F4E79" w:val="clear"/>
            <w:tcMar>
              <w:top w:type="dxa" w:w="60"/>
              <w:left w:type="dxa" w:w="100"/>
              <w:bottom w:type="dxa" w:w="60"/>
              <w:right w:type="dxa" w:w="100"/>
            </w:tcMar>
          </w:tcPr>
          <w:p>
            <w:r>
              <w:rPr>
                <w:b/>
                <w:bCs/>
                <w:color w:val="FFFFFF"/>
                <w:sz w:val="19"/>
                <w:szCs w:val="19"/>
              </w:rPr>
              <w:t xml:space="preserve">Index op</w:t>
            </w:r>
          </w:p>
        </w:tc>
        <w:tc>
          <w:tcPr>
            <w:tcW w:type="dxa" w:w="2600"/>
            <w:shd w:fill="1F4E79" w:val="clear"/>
            <w:tcMar>
              <w:top w:type="dxa" w:w="60"/>
              <w:left w:type="dxa" w:w="100"/>
              <w:bottom w:type="dxa" w:w="60"/>
              <w:right w:type="dxa" w:w="100"/>
            </w:tcMar>
          </w:tcPr>
          <w:p>
            <w:r>
              <w:rPr>
                <w:b/>
                <w:bCs/>
                <w:color w:val="FFFFFF"/>
                <w:sz w:val="19"/>
                <w:szCs w:val="19"/>
              </w:rPr>
              <w:t xml:space="preserve">RocksDB point reads</w:t>
            </w:r>
          </w:p>
        </w:tc>
        <w:tc>
          <w:tcPr>
            <w:tcW w:type="dxa" w:w="2600"/>
            <w:shd w:fill="1F4E79" w:val="clear"/>
            <w:tcMar>
              <w:top w:type="dxa" w:w="60"/>
              <w:left w:type="dxa" w:w="100"/>
              <w:bottom w:type="dxa" w:w="60"/>
              <w:right w:type="dxa" w:w="100"/>
            </w:tcMar>
          </w:tcPr>
          <w:p>
            <w:r>
              <w:rPr>
                <w:b/>
                <w:bCs/>
                <w:color w:val="FFFFFF"/>
                <w:sz w:val="19"/>
                <w:szCs w:val="19"/>
              </w:rPr>
              <w:t xml:space="preserve">RocksDB writes</w:t>
            </w:r>
          </w:p>
        </w:tc>
        <w:tc>
          <w:tcPr>
            <w:tcW w:type="dxa" w:w="2140"/>
            <w:shd w:fill="1F4E79" w:val="clear"/>
            <w:tcMar>
              <w:top w:type="dxa" w:w="60"/>
              <w:left w:type="dxa" w:w="100"/>
              <w:bottom w:type="dxa" w:w="60"/>
              <w:right w:type="dxa" w:w="100"/>
            </w:tcMar>
          </w:tcPr>
          <w:p>
            <w:r>
              <w:rPr>
                <w:b/>
                <w:bCs/>
                <w:color w:val="FFFFFF"/>
                <w:sz w:val="19"/>
                <w:szCs w:val="19"/>
              </w:rPr>
              <w:t xml:space="preserve">Notes</w:t>
            </w:r>
          </w:p>
        </w:tc>
      </w:tr>
      <w:tr>
        <w:tc>
          <w:tcPr>
            <w:tcW w:type="dxa" w:w="2200"/>
            <w:tcMar>
              <w:top w:type="dxa" w:w="60"/>
              <w:left w:type="dxa" w:w="100"/>
              <w:bottom w:type="dxa" w:w="60"/>
              <w:right w:type="dxa" w:w="100"/>
            </w:tcMar>
          </w:tcPr>
          <w:p>
            <w:r>
              <w:rPr>
                <w:sz w:val="19"/>
                <w:szCs w:val="19"/>
              </w:rPr>
              <w:t xml:space="preserve">prepare (sync)</w:t>
            </w:r>
          </w:p>
        </w:tc>
        <w:tc>
          <w:tcPr>
            <w:tcW w:type="dxa" w:w="2600"/>
            <w:tcMar>
              <w:top w:type="dxa" w:w="60"/>
              <w:left w:type="dxa" w:w="100"/>
              <w:bottom w:type="dxa" w:w="60"/>
              <w:right w:type="dxa" w:w="100"/>
            </w:tcMar>
          </w:tcPr>
          <w:p>
            <w:r>
              <w:rPr>
                <w:sz w:val="19"/>
                <w:szCs w:val="19"/>
              </w:rPr>
              <w:t xml:space="preserve">3 (header twice, entry once)</w:t>
            </w:r>
          </w:p>
        </w:tc>
        <w:tc>
          <w:tcPr>
            <w:tcW w:type="dxa" w:w="2600"/>
            <w:tcMar>
              <w:top w:type="dxa" w:w="60"/>
              <w:left w:type="dxa" w:w="100"/>
              <w:bottom w:type="dxa" w:w="60"/>
              <w:right w:type="dxa" w:w="100"/>
            </w:tcMar>
          </w:tcPr>
          <w:p>
            <w:r>
              <w:rPr>
                <w:sz w:val="19"/>
                <w:szCs w:val="19"/>
              </w:rPr>
              <w:t xml:space="preserve">1 (entry + pending tag)</w:t>
            </w:r>
          </w:p>
        </w:tc>
        <w:tc>
          <w:tcPr>
            <w:tcW w:type="dxa" w:w="2140"/>
            <w:tcMar>
              <w:top w:type="dxa" w:w="60"/>
              <w:left w:type="dxa" w:w="100"/>
              <w:bottom w:type="dxa" w:w="60"/>
              <w:right w:type="dxa" w:w="100"/>
            </w:tcMar>
          </w:tcPr>
          <w:p>
            <w:r>
              <w:rPr>
                <w:sz w:val="19"/>
                <w:szCs w:val="19"/>
              </w:rPr>
              <w:t xml:space="preserve">Blocks the request before the data write</w:t>
            </w:r>
          </w:p>
        </w:tc>
      </w:tr>
      <w:tr>
        <w:tc>
          <w:tcPr>
            <w:tcW w:type="dxa" w:w="2200"/>
            <w:shd w:fill="F2F6FA" w:val="clear"/>
            <w:tcMar>
              <w:top w:type="dxa" w:w="60"/>
              <w:left w:type="dxa" w:w="100"/>
              <w:bottom w:type="dxa" w:w="60"/>
              <w:right w:type="dxa" w:w="100"/>
            </w:tcMar>
          </w:tcPr>
          <w:p>
            <w:r>
              <w:rPr>
                <w:sz w:val="19"/>
                <w:szCs w:val="19"/>
              </w:rPr>
              <w:t xml:space="preserve">complete (async)</w:t>
            </w:r>
          </w:p>
        </w:tc>
        <w:tc>
          <w:tcPr>
            <w:tcW w:type="dxa" w:w="2600"/>
            <w:shd w:fill="F2F6FA" w:val="clear"/>
            <w:tcMar>
              <w:top w:type="dxa" w:w="60"/>
              <w:left w:type="dxa" w:w="100"/>
              <w:bottom w:type="dxa" w:w="60"/>
              <w:right w:type="dxa" w:w="100"/>
            </w:tcMar>
          </w:tcPr>
          <w:p>
            <w:r>
              <w:rPr>
                <w:sz w:val="19"/>
                <w:szCs w:val="19"/>
              </w:rPr>
              <w:t xml:space="preserve">3 (header twice, entry once)</w:t>
            </w:r>
          </w:p>
        </w:tc>
        <w:tc>
          <w:tcPr>
            <w:tcW w:type="dxa" w:w="2600"/>
            <w:shd w:fill="F2F6FA" w:val="clear"/>
            <w:tcMar>
              <w:top w:type="dxa" w:w="60"/>
              <w:left w:type="dxa" w:w="100"/>
              <w:bottom w:type="dxa" w:w="60"/>
              <w:right w:type="dxa" w:w="100"/>
            </w:tcMar>
          </w:tcPr>
          <w:p>
            <w:r>
              <w:rPr>
                <w:sz w:val="19"/>
                <w:szCs w:val="19"/>
              </w:rPr>
              <w:t xml:space="preserve">2 (entry + header rewrite)</w:t>
            </w:r>
          </w:p>
        </w:tc>
        <w:tc>
          <w:tcPr>
            <w:tcW w:type="dxa" w:w="2140"/>
            <w:shd w:fill="F2F6FA" w:val="clear"/>
            <w:tcMar>
              <w:top w:type="dxa" w:w="60"/>
              <w:left w:type="dxa" w:w="100"/>
              <w:bottom w:type="dxa" w:w="60"/>
              <w:right w:type="dxa" w:w="100"/>
            </w:tcMar>
          </w:tcPr>
          <w:p>
            <w:r>
              <w:rPr>
                <w:sz w:val="19"/>
                <w:szCs w:val="19"/>
              </w:rPr>
              <w:t xml:space="preserve">+1 write per op with multisite logging</w:t>
            </w:r>
          </w:p>
        </w:tc>
      </w:tr>
    </w:tbl>
    <w:p>
      <w:pPr>
        <w:spacing w:after="120"/>
      </w:pPr>
    </w:p>
    <w:p>
      <w:pPr>
        <w:spacing w:after="120" w:line="276"/>
      </w:pPr>
      <w:r>
        <w:t xml:space="preserve">Three code-level facts make this a hard serialization point rather than ordinary load:</w:t>
      </w:r>
    </w:p>
    <w:p>
      <w:pPr>
        <w:pStyle w:val="ListParagraph"/>
        <w:numPr>
          <w:ilvl w:val="0"/>
          <w:numId w:val="3"/>
        </w:numPr>
        <w:spacing w:after="80" w:line="276"/>
      </w:pPr>
      <w:r>
        <w:rPr>
          <w:b/>
          <w:bCs/>
        </w:rPr>
        <w:t xml:space="preserve">The shard header is rewritten on every complete. </w:t>
      </w:r>
      <w:r>
        <w:t xml:space="preserve">It holds the bucket's per-category statistics, so every operation is a read-modify-write of one hot key. This is a semantic constraint — no locking improvement can parallelize it without changing the data model.</w:t>
      </w:r>
    </w:p>
    <w:p>
      <w:pPr>
        <w:pStyle w:val="ListParagraph"/>
        <w:numPr>
          <w:ilvl w:val="0"/>
          <w:numId w:val="3"/>
        </w:numPr>
        <w:spacing w:after="80" w:line="276"/>
      </w:pPr>
      <w:r>
        <w:rPr>
          <w:b/>
          <w:bCs/>
        </w:rPr>
        <w:t xml:space="preserve">Back-to-back operations stall on the previous write. </w:t>
      </w:r>
      <w:r>
        <w:t xml:space="preserve">BlueStore forces a read of the shard's metadata to wait until the preceding transaction reaches RocksDB, so consecutive index ops on one shard serialize on key-value commit latency.</w:t>
      </w:r>
    </w:p>
    <w:p>
      <w:pPr>
        <w:pStyle w:val="ListParagraph"/>
        <w:numPr>
          <w:ilvl w:val="0"/>
          <w:numId w:val="3"/>
        </w:numPr>
        <w:spacing w:after="80" w:line="276"/>
      </w:pPr>
      <w:r>
        <w:rPr>
          <w:b/>
          <w:bCs/>
        </w:rPr>
        <w:t xml:space="preserve">A single reader creates a convoy. </w:t>
      </w:r>
      <w:r>
        <w:t xml:space="preserve">Index writes share the object lock among themselves, but one waiting reader (a bucket listing against a hot shard) forces all subsequent writers to queue behind it.</w:t>
      </w:r>
    </w:p>
    <w:p>
      <w:pPr>
        <w:spacing w:after="120" w:line="276"/>
      </w:pPr>
      <w:r>
        <w:t xml:space="preserve">The lock a request holds is also released only after the update has committed locally and on every replica — so each queued operation waits out its predecessor's full replication round trip. This is the “round-trip latency for bucket metadata” the guide observed.</w:t>
      </w:r>
    </w:p>
    <w:p>
      <w:pPr>
        <w:pStyle w:val="Heading1"/>
        <w:spacing w:after="140" w:before="320"/>
      </w:pPr>
      <w:r>
        <w:t xml:space="preserve">3. Why adding RGW daemons doesn't help</w:t>
      </w:r>
    </w:p>
    <w:p>
      <w:pPr>
        <w:spacing w:after="120" w:line="276"/>
      </w:pPr>
      <w:r>
        <w:t xml:space="preserve">For a bucket with </w:t>
      </w:r>
      <w:r>
        <w:rPr>
          <w:i/>
          <w:iCs/>
        </w:rPr>
        <w:t xml:space="preserve">S</w:t>
      </w:r>
      <w:r>
        <w:t xml:space="preserve"> shards and per-operation commit latency </w:t>
      </w:r>
      <w:r>
        <w:rPr>
          <w:i/>
          <w:iCs/>
        </w:rPr>
        <w:t xml:space="preserve">L</w:t>
      </w:r>
      <w:r>
        <w:t xml:space="preserve">, sustained throughput is bounded by roughly </w:t>
      </w:r>
      <w:r>
        <w:rPr>
          <w:i/>
          <w:iCs/>
        </w:rPr>
        <w:t xml:space="preserve">S / (2·L)</w:t>
      </w:r>
      <w:r>
        <w:t xml:space="preserve"> PUT/s. RGW daemon count is absent from the formula: more daemons deepen the queue at each shard, raising latency without raising throughput. The two levers that exist are more shards and lower commit latency.</w:t>
      </w:r>
    </w:p>
    <w:p>
      <w:pPr>
        <w:pStyle w:val="Heading1"/>
        <w:spacing w:after="140" w:before="320"/>
      </w:pPr>
      <w:r>
        <w:t xml:space="preserve">4. Recommendations — operational (no code changes)</w:t>
      </w:r>
    </w:p>
    <w:p>
      <w:pPr>
        <w:pStyle w:val="ListParagraph"/>
        <w:numPr>
          <w:ilvl w:val="0"/>
          <w:numId w:val="4"/>
        </w:numPr>
        <w:spacing w:after="80" w:line="276"/>
      </w:pPr>
      <w:r>
        <w:rPr>
          <w:b/>
          <w:bCs/>
        </w:rPr>
        <w:t xml:space="preserve">Pre-shard for peak concurrency, not object count. </w:t>
      </w:r>
      <w:r>
        <w:t xml:space="preserve">Size shards as target PUT/s × per-op commit latency (rounded up to a prime) via the zone's bucket_index_max_shards. Dynamic resharding is a safety net, not a strategy: it triggers only at 100K objects per shard and briefly blocks writes while running.</w:t>
      </w:r>
    </w:p>
    <w:p>
      <w:pPr>
        <w:pStyle w:val="ListParagraph"/>
        <w:numPr>
          <w:ilvl w:val="0"/>
          <w:numId w:val="4"/>
        </w:numPr>
        <w:spacing w:after="80" w:line="276"/>
      </w:pPr>
      <w:r>
        <w:rPr>
          <w:b/>
          <w:bCs/>
        </w:rPr>
        <w:t xml:space="preserve">Use indexless buckets where listing is never needed. </w:t>
      </w:r>
      <w:r>
        <w:t xml:space="preserve">Both index operations vanish entirely. Incompatible with listing, multisite sync, and lifecycle — but ideal for cache and blob workloads.</w:t>
      </w:r>
    </w:p>
    <w:p>
      <w:pPr>
        <w:pStyle w:val="ListParagraph"/>
        <w:numPr>
          <w:ilvl w:val="0"/>
          <w:numId w:val="4"/>
        </w:numPr>
        <w:spacing w:after="80" w:line="276"/>
      </w:pPr>
      <w:r>
        <w:rPr>
          <w:b/>
          <w:bCs/>
        </w:rPr>
        <w:t xml:space="preserve">Spread hot workloads across buckets. </w:t>
      </w:r>
      <w:r>
        <w:t xml:space="preserve">Same effect as sharding, achieved at the application level.</w:t>
      </w:r>
    </w:p>
    <w:p>
      <w:pPr>
        <w:pStyle w:val="ListParagraph"/>
        <w:numPr>
          <w:ilvl w:val="0"/>
          <w:numId w:val="4"/>
        </w:numPr>
        <w:spacing w:after="80" w:line="276"/>
      </w:pPr>
      <w:r>
        <w:rPr>
          <w:b/>
          <w:bCs/>
        </w:rPr>
        <w:t xml:space="preserve">Keep multisite logging away from hot buckets. </w:t>
      </w:r>
      <w:r>
        <w:t xml:space="preserve">Replication logging adds an extra write inside the serialized section plus a separate datalog operation per PUT.</w:t>
      </w:r>
    </w:p>
    <w:p>
      <w:pPr>
        <w:pStyle w:val="ListParagraph"/>
        <w:numPr>
          <w:ilvl w:val="0"/>
          <w:numId w:val="4"/>
        </w:numPr>
        <w:spacing w:after="80" w:line="276"/>
      </w:pPr>
      <w:r>
        <w:rPr>
          <w:b/>
          <w:bCs/>
        </w:rPr>
        <w:t xml:space="preserve">Give the index pool dedicated NVMe. </w:t>
      </w:r>
      <w:r>
        <w:t xml:space="preserve">Index performance is purely RocksDB performance; fast WAL/DB devices shorten the commit latency that sets the per-shard ceiling. Watch compaction — every index write is WAL traffic that compaction rewrites.</w:t>
      </w:r>
    </w:p>
    <w:p>
      <w:pPr>
        <w:pStyle w:val="ListParagraph"/>
        <w:numPr>
          <w:ilvl w:val="0"/>
          <w:numId w:val="4"/>
        </w:numPr>
        <w:spacing w:after="80" w:line="276"/>
      </w:pPr>
      <w:r>
        <w:rPr>
          <w:b/>
          <w:bCs/>
        </w:rPr>
        <w:t xml:space="preserve">Tune OSD op-queue shards on index OSDs </w:t>
      </w:r>
      <w:r>
        <w:t xml:space="preserve">(osd_op_num_shards_ssd, osd_op_num_threads_per_shard_ssd): by default only ~2 threads serve all placement groups of an op-queue shard, and one slow RocksDB read blocks one of them.</w:t>
      </w:r>
    </w:p>
    <w:p>
      <w:pPr>
        <w:pStyle w:val="ListParagraph"/>
        <w:numPr>
          <w:ilvl w:val="0"/>
          <w:numId w:val="4"/>
        </w:numPr>
        <w:spacing w:after="80" w:line="276"/>
      </w:pPr>
      <w:r>
        <w:rPr>
          <w:b/>
          <w:bCs/>
        </w:rPr>
        <w:t xml:space="preserve">Avoid listing hot buckets during heavy ingest </w:t>
      </w:r>
      <w:r>
        <w:t xml:space="preserve">(the reader-convoy effect above).</w:t>
      </w:r>
    </w:p>
    <w:p>
      <w:pPr>
        <w:pStyle w:val="ListParagraph"/>
        <w:numPr>
          <w:ilvl w:val="0"/>
          <w:numId w:val="4"/>
        </w:numPr>
        <w:spacing w:after="80" w:line="276"/>
      </w:pPr>
      <w:r>
        <w:rPr>
          <w:b/>
          <w:bCs/>
        </w:rPr>
        <w:t xml:space="preserve">Reduce RGW CPU per request: </w:t>
      </w:r>
      <w:r>
        <w:t xml:space="preserve">prefer unsigned payloads where the security model allows (saves a full SHA256 pass plus per-chunk signatures), terminate TLS at the load balancer, disable the ops log, and prefer fewer, larger daemons — the guide itself notes better efficiency with fewer.</w:t>
      </w:r>
    </w:p>
    <w:p>
      <w:pPr>
        <w:pStyle w:val="Heading1"/>
        <w:spacing w:after="140" w:before="320"/>
      </w:pPr>
      <w:r>
        <w:t xml:space="preserve">5. Recommendations — upstream code work</w:t>
      </w:r>
    </w:p>
    <w:p>
      <w:pPr>
        <w:pStyle w:val="ListParagraph"/>
        <w:numPr>
          <w:ilvl w:val="0"/>
          <w:numId w:val="5"/>
        </w:numPr>
        <w:spacing w:after="80" w:line="276"/>
      </w:pPr>
      <w:r>
        <w:rPr>
          <w:b/>
          <w:bCs/>
        </w:rPr>
        <w:t xml:space="preserve">Remove the redundant header read. </w:t>
      </w:r>
      <w:r>
        <w:t xml:space="preserve">The resharding guard and the main handler each read and decode the shard header — two of the six RocksDB reads per PUT are strictly redundant. Mechanical, low-risk fix.</w:t>
      </w:r>
    </w:p>
    <w:p>
      <w:pPr>
        <w:pStyle w:val="ListParagraph"/>
        <w:numPr>
          <w:ilvl w:val="0"/>
          <w:numId w:val="5"/>
        </w:numPr>
        <w:spacing w:after="80" w:line="276"/>
      </w:pPr>
      <w:r>
        <w:rPr>
          <w:b/>
          <w:bCs/>
        </w:rPr>
        <w:t xml:space="preserve">Batch or shard the header statistics update. </w:t>
      </w:r>
      <w:r>
        <w:t xml:space="preserve">Accumulating stat deltas instead of rewriting the header on every complete relaxes the semantic serialization itself — the highest-leverage structural change.</w:t>
      </w:r>
    </w:p>
    <w:p>
      <w:pPr>
        <w:pStyle w:val="ListParagraph"/>
        <w:numPr>
          <w:ilvl w:val="0"/>
          <w:numId w:val="5"/>
        </w:numPr>
        <w:spacing w:after="80" w:line="276"/>
      </w:pPr>
      <w:r>
        <w:rPr>
          <w:b/>
          <w:bCs/>
        </w:rPr>
        <w:t xml:space="preserve">Single-round-trip index update. </w:t>
      </w:r>
      <w:r>
        <w:t xml:space="preserve">For non-versioned, single-site buckets, the two-phase prepare/complete protocol could collapse to one operation, halving index load.</w:t>
      </w:r>
    </w:p>
    <w:p>
      <w:pPr>
        <w:pStyle w:val="ListParagraph"/>
        <w:numPr>
          <w:ilvl w:val="0"/>
          <w:numId w:val="5"/>
        </w:numPr>
        <w:spacing w:after="80" w:line="276"/>
      </w:pPr>
      <w:r>
        <w:rPr>
          <w:b/>
          <w:bCs/>
        </w:rPr>
        <w:t xml:space="preserve">Accelerate and fuse hashing. </w:t>
      </w:r>
      <w:r>
        <w:t xml:space="preserve">Hardware-accelerated MD5/SHA256 and a single fused pass over the payload instead of up to three.</w:t>
      </w:r>
    </w:p>
    <w:p>
      <w:pPr>
        <w:pStyle w:val="Heading1"/>
        <w:spacing w:after="140" w:before="320"/>
      </w:pPr>
      <w:r>
        <w:t xml:space="preserve">6. Validating on a live cluster</w:t>
      </w:r>
    </w:p>
    <w:p>
      <w:pPr>
        <w:pStyle w:val="ListParagraph"/>
        <w:numPr>
          <w:ilvl w:val="0"/>
          <w:numId w:val="3"/>
        </w:numPr>
        <w:spacing w:after="80" w:line="276"/>
      </w:pPr>
      <w:r>
        <w:t xml:space="preserve">Enable rgw_bucket_index_transaction_instrumentation for per-operation timing of every index transaction, end to end.</w:t>
      </w:r>
    </w:p>
    <w:p>
      <w:pPr>
        <w:pStyle w:val="ListParagraph"/>
        <w:numPr>
          <w:ilvl w:val="0"/>
          <w:numId w:val="3"/>
        </w:numPr>
        <w:spacing w:after="80" w:line="276"/>
      </w:pPr>
      <w:r>
        <w:t xml:space="preserve">On index-pool OSDs, watch dump_ops_in_flight for “waiting for rw locks” and “waiting for ondisk” delays — these are the queues described above.</w:t>
      </w:r>
    </w:p>
    <w:p>
      <w:pPr>
        <w:pStyle w:val="ListParagraph"/>
        <w:numPr>
          <w:ilvl w:val="0"/>
          <w:numId w:val="3"/>
        </w:numPr>
        <w:spacing w:after="80" w:line="276"/>
      </w:pPr>
      <w:r>
        <w:t xml:space="preserve">Cross-check PG read/write counters on index PGs against the per-op inventory in section 2 (a prepare accounts 4 reads/1 write; a complete 4 reads/2–3 writes) to confirm the model matches the cluster.</w:t>
      </w:r>
    </w:p>
    <w:p>
      <w:pPr>
        <w:spacing w:after="120" w:before="200"/>
      </w:pPr>
      <w:r>
        <w:rPr>
          <w:b/>
          <w:bCs/>
        </w:rPr>
        <w:t xml:space="preserve">Bottom line: </w:t>
      </w:r>
      <w:r>
        <w:t xml:space="preserve">scale the index (shards, or no index at all), shorten its commit path (NVMe, RocksDB health, no gratuitous logging), and spend RGW CPU only on hashing you actually need. Daemon count alone will not move small-object PUT numbers.</w:t>
      </w:r>
    </w:p>
    <w:sectPr>
      <w:footerReference w:type="default" r:id="rId7"/>
      <w:pgSz w:w="12240" w:h="15840" w:orient="portrait"/>
      <w:pgMar w:top="1200" w:right="1350" w:bottom="1200" w:left="135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666666"/>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40"/>
      </w:pPr>
    </w:lvl>
  </w:abstractNum>
  <w:abstractNum w:abstractNumId="3" w15:restartNumberingAfterBreak="0">
    <w:multiLevelType w:val="hybridMultilevel"/>
    <w:lvl w:ilvl="0" w15:tentative="1">
      <w:start w:val="1"/>
      <w:numFmt w:val="decimal"/>
      <w:lvlText w:val="%1."/>
      <w:lvlJc w:val="left"/>
      <w:pPr>
        <w:ind w:left="360" w:hanging="300"/>
      </w:pPr>
    </w:lvl>
  </w:abstractNum>
  <w:abstractNum w:abstractNumId="4" w15:restartNumberingAfterBreak="0">
    <w:multiLevelType w:val="hybridMultilevel"/>
    <w:lvl w:ilvl="0" w15:tentative="1">
      <w:start w:val="1"/>
      <w:numFmt w:val="decimal"/>
      <w:lvlText w:val="%1."/>
      <w:lvlJc w:val="left"/>
      <w:pPr>
        <w:ind w:left="360" w:hanging="300"/>
      </w:pPr>
    </w:lvl>
  </w:abstractNum>
  <w:abstractNum w:abstractNumId="5" w15:restartNumberingAfterBreak="0">
    <w:multiLevelType w:val="hybridMultilevel"/>
    <w:lvl w:ilvl="0" w15:tentative="1">
      <w:start w:val="1"/>
      <w:numFmt w:val="decimal"/>
      <w:lvlText w:val="%1."/>
      <w:lvlJc w:val="left"/>
      <w:pPr>
        <w:ind w:left="360" w:hanging="30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 w:numId="4">
    <w:abstractNumId w:val="4"/>
    <w:lvlOverride w:ilvl="0">
      <w:startOverride w:val="1"/>
    </w:lvlOverride>
  </w:num>
  <w:num w:numId="5">
    <w:abstractNumId w:val="5"/>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pPr>
        <w:spacing w:line="276"/>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40" w:before="320"/>
    </w:pPr>
    <w:rPr>
      <w:b/>
      <w:bCs/>
      <w:color w:val="1F4E79"/>
      <w:sz w:val="30"/>
      <w:szCs w:val="30"/>
    </w:rPr>
  </w:style>
  <w:style w:type="paragraph" w:styleId="Heading2">
    <w:name w:val="Heading 2"/>
    <w:basedOn w:val="Normal"/>
    <w:next w:val="Normal"/>
    <w:qFormat/>
    <w:pPr>
      <w:spacing w:after="100" w:before="240"/>
    </w:pPr>
    <w:rPr>
      <w:b/>
      <w:bCs/>
      <w:color w:val="2E74B5"/>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2026-08-12T12:34:10.554Z</dcterms:created>
  <dcterms:modified xsi:type="dcterms:W3CDTF">2026-08-12T12:34:10.555Z</dcterms:modified>
</cp:coreProperties>
</file>

<file path=docProps/custom.xml><?xml version="1.0" encoding="utf-8"?>
<Properties xmlns="http://schemas.openxmlformats.org/officeDocument/2006/custom-properties" xmlns:vt="http://schemas.openxmlformats.org/officeDocument/2006/docPropsVTypes"/>
</file>