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683"/>
        <w:numPr>
          <w:ilvl w:val="1"/>
          <w:numId w:val="14"/>
        </w:numPr>
        <w:jc w:val="both"/>
        <w:spacing w:after="0"/>
      </w:pPr>
      <w:r>
        <w:rPr>
          <w:b/>
          <w:bCs/>
        </w:rPr>
        <w:t xml:space="preserve">Бренд:</w:t>
      </w:r>
      <w:r>
        <w:t xml:space="preserve"> </w:t>
      </w:r>
      <w:r>
        <w:rPr>
          <w:b/>
          <w:bCs/>
        </w:rPr>
        <w:t xml:space="preserve">Sollers</w:t>
      </w:r>
      <w:r>
        <w:t xml:space="preserve">.</w:t>
      </w:r>
      <w:r/>
    </w:p>
    <w:p>
      <w:pPr>
        <w:pStyle w:val="683"/>
        <w:numPr>
          <w:ilvl w:val="1"/>
          <w:numId w:val="14"/>
        </w:numPr>
        <w:jc w:val="both"/>
        <w:spacing w:after="0"/>
        <w:rPr>
          <w:lang w:val="en-US"/>
        </w:rPr>
      </w:pP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Модельный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ряд</w:t>
      </w:r>
      <w:r>
        <w:rPr>
          <w:b/>
          <w:bCs/>
          <w:lang w:val="en-US"/>
        </w:rPr>
        <w:t xml:space="preserve"> (</w:t>
      </w:r>
      <w:r>
        <w:rPr>
          <w:b/>
          <w:bCs/>
          <w:lang w:val="en-US"/>
        </w:rPr>
        <w:t xml:space="preserve">7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моделей</w:t>
      </w:r>
      <w:r>
        <w:rPr>
          <w:b/>
          <w:bCs/>
          <w:lang w:val="en-US"/>
        </w:rPr>
        <w:t xml:space="preserve">):</w:t>
      </w:r>
      <w:r>
        <w:rPr>
          <w:lang w:val="en-US"/>
        </w:rPr>
        <w:t xml:space="preserve"> SF5, Argo, SF1, ST6, ST8, ST9, SP7.</w:t>
      </w:r>
      <w:r>
        <w:rPr>
          <w:lang w:val="en-US"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3. СТРУКТУРА И СОДЕРЖАНИЕ СТРАНИЦЫ (БЛОКИ)</w:t>
      </w:r>
      <w:r>
        <w:rPr>
          <w:b/>
          <w:bCs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3.1. Шапка сайта (Header)</w:t>
      </w:r>
      <w:r>
        <w:rPr>
          <w:b/>
          <w:bCs/>
        </w:rPr>
      </w:r>
    </w:p>
    <w:p>
      <w:pPr>
        <w:numPr>
          <w:ilvl w:val="0"/>
          <w:numId w:val="3"/>
        </w:numPr>
        <w:jc w:val="both"/>
        <w:spacing w:after="0"/>
      </w:pPr>
      <w:r>
        <w:rPr>
          <w:b/>
          <w:bCs/>
        </w:rPr>
        <w:t xml:space="preserve">Элементы:</w:t>
      </w:r>
      <w:r>
        <w:t xml:space="preserve"> Логотип Sollers, название/статус </w:t>
      </w:r>
      <w:r>
        <w:rPr>
          <w:color w:val="ee0000"/>
        </w:rPr>
        <w:t xml:space="preserve">(«Официальный </w:t>
      </w:r>
      <w:r>
        <w:rPr>
          <w:color w:val="ee0000"/>
        </w:rPr>
        <w:t xml:space="preserve">дилер </w:t>
      </w:r>
      <w:r>
        <w:rPr>
          <w:color w:val="ee0000"/>
          <w:lang w:val="en-US"/>
        </w:rPr>
        <w:t xml:space="preserve">Sollers</w:t>
      </w:r>
      <w:r>
        <w:rPr>
          <w:color w:val="ee0000"/>
        </w:rPr>
        <w:t xml:space="preserve">»</w:t>
      </w:r>
      <w:r>
        <w:rPr>
          <w:color w:val="ee0000"/>
        </w:rPr>
        <w:t xml:space="preserve">, </w:t>
      </w:r>
      <w:r>
        <w:t xml:space="preserve">физический адрес автосалона</w:t>
      </w:r>
      <w:r>
        <w:t xml:space="preserve">: </w:t>
      </w:r>
      <w:r>
        <w:rPr>
          <w:color w:val="ee0000"/>
        </w:rPr>
        <w:t xml:space="preserve">г. Химки, Ленинградское шоссе, вл. 16</w:t>
      </w:r>
      <w:r>
        <w:t xml:space="preserve">, интерактивный номер телефона (с tel:)</w:t>
      </w:r>
      <w:r>
        <w:t xml:space="preserve">: </w:t>
      </w:r>
      <w:r>
        <w:rPr>
          <w:color w:val="ee0000"/>
        </w:rPr>
        <w:t xml:space="preserve">+7 (495) 069-07-07</w:t>
      </w:r>
      <w:r>
        <w:t xml:space="preserve">,</w:t>
      </w:r>
      <w:r>
        <w:t xml:space="preserve"> кнопка «Обратный звонок» (открывает попап).</w:t>
      </w:r>
      <w:r/>
    </w:p>
    <w:p>
      <w:pPr>
        <w:numPr>
          <w:ilvl w:val="0"/>
          <w:numId w:val="3"/>
        </w:numPr>
        <w:jc w:val="both"/>
        <w:spacing w:after="0"/>
        <w:rPr>
          <w:color w:val="ee0000"/>
        </w:rPr>
      </w:pPr>
      <w:r>
        <w:rPr>
          <w:b/>
          <w:bCs/>
        </w:rPr>
        <w:t xml:space="preserve">Навигационное меню (якорные ссылки):</w:t>
      </w:r>
      <w:r>
        <w:t xml:space="preserve"> Модельный ряд, </w:t>
      </w:r>
      <w:r>
        <w:rPr>
          <w:color w:val="ee0000"/>
        </w:rPr>
        <w:t xml:space="preserve">Лизинг</w:t>
      </w:r>
      <w:r>
        <w:t xml:space="preserve">, </w:t>
      </w:r>
      <w:r>
        <w:t xml:space="preserve">Комплектации, Трейд-ин, Контакты.</w:t>
      </w:r>
      <w:r>
        <w:rPr>
          <w:color w:val="ee0000"/>
        </w:rPr>
      </w:r>
    </w:p>
    <w:p>
      <w:pPr>
        <w:numPr>
          <w:ilvl w:val="0"/>
          <w:numId w:val="3"/>
        </w:numPr>
        <w:jc w:val="both"/>
        <w:spacing w:after="0"/>
      </w:pPr>
      <w:r>
        <w:rPr>
          <w:b/>
          <w:bCs/>
        </w:rPr>
        <w:t xml:space="preserve">Поведение:</w:t>
      </w:r>
      <w:r>
        <w:t xml:space="preserve"> Фиксация при скролле (Sticky Header).</w:t>
      </w:r>
      <w:r/>
    </w:p>
    <w:p>
      <w:pPr>
        <w:ind w:firstLine="709"/>
        <w:jc w:val="both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3.2. </w:t>
      </w:r>
      <w:r>
        <w:rPr>
          <w:b/>
          <w:bCs/>
        </w:rPr>
        <w:t xml:space="preserve">Главный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экран</w:t>
      </w:r>
      <w:r>
        <w:rPr>
          <w:b/>
          <w:bCs/>
          <w:lang w:val="en-US"/>
        </w:rPr>
        <w:t xml:space="preserve"> (First Screen / Hero)</w:t>
      </w:r>
      <w:r>
        <w:rPr>
          <w:b/>
          <w:bCs/>
          <w:lang w:val="en-US"/>
        </w:rPr>
      </w:r>
    </w:p>
    <w:p>
      <w:pPr>
        <w:numPr>
          <w:ilvl w:val="0"/>
          <w:numId w:val="4"/>
        </w:numPr>
        <w:jc w:val="both"/>
        <w:spacing w:after="0"/>
        <w:rPr>
          <w:i/>
          <w:iCs/>
          <w:color w:val="ee0000"/>
        </w:rPr>
      </w:pPr>
      <w:r>
        <w:rPr>
          <w:b/>
          <w:bCs/>
        </w:rPr>
        <w:t xml:space="preserve">Заголовок (H1):</w:t>
      </w:r>
      <w:r>
        <w:t xml:space="preserve"> Агрессивное уникальное торговое предложение (УТП), например: </w:t>
      </w:r>
      <w:r>
        <w:rPr>
          <w:i/>
          <w:iCs/>
          <w:color w:val="ee0000"/>
        </w:rPr>
        <w:t xml:space="preserve">«</w:t>
      </w:r>
      <w:r>
        <w:rPr>
          <w:i/>
          <w:iCs/>
          <w:color w:val="ee0000"/>
        </w:rPr>
        <w:t xml:space="preserve">Специальные условия на покупку Sollers</w:t>
      </w:r>
      <w:r>
        <w:rPr>
          <w:i/>
          <w:iCs/>
          <w:color w:val="ee0000"/>
        </w:rPr>
      </w:r>
    </w:p>
    <w:p>
      <w:pPr>
        <w:ind w:left="720"/>
        <w:jc w:val="both"/>
        <w:spacing w:after="0"/>
        <w:rPr>
          <w:color w:val="ee0000"/>
        </w:rPr>
      </w:pPr>
      <w:r>
        <w:rPr>
          <w:i/>
          <w:iCs/>
          <w:color w:val="ee0000"/>
        </w:rPr>
        <w:t xml:space="preserve">Выгода до 500 000 </w:t>
      </w:r>
      <w:r>
        <w:rPr>
          <w:i/>
          <w:iCs/>
          <w:color w:val="ee0000"/>
        </w:rPr>
        <w:t xml:space="preserve">₽</w:t>
      </w:r>
      <w:r>
        <w:rPr>
          <w:i/>
          <w:iCs/>
          <w:color w:val="ee0000"/>
        </w:rPr>
        <w:t xml:space="preserve">»</w:t>
      </w:r>
      <w:r>
        <w:rPr>
          <w:color w:val="ee0000"/>
        </w:rPr>
        <w:t xml:space="preserve">.</w:t>
      </w:r>
      <w:r>
        <w:rPr>
          <w:color w:val="ee0000"/>
        </w:rPr>
      </w:r>
    </w:p>
    <w:p>
      <w:pPr>
        <w:numPr>
          <w:ilvl w:val="0"/>
          <w:numId w:val="4"/>
        </w:numPr>
        <w:jc w:val="both"/>
        <w:spacing w:after="0"/>
      </w:pPr>
      <w:r>
        <w:rPr>
          <w:b/>
          <w:bCs/>
        </w:rPr>
        <w:t xml:space="preserve">Триггеры доверия / Иконки УТП:</w:t>
      </w:r>
      <w:r/>
    </w:p>
    <w:p>
      <w:pPr>
        <w:numPr>
          <w:ilvl w:val="1"/>
          <w:numId w:val="4"/>
        </w:numPr>
        <w:jc w:val="both"/>
        <w:spacing w:after="0"/>
        <w:rPr>
          <w:color w:val="ee0000"/>
        </w:rPr>
      </w:pPr>
      <w:r>
        <w:rPr>
          <w:color w:val="ee0000"/>
        </w:rPr>
        <w:t xml:space="preserve">Кредит от 0,01%*</w:t>
      </w:r>
      <w:r>
        <w:rPr>
          <w:color w:val="ee0000"/>
        </w:rPr>
      </w:r>
    </w:p>
    <w:p>
      <w:pPr>
        <w:numPr>
          <w:ilvl w:val="1"/>
          <w:numId w:val="4"/>
        </w:numPr>
        <w:jc w:val="both"/>
        <w:spacing w:after="0"/>
        <w:rPr>
          <w:color w:val="ee0000"/>
        </w:rPr>
      </w:pPr>
      <w:r>
        <w:rPr>
          <w:color w:val="ee0000"/>
        </w:rPr>
        <w:t xml:space="preserve">3 ТО в подарок**</w:t>
      </w:r>
      <w:r>
        <w:rPr>
          <w:color w:val="ee0000"/>
        </w:rPr>
      </w:r>
    </w:p>
    <w:p>
      <w:pPr>
        <w:numPr>
          <w:ilvl w:val="1"/>
          <w:numId w:val="4"/>
        </w:numPr>
        <w:jc w:val="both"/>
        <w:spacing w:after="0"/>
        <w:rPr>
          <w:color w:val="ee0000"/>
        </w:rPr>
      </w:pPr>
      <w:r>
        <w:rPr>
          <w:color w:val="ee0000"/>
        </w:rPr>
        <w:t xml:space="preserve">Автомобили в наличии</w:t>
      </w:r>
      <w:r>
        <w:rPr>
          <w:color w:val="ee0000"/>
        </w:rPr>
      </w:r>
    </w:p>
    <w:p>
      <w:pPr>
        <w:numPr>
          <w:ilvl w:val="0"/>
          <w:numId w:val="4"/>
        </w:numPr>
        <w:jc w:val="both"/>
        <w:spacing w:after="0"/>
      </w:pPr>
      <w:r>
        <w:rPr>
          <w:b/>
          <w:bCs/>
        </w:rPr>
        <w:t xml:space="preserve">Интерактивный элемент:</w:t>
      </w:r>
      <w:r>
        <w:t xml:space="preserve"> Таймер обратного отсчета акции («До конца акции осталось...»).</w:t>
      </w:r>
      <w:r/>
    </w:p>
    <w:p>
      <w:pPr>
        <w:numPr>
          <w:ilvl w:val="0"/>
          <w:numId w:val="4"/>
        </w:numPr>
        <w:jc w:val="both"/>
        <w:spacing w:after="0"/>
      </w:pPr>
      <w:r>
        <w:rPr>
          <w:b/>
          <w:bCs/>
        </w:rPr>
        <w:t xml:space="preserve">СТА-кнопка:</w:t>
      </w:r>
      <w:r>
        <w:t xml:space="preserve"> «Получить предложение» (вызов попапа).</w:t>
      </w:r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3.3. Модельный ряд (Каталог авто)</w:t>
      </w:r>
      <w:r>
        <w:rPr>
          <w:b/>
          <w:bCs/>
        </w:rPr>
      </w:r>
    </w:p>
    <w:p>
      <w:pPr>
        <w:ind w:firstLine="709"/>
        <w:jc w:val="both"/>
        <w:spacing w:after="0"/>
      </w:pPr>
      <w:r>
        <w:t xml:space="preserve">Сетка</w:t>
      </w:r>
      <w:r>
        <w:t xml:space="preserve"> </w:t>
      </w:r>
      <w:r>
        <w:t xml:space="preserve">карточек</w:t>
      </w:r>
      <w:r>
        <w:t xml:space="preserve"> </w:t>
      </w:r>
      <w:r>
        <w:t xml:space="preserve">для</w:t>
      </w:r>
      <w:r>
        <w:t xml:space="preserve"> </w:t>
      </w:r>
      <w:r>
        <w:t xml:space="preserve">7</w:t>
      </w:r>
      <w:r>
        <w:t xml:space="preserve"> </w:t>
      </w:r>
      <w:r>
        <w:t xml:space="preserve">моделей</w:t>
      </w:r>
      <w:r>
        <w:t xml:space="preserve"> </w:t>
      </w:r>
      <w:r>
        <w:rPr>
          <w:lang w:val="en-US"/>
        </w:rPr>
        <w:t xml:space="preserve">Sollers</w:t>
      </w:r>
      <w:r>
        <w:t xml:space="preserve"> (</w:t>
      </w:r>
      <w:r>
        <w:rPr>
          <w:b/>
          <w:bCs/>
          <w:lang w:val="en-US"/>
        </w:rPr>
        <w:t xml:space="preserve">SF</w:t>
      </w:r>
      <w:r>
        <w:rPr>
          <w:b/>
          <w:bCs/>
        </w:rPr>
        <w:t xml:space="preserve">5, </w:t>
      </w:r>
      <w:r>
        <w:rPr>
          <w:b/>
          <w:bCs/>
          <w:lang w:val="en-US"/>
        </w:rPr>
        <w:t xml:space="preserve">Argo</w:t>
      </w:r>
      <w:r>
        <w:rPr>
          <w:b/>
          <w:bCs/>
        </w:rPr>
        <w:t xml:space="preserve">, </w:t>
      </w:r>
      <w:r>
        <w:rPr>
          <w:b/>
          <w:bCs/>
          <w:lang w:val="en-US"/>
        </w:rPr>
        <w:t xml:space="preserve">SF</w:t>
      </w:r>
      <w:r>
        <w:rPr>
          <w:b/>
          <w:bCs/>
        </w:rPr>
        <w:t xml:space="preserve">1, </w:t>
      </w:r>
      <w:r>
        <w:rPr>
          <w:b/>
          <w:bCs/>
          <w:lang w:val="en-US"/>
        </w:rPr>
        <w:t xml:space="preserve">ST</w:t>
      </w:r>
      <w:r>
        <w:rPr>
          <w:b/>
          <w:bCs/>
        </w:rPr>
        <w:t xml:space="preserve">6, </w:t>
      </w:r>
      <w:r>
        <w:rPr>
          <w:b/>
          <w:bCs/>
          <w:lang w:val="en-US"/>
        </w:rPr>
        <w:t xml:space="preserve">ST</w:t>
      </w:r>
      <w:r>
        <w:rPr>
          <w:b/>
          <w:bCs/>
        </w:rPr>
        <w:t xml:space="preserve">8, </w:t>
      </w:r>
      <w:r>
        <w:rPr>
          <w:b/>
          <w:bCs/>
          <w:lang w:val="en-US"/>
        </w:rPr>
        <w:t xml:space="preserve">ST</w:t>
      </w:r>
      <w:r>
        <w:rPr>
          <w:b/>
          <w:bCs/>
        </w:rPr>
        <w:t xml:space="preserve">9, </w:t>
      </w:r>
      <w:r>
        <w:rPr>
          <w:b/>
          <w:bCs/>
          <w:lang w:val="en-US"/>
        </w:rPr>
        <w:t xml:space="preserve">SP</w:t>
      </w:r>
      <w:r>
        <w:rPr>
          <w:b/>
          <w:bCs/>
        </w:rPr>
        <w:t xml:space="preserve">7</w:t>
      </w:r>
      <w:r>
        <w:t xml:space="preserve">). </w:t>
      </w:r>
      <w:r>
        <w:t xml:space="preserve">В целях оптимизации изначально показываются 4 основные модели, остальные 4 открываются по кнопке «Показать еще» (без перезагрузки страницы).</w:t>
      </w:r>
      <w:r/>
    </w:p>
    <w:p>
      <w:pPr>
        <w:numPr>
          <w:ilvl w:val="0"/>
          <w:numId w:val="5"/>
        </w:numPr>
        <w:jc w:val="both"/>
        <w:spacing w:after="0"/>
      </w:pPr>
      <w:r>
        <w:rPr>
          <w:b/>
          <w:bCs/>
        </w:rPr>
        <w:t xml:space="preserve">Состав карточки автомобиля:</w:t>
      </w:r>
      <w:r/>
    </w:p>
    <w:p>
      <w:pPr>
        <w:numPr>
          <w:ilvl w:val="1"/>
          <w:numId w:val="5"/>
        </w:numPr>
        <w:jc w:val="both"/>
        <w:spacing w:after="0"/>
      </w:pPr>
      <w:r>
        <w:t xml:space="preserve">Название модели (например, </w:t>
      </w:r>
      <w:r>
        <w:rPr>
          <w:i/>
          <w:iCs/>
        </w:rPr>
        <w:t xml:space="preserve">Sollers Argo</w:t>
      </w:r>
      <w:r>
        <w:t xml:space="preserve">).</w:t>
      </w:r>
      <w:r/>
    </w:p>
    <w:p>
      <w:pPr>
        <w:numPr>
          <w:ilvl w:val="1"/>
          <w:numId w:val="5"/>
        </w:numPr>
        <w:jc w:val="both"/>
        <w:spacing w:after="0"/>
      </w:pPr>
      <w:r>
        <w:t xml:space="preserve">Список ключевых выгод (</w:t>
      </w:r>
      <w:r>
        <w:t xml:space="preserve">Автомобили в наличии, </w:t>
      </w:r>
      <w:r>
        <w:t xml:space="preserve">Кредит от 0,01%</w:t>
      </w:r>
      <w:r>
        <w:t xml:space="preserve">*/</w:t>
      </w:r>
      <w:r>
        <w:t xml:space="preserve">3 ТО в подарок**</w:t>
      </w:r>
      <w:r>
        <w:t xml:space="preserve">, </w:t>
      </w:r>
      <w:r>
        <w:t xml:space="preserve">Выгода до ХХХ ХХХ, </w:t>
      </w:r>
      <w:r>
        <w:t xml:space="preserve">Лизинг на выгодных условиях</w:t>
      </w:r>
      <w:r>
        <w:t xml:space="preserve">/</w:t>
      </w:r>
      <w:r/>
      <w:r>
        <w:t xml:space="preserve">Прозрачные условия</w:t>
      </w:r>
      <w:r>
        <w:t xml:space="preserve">).</w:t>
      </w:r>
      <w:r/>
    </w:p>
    <w:p>
      <w:pPr>
        <w:numPr>
          <w:ilvl w:val="1"/>
          <w:numId w:val="5"/>
        </w:numPr>
        <w:jc w:val="both"/>
        <w:spacing w:after="0"/>
      </w:pPr>
      <w:r>
        <w:t xml:space="preserve">Качественное изображение авто (в одном ракурсе для всей линейки).</w:t>
      </w:r>
      <w:r/>
    </w:p>
    <w:p>
      <w:pPr>
        <w:numPr>
          <w:ilvl w:val="1"/>
          <w:numId w:val="5"/>
        </w:numPr>
        <w:jc w:val="both"/>
        <w:spacing w:after="0"/>
      </w:pPr>
      <w:r>
        <w:t xml:space="preserve">Блок цен: Старая (перечеркнутая) цена и актуальная «Цена в кредит от...».</w:t>
      </w:r>
      <w:r/>
    </w:p>
    <w:p>
      <w:pPr>
        <w:numPr>
          <w:ilvl w:val="1"/>
          <w:numId w:val="5"/>
        </w:numPr>
        <w:jc w:val="both"/>
        <w:spacing w:after="0"/>
      </w:pPr>
      <w:r>
        <w:t xml:space="preserve">Размер ежемесячного платежа («от ХХ ХХХ ₽/мес.*») с юридической сноской («Информация не является публичной офертой...»).</w:t>
      </w:r>
      <w:r/>
    </w:p>
    <w:p>
      <w:pPr>
        <w:numPr>
          <w:ilvl w:val="1"/>
          <w:numId w:val="5"/>
        </w:numPr>
        <w:jc w:val="both"/>
        <w:spacing w:after="0"/>
      </w:pPr>
      <w:r>
        <w:t xml:space="preserve">Две CTA-кнопки: «</w:t>
      </w:r>
      <w:r>
        <w:t xml:space="preserve">РАССЧИТАТЬ КРЕДИТ</w:t>
      </w:r>
      <w:r>
        <w:t xml:space="preserve">» и «</w:t>
      </w:r>
      <w:r>
        <w:t xml:space="preserve">РАССЧИТАТЬ ЛИЗИНГ</w:t>
      </w:r>
      <w:r>
        <w:t xml:space="preserve">».</w:t>
      </w:r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3.4. Блок «</w:t>
      </w:r>
      <w:r>
        <w:rPr>
          <w:b/>
          <w:bCs/>
          <w:color w:val="ee0000"/>
        </w:rPr>
        <w:t xml:space="preserve">Лизинг</w:t>
      </w:r>
      <w:r>
        <w:rPr>
          <w:b/>
          <w:bCs/>
        </w:rPr>
        <w:t xml:space="preserve">» (Форма захвата)</w:t>
      </w:r>
      <w:r>
        <w:rPr>
          <w:b/>
          <w:bCs/>
        </w:rPr>
      </w:r>
    </w:p>
    <w:p>
      <w:pPr>
        <w:numPr>
          <w:ilvl w:val="0"/>
          <w:numId w:val="6"/>
        </w:numPr>
        <w:jc w:val="both"/>
        <w:spacing w:after="0"/>
      </w:pPr>
      <w:r>
        <w:rPr>
          <w:b/>
          <w:bCs/>
        </w:rPr>
        <w:t xml:space="preserve">Контент:</w:t>
      </w:r>
      <w:r>
        <w:t xml:space="preserve"> Текстовый блок о преимуществах </w:t>
      </w:r>
      <w:r>
        <w:t xml:space="preserve">лизинга</w:t>
      </w:r>
      <w:r>
        <w:t xml:space="preserve"> (</w:t>
      </w:r>
      <w:r>
        <w:rPr>
          <w:color w:val="ee0000"/>
        </w:rPr>
        <w:t xml:space="preserve">Первоначальный взнос от 20%****, Быстрое одобрение лизинга</w:t>
      </w:r>
      <w:r>
        <w:t xml:space="preserve">).</w:t>
      </w:r>
      <w:r/>
    </w:p>
    <w:p>
      <w:pPr>
        <w:numPr>
          <w:ilvl w:val="0"/>
          <w:numId w:val="6"/>
        </w:numPr>
        <w:jc w:val="both"/>
        <w:spacing w:after="0"/>
      </w:pPr>
      <w:r>
        <w:rPr>
          <w:b/>
          <w:bCs/>
        </w:rPr>
        <w:t xml:space="preserve">Форма:</w:t>
      </w:r>
      <w:r>
        <w:t xml:space="preserve"> Поля «Имя», «Телефон», интерактивные чекбоксы согласия на обработку ПД и получение рекламных материалов. Кнопка «Рассчитать </w:t>
      </w:r>
      <w:r>
        <w:t xml:space="preserve">лизинг</w:t>
      </w:r>
      <w:r>
        <w:t xml:space="preserve">».</w:t>
      </w:r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3.5. Интерактивный блок «Комплектации и цены»</w:t>
      </w:r>
      <w:r>
        <w:rPr>
          <w:b/>
          <w:bCs/>
        </w:rPr>
      </w:r>
    </w:p>
    <w:p>
      <w:pPr>
        <w:ind w:firstLine="709"/>
        <w:jc w:val="both"/>
        <w:spacing w:after="0"/>
      </w:pPr>
      <w:r>
        <w:t xml:space="preserve">Реализуется на JS без перезагрузки страницы.</w:t>
      </w:r>
      <w:r/>
    </w:p>
    <w:p>
      <w:pPr>
        <w:numPr>
          <w:ilvl w:val="0"/>
          <w:numId w:val="7"/>
        </w:numPr>
        <w:jc w:val="both"/>
        <w:spacing w:after="0"/>
      </w:pPr>
      <w:r>
        <w:rPr>
          <w:b/>
          <w:bCs/>
        </w:rPr>
        <w:t xml:space="preserve">Логика работы:</w:t>
      </w:r>
      <w:r/>
    </w:p>
    <w:p>
      <w:pPr>
        <w:numPr>
          <w:ilvl w:val="1"/>
          <w:numId w:val="7"/>
        </w:numPr>
        <w:jc w:val="both"/>
        <w:spacing w:after="0"/>
      </w:pPr>
      <w:r>
        <w:t xml:space="preserve">Пользователь выбирает вкладку-таб с моделью (SF5, Argo и т.д.).</w:t>
      </w:r>
      <w:r/>
    </w:p>
    <w:p>
      <w:pPr>
        <w:numPr>
          <w:ilvl w:val="1"/>
          <w:numId w:val="7"/>
        </w:numPr>
        <w:jc w:val="both"/>
        <w:spacing w:after="0"/>
      </w:pPr>
      <w:r>
        <w:t xml:space="preserve">Ниже выводится список доступных комплектаций (двигатель, привод, КПП).</w:t>
      </w:r>
      <w:r/>
    </w:p>
    <w:p>
      <w:pPr>
        <w:numPr>
          <w:ilvl w:val="1"/>
          <w:numId w:val="7"/>
        </w:numPr>
        <w:jc w:val="both"/>
        <w:spacing w:after="0"/>
      </w:pPr>
      <w:r>
        <w:t xml:space="preserve">При выборе комплектации динамически меняются технические параметры (Мощность л.с., Привод, Трансмиссия) и стоимость.</w:t>
      </w:r>
      <w:r/>
    </w:p>
    <w:p>
      <w:pPr>
        <w:numPr>
          <w:ilvl w:val="1"/>
          <w:numId w:val="7"/>
        </w:numPr>
        <w:jc w:val="both"/>
        <w:spacing w:after="0"/>
        <w:rPr>
          <w:color w:val="ee0000"/>
        </w:rPr>
      </w:pPr>
      <w:r>
        <w:t xml:space="preserve">Рядом выводятся CTA-кнопки: </w:t>
      </w:r>
      <w:r>
        <w:rPr>
          <w:color w:val="ee0000"/>
        </w:rPr>
        <w:t xml:space="preserve">«Рассчитать кредит»</w:t>
      </w:r>
      <w:r>
        <w:rPr>
          <w:color w:val="ee0000"/>
        </w:rPr>
        <w:t xml:space="preserve">, «Купить в лизинг»</w:t>
      </w:r>
      <w:r>
        <w:rPr>
          <w:color w:val="ee0000"/>
        </w:rPr>
        <w:t xml:space="preserve">.</w:t>
      </w:r>
      <w:r>
        <w:rPr>
          <w:color w:val="ee0000"/>
        </w:rPr>
      </w:r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3.6. Блок «Трейд-ин (Обмен авто)»</w:t>
      </w:r>
      <w:r>
        <w:rPr>
          <w:b/>
          <w:bCs/>
        </w:rPr>
      </w:r>
    </w:p>
    <w:p>
      <w:pPr>
        <w:numPr>
          <w:ilvl w:val="0"/>
          <w:numId w:val="8"/>
        </w:numPr>
        <w:jc w:val="both"/>
        <w:spacing w:after="0"/>
        <w:rPr>
          <w:color w:val="ee0000"/>
        </w:rPr>
      </w:pPr>
      <w:r>
        <w:rPr>
          <w:b/>
          <w:bCs/>
        </w:rPr>
        <w:t xml:space="preserve">Контент:</w:t>
      </w:r>
      <w:r>
        <w:t xml:space="preserve"> Маркетинговый блок: </w:t>
      </w:r>
      <w:r>
        <w:rPr>
          <w:i/>
          <w:iCs/>
          <w:color w:val="ee0000"/>
        </w:rPr>
        <w:t xml:space="preserve">«Обменяйте свой автомобиль на новый Sollers с выгодой до </w:t>
      </w:r>
      <w:r>
        <w:rPr>
          <w:i/>
          <w:iCs/>
          <w:color w:val="ee0000"/>
        </w:rPr>
        <w:t xml:space="preserve">5</w:t>
      </w:r>
      <w:r>
        <w:rPr>
          <w:i/>
          <w:iCs/>
          <w:color w:val="ee0000"/>
        </w:rPr>
        <w:t xml:space="preserve">00 000</w:t>
      </w:r>
      <w:r>
        <w:rPr>
          <w:i/>
          <w:iCs/>
          <w:color w:val="ee0000"/>
        </w:rPr>
        <w:t xml:space="preserve"> ₽***»</w:t>
      </w:r>
      <w:r>
        <w:rPr>
          <w:color w:val="ee0000"/>
        </w:rPr>
        <w:t xml:space="preserve">.</w:t>
      </w:r>
      <w:r>
        <w:rPr>
          <w:color w:val="ee0000"/>
        </w:rPr>
      </w:r>
    </w:p>
    <w:p>
      <w:pPr>
        <w:numPr>
          <w:ilvl w:val="0"/>
          <w:numId w:val="8"/>
        </w:numPr>
        <w:jc w:val="both"/>
        <w:spacing w:after="0"/>
      </w:pPr>
      <w:r>
        <w:rPr>
          <w:b/>
          <w:bCs/>
        </w:rPr>
        <w:t xml:space="preserve">Форма:</w:t>
      </w:r>
      <w:r>
        <w:t xml:space="preserve"> Поля «Марка/Модель вашего авто», «Телефон», чекбоксы согласия. Кнопка «Получить предложение».</w:t>
      </w:r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3.7. Контакты и подвал (Footer)</w:t>
      </w:r>
      <w:r>
        <w:rPr>
          <w:b/>
          <w:bCs/>
        </w:rPr>
      </w:r>
    </w:p>
    <w:p>
      <w:pPr>
        <w:numPr>
          <w:ilvl w:val="0"/>
          <w:numId w:val="9"/>
        </w:numPr>
        <w:jc w:val="both"/>
        <w:spacing w:after="0"/>
      </w:pPr>
      <w:r>
        <w:rPr>
          <w:b/>
          <w:bCs/>
        </w:rPr>
        <w:t xml:space="preserve">Данные:</w:t>
      </w:r>
      <w:r>
        <w:t xml:space="preserve"> Адрес автосалона</w:t>
      </w:r>
      <w:r>
        <w:t xml:space="preserve">: </w:t>
      </w:r>
      <w:r>
        <w:rPr>
          <w:color w:val="ee0000"/>
        </w:rPr>
        <w:t xml:space="preserve">141410, Московская область, г. Химки, Ленинградское шоссе, владение 16</w:t>
      </w:r>
      <w:r>
        <w:t xml:space="preserve">, телефон</w:t>
      </w:r>
      <w:r>
        <w:t xml:space="preserve"> </w:t>
      </w:r>
      <w:r>
        <w:rPr>
          <w:color w:val="ee0000"/>
        </w:rPr>
        <w:t xml:space="preserve">+ 7 (495) 069-07-07</w:t>
      </w:r>
      <w:r>
        <w:t xml:space="preserve">, график работы </w:t>
      </w:r>
      <w:r>
        <w:rPr>
          <w:color w:val="ee0000"/>
        </w:rPr>
        <w:t xml:space="preserve">(Пн-Вс с </w:t>
      </w:r>
      <w:r>
        <w:rPr>
          <w:color w:val="ee0000"/>
        </w:rPr>
        <w:t xml:space="preserve">9</w:t>
      </w:r>
      <w:r>
        <w:rPr>
          <w:color w:val="ee0000"/>
        </w:rPr>
        <w:t xml:space="preserve">:00 до 21:00)</w:t>
      </w:r>
      <w:r>
        <w:t xml:space="preserve">. Кнопка «Заказать звонок».</w:t>
      </w:r>
      <w:r/>
    </w:p>
    <w:p>
      <w:pPr>
        <w:numPr>
          <w:ilvl w:val="0"/>
          <w:numId w:val="9"/>
        </w:numPr>
        <w:jc w:val="both"/>
        <w:spacing w:after="0"/>
      </w:pPr>
      <w:r>
        <w:rPr>
          <w:b/>
          <w:bCs/>
        </w:rPr>
        <w:t xml:space="preserve">Информер:</w:t>
      </w:r>
      <w:r>
        <w:t xml:space="preserve"> </w:t>
      </w:r>
      <w:r>
        <w:t xml:space="preserve">Б</w:t>
      </w:r>
      <w:r>
        <w:t xml:space="preserve">егущая строка или плашка со сменяющимися триггерами (</w:t>
      </w:r>
      <w:r>
        <w:rPr>
          <w:color w:val="ee0000"/>
        </w:rPr>
        <w:t xml:space="preserve">«</w:t>
      </w:r>
      <w:r>
        <w:rPr>
          <w:color w:val="ee0000"/>
        </w:rPr>
        <w:t xml:space="preserve">Кредит от 0,01%»</w:t>
      </w:r>
      <w:r>
        <w:rPr>
          <w:color w:val="ee0000"/>
        </w:rPr>
        <w:t xml:space="preserve">, «</w:t>
      </w:r>
      <w:r>
        <w:rPr>
          <w:color w:val="ee0000"/>
        </w:rPr>
        <w:t xml:space="preserve">Автомобили в наличии с ПТС</w:t>
      </w:r>
      <w:r>
        <w:rPr>
          <w:color w:val="ee0000"/>
        </w:rPr>
        <w:t xml:space="preserve">»).</w:t>
      </w:r>
      <w:r/>
    </w:p>
    <w:p>
      <w:pPr>
        <w:numPr>
          <w:ilvl w:val="0"/>
          <w:numId w:val="9"/>
        </w:numPr>
        <w:jc w:val="both"/>
        <w:spacing w:after="0"/>
      </w:pPr>
      <w:r>
        <w:rPr>
          <w:b/>
          <w:bCs/>
        </w:rPr>
        <w:t xml:space="preserve">Юридический блок:</w:t>
      </w:r>
      <w:r>
        <w:t xml:space="preserve"> Cookie-дисклеймер (плашка с кнопкой «Принять»), реквизиты юридического лица (</w:t>
      </w:r>
      <w:r>
        <w:rPr>
          <w:color w:val="ee0000"/>
        </w:rPr>
        <w:t xml:space="preserve">ООО «ТЕХНО-ТЕМП»</w:t>
      </w:r>
      <w:r>
        <w:rPr>
          <w:color w:val="ee0000"/>
        </w:rPr>
        <w:t xml:space="preserve">, ИНН</w:t>
      </w:r>
      <w:r>
        <w:rPr>
          <w:color w:val="ee0000"/>
        </w:rPr>
        <w:t xml:space="preserve"> 2312127750</w:t>
      </w:r>
      <w:r>
        <w:rPr>
          <w:color w:val="ee0000"/>
        </w:rPr>
        <w:t xml:space="preserve">,</w:t>
      </w:r>
      <w:r>
        <w:rPr>
          <w:color w:val="ee0000"/>
        </w:rPr>
        <w:t xml:space="preserve"> КПП 504745001,</w:t>
      </w:r>
      <w:r>
        <w:rPr>
          <w:color w:val="ee0000"/>
        </w:rPr>
        <w:t xml:space="preserve"> ОГРН</w:t>
      </w:r>
      <w:r>
        <w:rPr>
          <w:color w:val="ee0000"/>
        </w:rPr>
        <w:t xml:space="preserve"> 1062312034620</w:t>
      </w:r>
      <w:r>
        <w:t xml:space="preserve">), ссылки на «Условия кредитования», «Пользовательское соглашение» и «Политику конфиденциальности». Логотип в футере.</w:t>
      </w:r>
      <w:r/>
    </w:p>
    <w:p>
      <w:pPr>
        <w:ind w:left="720"/>
        <w:jc w:val="both"/>
        <w:spacing w:after="0"/>
      </w:pPr>
      <w:r/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4. ИНТЕРАКТИВНЫЕ ЭЛЕМЕНТЫ (JS-ЛОГИКА)</w:t>
      </w:r>
      <w:r>
        <w:rPr>
          <w:b/>
          <w:bCs/>
        </w:rPr>
      </w:r>
    </w:p>
    <w:p>
      <w:pPr>
        <w:pStyle w:val="683"/>
        <w:numPr>
          <w:ilvl w:val="1"/>
          <w:numId w:val="16"/>
        </w:numPr>
        <w:jc w:val="both"/>
        <w:spacing w:after="0"/>
      </w:pPr>
      <w:r>
        <w:rPr>
          <w:b/>
          <w:bCs/>
        </w:rPr>
        <w:t xml:space="preserve"> </w:t>
      </w:r>
      <w:r>
        <w:rPr>
          <w:b/>
          <w:bCs/>
        </w:rPr>
        <w:t xml:space="preserve">Модальные окна (Попапы):</w:t>
      </w:r>
      <w:r>
        <w:t xml:space="preserve"> Формы обратного звонка, бронирования конкретной модели, расчета кредита. Обязательна маска для ввода номера телефона (+7 (999) 999-99-99).</w:t>
      </w:r>
      <w:r/>
    </w:p>
    <w:p>
      <w:pPr>
        <w:pStyle w:val="683"/>
        <w:numPr>
          <w:ilvl w:val="1"/>
          <w:numId w:val="16"/>
        </w:numPr>
        <w:jc w:val="both"/>
        <w:spacing w:after="0"/>
      </w:pPr>
      <w:r>
        <w:rPr>
          <w:b/>
          <w:bCs/>
        </w:rPr>
        <w:t xml:space="preserve"> </w:t>
      </w:r>
      <w:r>
        <w:rPr>
          <w:b/>
          <w:bCs/>
        </w:rPr>
        <w:t xml:space="preserve">Скрипт отправки (AJAX):</w:t>
      </w:r>
      <w:r>
        <w:t xml:space="preserve"> Отправка данных из форм происходит в фоновом режиме без перезагрузки всей страницы. При успешной отправке открывается попап «Спасибо за заявку! Менеджер свяжется с Вами в течение 5 минут».</w:t>
      </w:r>
      <w:r/>
    </w:p>
    <w:p>
      <w:pPr>
        <w:pStyle w:val="683"/>
        <w:numPr>
          <w:ilvl w:val="1"/>
          <w:numId w:val="16"/>
        </w:numPr>
        <w:jc w:val="both"/>
        <w:spacing w:after="0"/>
      </w:pPr>
      <w:r>
        <w:rPr>
          <w:b/>
          <w:bCs/>
        </w:rPr>
        <w:t xml:space="preserve"> </w:t>
      </w:r>
      <w:r>
        <w:rPr>
          <w:b/>
          <w:bCs/>
        </w:rPr>
        <w:t xml:space="preserve">Таймер акции:</w:t>
      </w:r>
      <w:r>
        <w:t xml:space="preserve"> Календарный JS-таймер, автоматически обновляющий дедлайн (например, раз в сутки или раз в неделю), чтобы избежать эффекта «протухшей» акции.</w:t>
      </w:r>
      <w:r/>
    </w:p>
    <w:p>
      <w:pPr>
        <w:pStyle w:val="683"/>
        <w:numPr>
          <w:ilvl w:val="1"/>
          <w:numId w:val="16"/>
        </w:numPr>
        <w:jc w:val="both"/>
        <w:spacing w:after="0"/>
      </w:pPr>
      <w:r>
        <w:rPr>
          <w:b/>
          <w:bCs/>
        </w:rPr>
        <w:t xml:space="preserve"> </w:t>
      </w:r>
      <w:r>
        <w:rPr>
          <w:b/>
          <w:bCs/>
        </w:rPr>
        <w:t xml:space="preserve">Карусели/Слайдеры (при наличии галерей):</w:t>
      </w:r>
      <w:r>
        <w:t xml:space="preserve"> На чистом JS или с использованием легковесной библиотеки (например, Swiper JS), без привлечения jQuery.</w:t>
      </w:r>
      <w:r/>
    </w:p>
    <w:p>
      <w:pPr>
        <w:pStyle w:val="683"/>
        <w:ind w:left="1080"/>
        <w:jc w:val="both"/>
        <w:spacing w:after="0"/>
      </w:pPr>
      <w:r/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5. ТРЕБОВАНИЯ К ДИЗАЙНУ И КОНТЕНТУ</w:t>
      </w:r>
      <w:r>
        <w:rPr>
          <w:b/>
          <w:bCs/>
        </w:rPr>
      </w:r>
    </w:p>
    <w:p>
      <w:pPr>
        <w:pStyle w:val="683"/>
        <w:numPr>
          <w:ilvl w:val="1"/>
          <w:numId w:val="17"/>
        </w:numPr>
        <w:jc w:val="both"/>
        <w:spacing w:after="0"/>
      </w:pPr>
      <w:r>
        <w:rPr>
          <w:b/>
          <w:bCs/>
        </w:rPr>
        <w:t xml:space="preserve"> </w:t>
      </w:r>
      <w:r>
        <w:rPr>
          <w:b/>
          <w:bCs/>
        </w:rPr>
        <w:t xml:space="preserve">Цветовая гамма:</w:t>
      </w:r>
      <w:r>
        <w:t xml:space="preserve"> </w:t>
      </w:r>
      <w:r>
        <w:t xml:space="preserve">в</w:t>
      </w:r>
      <w:r>
        <w:t xml:space="preserve"> соответствии с брендбуком </w:t>
      </w:r>
      <w:r>
        <w:rPr>
          <w:b/>
          <w:bCs/>
        </w:rPr>
        <w:t xml:space="preserve">Sollers</w:t>
      </w:r>
      <w:r>
        <w:t xml:space="preserve"> (преимущественно белый, графитовый/серый, синий акцентный), но адаптированная под коммерческий «конвертящий» стиль (заметные CTA-кнопки контрастного цвета).</w:t>
      </w:r>
      <w:r/>
    </w:p>
    <w:p>
      <w:pPr>
        <w:pStyle w:val="683"/>
        <w:numPr>
          <w:ilvl w:val="1"/>
          <w:numId w:val="17"/>
        </w:numPr>
        <w:jc w:val="both"/>
        <w:spacing w:after="0"/>
      </w:pPr>
      <w:r>
        <w:rPr>
          <w:b/>
          <w:bCs/>
        </w:rPr>
        <w:t xml:space="preserve"> </w:t>
      </w:r>
      <w:r>
        <w:rPr>
          <w:b/>
          <w:bCs/>
        </w:rPr>
        <w:t xml:space="preserve">Графика:</w:t>
      </w:r>
      <w:r>
        <w:t xml:space="preserve"> Заказчик предоставляет студийные фото автомобилей Sollers</w:t>
      </w:r>
      <w:r>
        <w:t xml:space="preserve"> </w:t>
      </w:r>
      <w:r>
        <w:t xml:space="preserve">SF5, Argo, SF1, ST6, ST8, ST9, SP7 без водяных знаков сторонних сайтов. Исполнитель проводит базовую цветокоррекцию и оптимизацию веса файлов.</w:t>
      </w:r>
      <w:r/>
    </w:p>
    <w:p>
      <w:pPr>
        <w:pStyle w:val="683"/>
        <w:numPr>
          <w:ilvl w:val="1"/>
          <w:numId w:val="17"/>
        </w:numPr>
        <w:jc w:val="both"/>
        <w:spacing w:after="0"/>
      </w:pPr>
      <w:r>
        <w:rPr>
          <w:b/>
          <w:bCs/>
        </w:rPr>
        <w:t xml:space="preserve"> </w:t>
      </w:r>
      <w:r>
        <w:rPr>
          <w:b/>
          <w:bCs/>
        </w:rPr>
        <w:t xml:space="preserve">Шрифты:</w:t>
      </w:r>
      <w:r>
        <w:t xml:space="preserve"> Использование веб-безопасных шрифтов или подключение оптимизированных Google Fonts (не более 2 начертаний).</w:t>
      </w:r>
      <w:r/>
    </w:p>
    <w:p>
      <w:pPr>
        <w:pStyle w:val="683"/>
        <w:numPr>
          <w:ilvl w:val="1"/>
          <w:numId w:val="17"/>
        </w:numPr>
        <w:jc w:val="both"/>
        <w:spacing w:after="0"/>
      </w:pPr>
      <w:r>
        <w:t xml:space="preserve"> Предоставление стилистики и контента Заказчиком:</w:t>
      </w:r>
      <w:r/>
    </w:p>
    <w:p>
      <w:pPr>
        <w:pStyle w:val="683"/>
        <w:numPr>
          <w:ilvl w:val="0"/>
          <w:numId w:val="18"/>
        </w:numPr>
        <w:jc w:val="both"/>
        <w:spacing w:after="0"/>
      </w:pPr>
      <w:r>
        <w:t xml:space="preserve">Дизайн-концепция и стилистика: Заказчик обязуется предоставить Исполнителю руководство по фирменному стилю (Брендбук/Логобук) бренда Solle</w:t>
      </w:r>
      <w:r>
        <w:t xml:space="preserve">rs, включающее требования к цветовой палитре, использованию логотипов и фирменным шрифтам. При отсутствии брендбука Заказчик предоставляет готовый дизайн-макет (в формате Figma/Sketch) или подробный референс-лист с описанием желаемой визуальной стилистики.</w:t>
      </w:r>
      <w:r/>
    </w:p>
    <w:p>
      <w:pPr>
        <w:pStyle w:val="683"/>
        <w:numPr>
          <w:ilvl w:val="0"/>
          <w:numId w:val="18"/>
        </w:numPr>
        <w:jc w:val="both"/>
        <w:spacing w:after="0"/>
      </w:pPr>
      <w:r>
        <w:t xml:space="preserve">Текстовые материалы: Весь текстовый контент (маркетинговые заголовки, УТП, описания комплектаций моделей SF5, Argo, SF1, ST6, ST8</w:t>
      </w:r>
      <w:r>
        <w:t xml:space="preserve">, ST9, SP7, юридические дисклеймеры и адреса) предоставляется Заказчиком в формате редактируемых документов (.docx, .txt или Google Docs). Исполнитель не несет ответственности за орфографические, пунктуационные и смысловые ошибки в предоставленных текстах.</w:t>
      </w:r>
      <w:r/>
    </w:p>
    <w:p>
      <w:pPr>
        <w:pStyle w:val="683"/>
        <w:numPr>
          <w:ilvl w:val="0"/>
          <w:numId w:val="18"/>
        </w:numPr>
        <w:jc w:val="both"/>
        <w:spacing w:after="0"/>
      </w:pPr>
      <w:r>
        <w:t xml:space="preserve">Графический контент: Заказчик предоставля</w:t>
      </w:r>
      <w:r>
        <w:t xml:space="preserve">ет Исполнителю официальные фотографии и графические изображения автомобилей Sollers в высоком разрешении (форматы PNG без фона, JPEG высокого качества или векторные форматы). Изображения не должны содержать водяных знаков третьих лиц или дилерских центров.</w:t>
      </w:r>
      <w:r/>
    </w:p>
    <w:p>
      <w:pPr>
        <w:ind w:left="360"/>
        <w:jc w:val="both"/>
        <w:spacing w:after="0"/>
      </w:pPr>
      <w:r/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6. ПОРЯДОК ПРИЕМКИ И ТЕСТИРОВАНИЯ</w:t>
      </w:r>
      <w:r>
        <w:rPr>
          <w:b/>
          <w:bCs/>
        </w:rPr>
      </w:r>
    </w:p>
    <w:p>
      <w:pPr>
        <w:numPr>
          <w:ilvl w:val="0"/>
          <w:numId w:val="12"/>
        </w:numPr>
        <w:jc w:val="both"/>
        <w:spacing w:after="0"/>
      </w:pPr>
      <w:r>
        <w:t xml:space="preserve">Проверка валидности кода (W3C Validator).</w:t>
      </w:r>
      <w:r/>
    </w:p>
    <w:p>
      <w:pPr>
        <w:numPr>
          <w:ilvl w:val="0"/>
          <w:numId w:val="12"/>
        </w:numPr>
        <w:jc w:val="both"/>
        <w:spacing w:after="0"/>
      </w:pPr>
      <w:r>
        <w:t xml:space="preserve">Тестирование отправки лидов со всех форм на тестовый e-mail.</w:t>
      </w:r>
      <w:r/>
    </w:p>
    <w:p>
      <w:pPr>
        <w:numPr>
          <w:ilvl w:val="0"/>
          <w:numId w:val="12"/>
        </w:numPr>
        <w:jc w:val="both"/>
        <w:spacing w:after="0"/>
      </w:pPr>
      <w:r>
        <w:t xml:space="preserve">Проверка адаптивности на устройствах iOS и Android.</w:t>
      </w:r>
      <w:r/>
    </w:p>
    <w:p>
      <w:pPr>
        <w:numPr>
          <w:ilvl w:val="0"/>
          <w:numId w:val="12"/>
        </w:numPr>
        <w:jc w:val="both"/>
        <w:spacing w:after="0"/>
      </w:pPr>
      <w:r>
        <w:t xml:space="preserve">Передача Заказчику архива с чистыми исходниками (HTML, CSS, JS, PHP-обработчик, папка с изображениями).</w:t>
      </w:r>
      <w:r/>
    </w:p>
    <w:p>
      <w:pPr>
        <w:ind w:left="720"/>
        <w:jc w:val="both"/>
        <w:spacing w:after="0"/>
      </w:pPr>
      <w:r/>
      <w:r/>
    </w:p>
    <w:p>
      <w:pPr>
        <w:ind w:firstLine="709"/>
        <w:jc w:val="both"/>
        <w:spacing w:after="0"/>
        <w:rPr>
          <w:b/>
          <w:bCs/>
        </w:rPr>
      </w:pPr>
      <w:r>
        <w:rPr>
          <w:b/>
          <w:bCs/>
        </w:rPr>
        <w:t xml:space="preserve">7. ПОРЯДОК И СРОКИ ПРЕДОСТАВЛЕНИЯ МАТЕРИАЛОВ ЗАКАЗЧИКОМ</w:t>
      </w:r>
      <w:r>
        <w:rPr>
          <w:b/>
          <w:bCs/>
        </w:rPr>
      </w:r>
    </w:p>
    <w:p>
      <w:pPr>
        <w:ind w:left="720"/>
        <w:jc w:val="both"/>
        <w:spacing w:after="0"/>
      </w:pPr>
      <w:r>
        <w:rPr>
          <w:b/>
          <w:bCs/>
        </w:rPr>
        <w:t xml:space="preserve">7.1 </w:t>
      </w:r>
      <w:r>
        <w:t xml:space="preserve">Заказчик обязуется передать полный пакет контента и стилистических материалов (согласно п. 5.4) Исполнителю в течение </w:t>
      </w:r>
      <w:r>
        <w:rPr>
          <w:b/>
          <w:bCs/>
        </w:rPr>
        <w:t xml:space="preserve">2</w:t>
      </w:r>
      <w:r>
        <w:rPr>
          <w:b/>
          <w:bCs/>
        </w:rPr>
        <w:t xml:space="preserve"> (</w:t>
      </w:r>
      <w:r>
        <w:rPr>
          <w:b/>
          <w:bCs/>
        </w:rPr>
        <w:t xml:space="preserve">двух</w:t>
      </w:r>
      <w:r>
        <w:rPr>
          <w:b/>
          <w:bCs/>
        </w:rPr>
        <w:t xml:space="preserve">)</w:t>
      </w:r>
      <w:r>
        <w:t xml:space="preserve"> рабочих дней с момента подписания Договора.</w:t>
      </w:r>
      <w:r/>
    </w:p>
    <w:p>
      <w:pPr>
        <w:ind w:left="720"/>
        <w:jc w:val="both"/>
        <w:spacing w:after="0"/>
      </w:pPr>
      <w:r>
        <w:rPr>
          <w:b/>
          <w:bCs/>
        </w:rPr>
        <w:t xml:space="preserve">7.2.</w:t>
      </w:r>
      <w:r>
        <w:t xml:space="preserve"> В случае задержки предоставления материалов со стороны Заказчика, сроки завершения этапов разработки и сдачи проекта Исполнителем автоматически сдвигаются пропорционально времени задержки.</w:t>
      </w:r>
      <w:r/>
    </w:p>
    <w:p>
      <w:pPr>
        <w:ind w:left="720"/>
        <w:jc w:val="both"/>
        <w:spacing w:after="0"/>
      </w:pPr>
      <w:r>
        <w:rPr>
          <w:b/>
          <w:bCs/>
        </w:rPr>
        <w:t xml:space="preserve">7.3.</w:t>
      </w:r>
      <w:r>
        <w:t xml:space="preserve"> Исполнитель выполняет работы строго на основе предоставленных Заказчиком материалов. Любые изменения стилистики или замена текстово-графического контента после утверждения </w:t>
      </w:r>
      <w:r>
        <w:t xml:space="preserve">верстки,</w:t>
      </w:r>
      <w:r>
        <w:t xml:space="preserve"> оформляются дополнительным соглашением и оплачиваются отдельно.</w:t>
      </w:r>
      <w:r/>
    </w:p>
    <w:p>
      <w:pPr>
        <w:jc w:val="both"/>
        <w:spacing w:after="0"/>
      </w:pPr>
      <w:r/>
      <w:r/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 w:val="false"/>
      <w:suff w:val="tab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5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 w:val="false"/>
      <w:suff w:val="tab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8">
    <w:multiLevelType w:val="hybridMultilevel"/>
    <w:lvl w:ilvl="0">
      <w:start w:val="2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 w:val="false"/>
      <w:suff w:val="tab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4">
    <w:multiLevelType w:val="hybridMultilevel"/>
    <w:lvl w:ilvl="0">
      <w:start w:val="4"/>
      <w:numFmt w:val="decimal"/>
      <w:isLgl w:val="false"/>
      <w:suff w:val="tab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 w:val="false"/>
      <w:suff w:val="tab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920" w:hanging="2160"/>
      </w:pPr>
      <w:rPr>
        <w:rFonts w:hint="default"/>
        <w:b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4"/>
  </w:num>
  <w:num w:numId="5">
    <w:abstractNumId w:val="10"/>
  </w:num>
  <w:num w:numId="6">
    <w:abstractNumId w:val="15"/>
  </w:num>
  <w:num w:numId="7">
    <w:abstractNumId w:val="11"/>
  </w:num>
  <w:num w:numId="8">
    <w:abstractNumId w:val="16"/>
  </w:num>
  <w:num w:numId="9">
    <w:abstractNumId w:val="9"/>
  </w:num>
  <w:num w:numId="10">
    <w:abstractNumId w:val="1"/>
  </w:num>
  <w:num w:numId="11">
    <w:abstractNumId w:val="12"/>
  </w:num>
  <w:num w:numId="12">
    <w:abstractNumId w:val="0"/>
  </w:num>
  <w:num w:numId="13">
    <w:abstractNumId w:val="6"/>
  </w:num>
  <w:num w:numId="14">
    <w:abstractNumId w:val="5"/>
  </w:num>
  <w:num w:numId="15">
    <w:abstractNumId w:val="8"/>
  </w:num>
  <w:num w:numId="16">
    <w:abstractNumId w:val="14"/>
  </w:num>
  <w:num w:numId="17">
    <w:abstractNumId w:val="7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65"/>
    <w:link w:val="6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65"/>
    <w:link w:val="6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665"/>
    <w:link w:val="6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665"/>
    <w:link w:val="6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665"/>
    <w:link w:val="6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665"/>
    <w:link w:val="6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665"/>
    <w:link w:val="6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665"/>
    <w:link w:val="6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665"/>
    <w:link w:val="6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No Spacing"/>
    <w:uiPriority w:val="1"/>
    <w:qFormat/>
    <w:pPr>
      <w:spacing w:before="0" w:after="0" w:line="240" w:lineRule="auto"/>
    </w:pPr>
  </w:style>
  <w:style w:type="character" w:styleId="37">
    <w:name w:val="Title Char"/>
    <w:basedOn w:val="665"/>
    <w:link w:val="677"/>
    <w:uiPriority w:val="10"/>
    <w:rPr>
      <w:sz w:val="48"/>
      <w:szCs w:val="48"/>
    </w:rPr>
  </w:style>
  <w:style w:type="character" w:styleId="39">
    <w:name w:val="Subtitle Char"/>
    <w:basedOn w:val="665"/>
    <w:link w:val="679"/>
    <w:uiPriority w:val="11"/>
    <w:rPr>
      <w:sz w:val="24"/>
      <w:szCs w:val="24"/>
    </w:rPr>
  </w:style>
  <w:style w:type="character" w:styleId="41">
    <w:name w:val="Quote Char"/>
    <w:link w:val="681"/>
    <w:uiPriority w:val="29"/>
    <w:rPr>
      <w:i/>
    </w:rPr>
  </w:style>
  <w:style w:type="character" w:styleId="43">
    <w:name w:val="Intense Quote Char"/>
    <w:link w:val="685"/>
    <w:uiPriority w:val="30"/>
    <w:rPr>
      <w:i/>
    </w:rPr>
  </w:style>
  <w:style w:type="paragraph" w:styleId="44">
    <w:name w:val="Header"/>
    <w:basedOn w:val="655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Header Char"/>
    <w:basedOn w:val="665"/>
    <w:link w:val="44"/>
    <w:uiPriority w:val="99"/>
  </w:style>
  <w:style w:type="paragraph" w:styleId="46">
    <w:name w:val="Footer"/>
    <w:basedOn w:val="65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7">
    <w:name w:val="Footer Char"/>
    <w:basedOn w:val="665"/>
    <w:link w:val="46"/>
    <w:uiPriority w:val="99"/>
  </w:style>
  <w:style w:type="paragraph" w:styleId="48">
    <w:name w:val="Caption"/>
    <w:basedOn w:val="655"/>
    <w:next w:val="655"/>
    <w:link w:val="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9">
    <w:name w:val="Caption Char"/>
    <w:basedOn w:val="665"/>
    <w:link w:val="48"/>
    <w:uiPriority w:val="35"/>
    <w:rPr>
      <w:b/>
      <w:bCs/>
      <w:color w:val="4f81bd" w:themeColor="accent1"/>
      <w:sz w:val="18"/>
      <w:szCs w:val="18"/>
    </w:rPr>
  </w:style>
  <w:style w:type="table" w:styleId="50">
    <w:name w:val="Table Grid"/>
    <w:basedOn w:val="66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Table Grid Light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2">
    <w:name w:val="Plain Table 1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1 Light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2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3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">
    <w:name w:val="Grid Table 4 - Accent 1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">
    <w:name w:val="Grid Table 4 - Accent 2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">
    <w:name w:val="Grid Table 4 - Accent 3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">
    <w:name w:val="Grid Table 4 - Accent 4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">
    <w:name w:val="Grid Table 4 - Accent 5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">
    <w:name w:val="Grid Table 4 - Accent 6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">
    <w:name w:val="Grid Table 5 Dark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9">
    <w:name w:val="Grid Table 5 Dark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1">
    <w:name w:val="Grid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3">
    <w:name w:val="Grid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4">
    <w:name w:val="Grid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5">
    <w:name w:val="Grid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6">
    <w:name w:val="Grid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7">
    <w:name w:val="Grid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9">
    <w:name w:val="Grid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5">
    <w:name w:val="Grid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1 Light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4">
    <w:name w:val="List Table 2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5">
    <w:name w:val="List Table 2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6">
    <w:name w:val="List Table 2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7">
    <w:name w:val="List Table 2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8">
    <w:name w:val="List Table 2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9">
    <w:name w:val="List Table 2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3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4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">
    <w:name w:val="List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3">
    <w:name w:val="List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">
    <w:name w:val="List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">
    <w:name w:val="List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">
    <w:name w:val="List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7">
    <w:name w:val="List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8">
    <w:name w:val="List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9">
    <w:name w:val="List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50">
    <w:name w:val="List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1">
    <w:name w:val="List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2">
    <w:name w:val="List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3">
    <w:name w:val="List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4">
    <w:name w:val="List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5">
    <w:name w:val="Lined - Accent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">
    <w:name w:val="Lined - Accent 1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7">
    <w:name w:val="Lined - Accent 2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8">
    <w:name w:val="Lined - Accent 3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9">
    <w:name w:val="Lined - Accent 4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0">
    <w:name w:val="Lined - Accent 5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1">
    <w:name w:val="Lined - Accent 6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2">
    <w:name w:val="Bordered &amp; Lined - Accent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3">
    <w:name w:val="Bordered &amp; Lined - Accent 1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4">
    <w:name w:val="Bordered &amp; Lined - Accent 2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5">
    <w:name w:val="Bordered &amp; Lined - Accent 3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6">
    <w:name w:val="Bordered &amp; Lined - Accent 4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7">
    <w:name w:val="Bordered &amp; Lined - Accent 5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8">
    <w:name w:val="Bordered &amp; Lined - Accent 6"/>
    <w:basedOn w:val="66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9">
    <w:name w:val="Bordered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0">
    <w:name w:val="Bordered - Accent 1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1">
    <w:name w:val="Bordered - Accent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2">
    <w:name w:val="Bordered - Accent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3">
    <w:name w:val="Bordered - Accent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4">
    <w:name w:val="Bordered - Accent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">
    <w:name w:val="Bordered - Accent 6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Hyperlink"/>
    <w:uiPriority w:val="99"/>
    <w:unhideWhenUsed/>
    <w:rPr>
      <w:color w:val="0000ff" w:themeColor="hyperlink"/>
      <w:u w:val="single"/>
    </w:rPr>
  </w:style>
  <w:style w:type="paragraph" w:styleId="177">
    <w:name w:val="footnote text"/>
    <w:basedOn w:val="655"/>
    <w:link w:val="178"/>
    <w:uiPriority w:val="99"/>
    <w:semiHidden/>
    <w:unhideWhenUsed/>
    <w:pPr>
      <w:spacing w:after="40" w:line="240" w:lineRule="auto"/>
    </w:pPr>
    <w:rPr>
      <w:sz w:val="18"/>
    </w:rPr>
  </w:style>
  <w:style w:type="character" w:styleId="178">
    <w:name w:val="Footnote Text Char"/>
    <w:link w:val="177"/>
    <w:uiPriority w:val="99"/>
    <w:rPr>
      <w:sz w:val="18"/>
    </w:rPr>
  </w:style>
  <w:style w:type="character" w:styleId="179">
    <w:name w:val="footnote reference"/>
    <w:basedOn w:val="665"/>
    <w:uiPriority w:val="99"/>
    <w:unhideWhenUsed/>
    <w:rPr>
      <w:vertAlign w:val="superscript"/>
    </w:rPr>
  </w:style>
  <w:style w:type="paragraph" w:styleId="180">
    <w:name w:val="endnote text"/>
    <w:basedOn w:val="655"/>
    <w:link w:val="181"/>
    <w:uiPriority w:val="99"/>
    <w:semiHidden/>
    <w:unhideWhenUsed/>
    <w:pPr>
      <w:spacing w:after="0" w:line="240" w:lineRule="auto"/>
    </w:pPr>
    <w:rPr>
      <w:sz w:val="20"/>
    </w:rPr>
  </w:style>
  <w:style w:type="character" w:styleId="181">
    <w:name w:val="Endnote Text Char"/>
    <w:link w:val="180"/>
    <w:uiPriority w:val="99"/>
    <w:rPr>
      <w:sz w:val="20"/>
    </w:rPr>
  </w:style>
  <w:style w:type="character" w:styleId="182">
    <w:name w:val="endnote reference"/>
    <w:basedOn w:val="665"/>
    <w:uiPriority w:val="99"/>
    <w:semiHidden/>
    <w:unhideWhenUsed/>
    <w:rPr>
      <w:vertAlign w:val="superscript"/>
    </w:rPr>
  </w:style>
  <w:style w:type="paragraph" w:styleId="183">
    <w:name w:val="toc 1"/>
    <w:basedOn w:val="655"/>
    <w:next w:val="655"/>
    <w:uiPriority w:val="39"/>
    <w:unhideWhenUsed/>
    <w:pPr>
      <w:ind w:left="0" w:right="0" w:firstLine="0"/>
      <w:spacing w:after="57"/>
    </w:pPr>
  </w:style>
  <w:style w:type="paragraph" w:styleId="184">
    <w:name w:val="toc 2"/>
    <w:basedOn w:val="655"/>
    <w:next w:val="655"/>
    <w:uiPriority w:val="39"/>
    <w:unhideWhenUsed/>
    <w:pPr>
      <w:ind w:left="283" w:right="0" w:firstLine="0"/>
      <w:spacing w:after="57"/>
    </w:pPr>
  </w:style>
  <w:style w:type="paragraph" w:styleId="185">
    <w:name w:val="toc 3"/>
    <w:basedOn w:val="655"/>
    <w:next w:val="655"/>
    <w:uiPriority w:val="39"/>
    <w:unhideWhenUsed/>
    <w:pPr>
      <w:ind w:left="567" w:right="0" w:firstLine="0"/>
      <w:spacing w:after="57"/>
    </w:pPr>
  </w:style>
  <w:style w:type="paragraph" w:styleId="186">
    <w:name w:val="toc 4"/>
    <w:basedOn w:val="655"/>
    <w:next w:val="655"/>
    <w:uiPriority w:val="39"/>
    <w:unhideWhenUsed/>
    <w:pPr>
      <w:ind w:left="850" w:right="0" w:firstLine="0"/>
      <w:spacing w:after="57"/>
    </w:pPr>
  </w:style>
  <w:style w:type="paragraph" w:styleId="187">
    <w:name w:val="toc 5"/>
    <w:basedOn w:val="655"/>
    <w:next w:val="655"/>
    <w:uiPriority w:val="39"/>
    <w:unhideWhenUsed/>
    <w:pPr>
      <w:ind w:left="1134" w:right="0" w:firstLine="0"/>
      <w:spacing w:after="57"/>
    </w:pPr>
  </w:style>
  <w:style w:type="paragraph" w:styleId="188">
    <w:name w:val="toc 6"/>
    <w:basedOn w:val="655"/>
    <w:next w:val="655"/>
    <w:uiPriority w:val="39"/>
    <w:unhideWhenUsed/>
    <w:pPr>
      <w:ind w:left="1417" w:right="0" w:firstLine="0"/>
      <w:spacing w:after="57"/>
    </w:pPr>
  </w:style>
  <w:style w:type="paragraph" w:styleId="189">
    <w:name w:val="toc 7"/>
    <w:basedOn w:val="655"/>
    <w:next w:val="655"/>
    <w:uiPriority w:val="39"/>
    <w:unhideWhenUsed/>
    <w:pPr>
      <w:ind w:left="1701" w:right="0" w:firstLine="0"/>
      <w:spacing w:after="57"/>
    </w:pPr>
  </w:style>
  <w:style w:type="paragraph" w:styleId="190">
    <w:name w:val="toc 8"/>
    <w:basedOn w:val="655"/>
    <w:next w:val="655"/>
    <w:uiPriority w:val="39"/>
    <w:unhideWhenUsed/>
    <w:pPr>
      <w:ind w:left="1984" w:right="0" w:firstLine="0"/>
      <w:spacing w:after="57"/>
    </w:pPr>
  </w:style>
  <w:style w:type="paragraph" w:styleId="191">
    <w:name w:val="toc 9"/>
    <w:basedOn w:val="655"/>
    <w:next w:val="655"/>
    <w:uiPriority w:val="39"/>
    <w:unhideWhenUsed/>
    <w:pPr>
      <w:ind w:left="2268" w:right="0" w:firstLine="0"/>
      <w:spacing w:after="57"/>
    </w:pPr>
  </w:style>
  <w:style w:type="paragraph" w:styleId="192">
    <w:name w:val="TOC Heading"/>
    <w:uiPriority w:val="39"/>
    <w:unhideWhenUsed/>
  </w:style>
  <w:style w:type="paragraph" w:styleId="193">
    <w:name w:val="table of figures"/>
    <w:basedOn w:val="655"/>
    <w:next w:val="655"/>
    <w:uiPriority w:val="99"/>
    <w:unhideWhenUsed/>
    <w:pPr>
      <w:spacing w:after="0" w:afterAutospacing="0"/>
    </w:pPr>
  </w:style>
  <w:style w:type="paragraph" w:styleId="655" w:default="1">
    <w:name w:val="Normal"/>
    <w:qFormat/>
    <w:pPr>
      <w:spacing w:line="240" w:lineRule="auto"/>
    </w:pPr>
    <w:rPr>
      <w:rFonts w:ascii="Times New Roman" w:hAnsi="Times New Roman"/>
      <w:sz w:val="28"/>
    </w:rPr>
  </w:style>
  <w:style w:type="paragraph" w:styleId="656">
    <w:name w:val="Heading 1"/>
    <w:basedOn w:val="655"/>
    <w:next w:val="655"/>
    <w:link w:val="66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57">
    <w:name w:val="Heading 2"/>
    <w:basedOn w:val="655"/>
    <w:next w:val="655"/>
    <w:link w:val="66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58">
    <w:name w:val="Heading 3"/>
    <w:basedOn w:val="655"/>
    <w:next w:val="655"/>
    <w:link w:val="670"/>
    <w:uiPriority w:val="9"/>
    <w:semiHidden/>
    <w:unhideWhenUsed/>
    <w:qFormat/>
    <w:pPr>
      <w:keepLines/>
      <w:keepNext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Cs w:val="28"/>
    </w:rPr>
  </w:style>
  <w:style w:type="paragraph" w:styleId="659">
    <w:name w:val="Heading 4"/>
    <w:basedOn w:val="655"/>
    <w:next w:val="655"/>
    <w:link w:val="671"/>
    <w:uiPriority w:val="9"/>
    <w:semiHidden/>
    <w:unhideWhenUsed/>
    <w:qFormat/>
    <w:pPr>
      <w:keepLines/>
      <w:keepNext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660">
    <w:name w:val="Heading 5"/>
    <w:basedOn w:val="655"/>
    <w:next w:val="655"/>
    <w:link w:val="672"/>
    <w:uiPriority w:val="9"/>
    <w:semiHidden/>
    <w:unhideWhenUsed/>
    <w:qFormat/>
    <w:pPr>
      <w:keepLines/>
      <w:keepNext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661">
    <w:name w:val="Heading 6"/>
    <w:basedOn w:val="655"/>
    <w:next w:val="655"/>
    <w:link w:val="673"/>
    <w:uiPriority w:val="9"/>
    <w:semiHidden/>
    <w:unhideWhenUsed/>
    <w:qFormat/>
    <w:pPr>
      <w:keepLines/>
      <w:keepNext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662">
    <w:name w:val="Heading 7"/>
    <w:basedOn w:val="655"/>
    <w:next w:val="655"/>
    <w:link w:val="674"/>
    <w:uiPriority w:val="9"/>
    <w:semiHidden/>
    <w:unhideWhenUsed/>
    <w:qFormat/>
    <w:pPr>
      <w:keepLines/>
      <w:keepNext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663">
    <w:name w:val="Heading 8"/>
    <w:basedOn w:val="655"/>
    <w:next w:val="655"/>
    <w:link w:val="675"/>
    <w:uiPriority w:val="9"/>
    <w:semiHidden/>
    <w:unhideWhenUsed/>
    <w:qFormat/>
    <w:pPr>
      <w:keepLines/>
      <w:keepNext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664">
    <w:name w:val="Heading 9"/>
    <w:basedOn w:val="655"/>
    <w:next w:val="655"/>
    <w:link w:val="676"/>
    <w:uiPriority w:val="9"/>
    <w:semiHidden/>
    <w:unhideWhenUsed/>
    <w:qFormat/>
    <w:pPr>
      <w:keepLines/>
      <w:keepNext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665" w:default="1">
    <w:name w:val="Default Paragraph Font"/>
    <w:uiPriority w:val="1"/>
    <w:semiHidden/>
    <w:unhideWhenUsed/>
  </w:style>
  <w:style w:type="table" w:styleId="6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7" w:default="1">
    <w:name w:val="No List"/>
    <w:uiPriority w:val="99"/>
    <w:semiHidden/>
    <w:unhideWhenUsed/>
  </w:style>
  <w:style w:type="character" w:styleId="668" w:customStyle="1">
    <w:name w:val="Заголовок 1 Знак"/>
    <w:basedOn w:val="665"/>
    <w:link w:val="656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69" w:customStyle="1">
    <w:name w:val="Заголовок 2 Знак"/>
    <w:basedOn w:val="665"/>
    <w:link w:val="657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0" w:customStyle="1">
    <w:name w:val="Заголовок 3 Знак"/>
    <w:basedOn w:val="665"/>
    <w:link w:val="658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styleId="671" w:customStyle="1">
    <w:name w:val="Заголовок 4 Знак"/>
    <w:basedOn w:val="665"/>
    <w:link w:val="659"/>
    <w:uiPriority w:val="9"/>
    <w:semiHidden/>
    <w:rPr>
      <w:rFonts w:eastAsiaTheme="majorEastAsia" w:cstheme="majorBidi"/>
      <w:i/>
      <w:iCs/>
      <w:color w:val="2f5496" w:themeColor="accent1" w:themeShade="BF"/>
      <w:sz w:val="28"/>
    </w:rPr>
  </w:style>
  <w:style w:type="character" w:styleId="672" w:customStyle="1">
    <w:name w:val="Заголовок 5 Знак"/>
    <w:basedOn w:val="665"/>
    <w:link w:val="660"/>
    <w:uiPriority w:val="9"/>
    <w:semiHidden/>
    <w:rPr>
      <w:rFonts w:eastAsiaTheme="majorEastAsia" w:cstheme="majorBidi"/>
      <w:color w:val="2f5496" w:themeColor="accent1" w:themeShade="BF"/>
      <w:sz w:val="28"/>
    </w:rPr>
  </w:style>
  <w:style w:type="character" w:styleId="673" w:customStyle="1">
    <w:name w:val="Заголовок 6 Знак"/>
    <w:basedOn w:val="665"/>
    <w:link w:val="66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674" w:customStyle="1">
    <w:name w:val="Заголовок 7 Знак"/>
    <w:basedOn w:val="665"/>
    <w:link w:val="66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675" w:customStyle="1">
    <w:name w:val="Заголовок 8 Знак"/>
    <w:basedOn w:val="665"/>
    <w:link w:val="66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676" w:customStyle="1">
    <w:name w:val="Заголовок 9 Знак"/>
    <w:basedOn w:val="665"/>
    <w:link w:val="66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677">
    <w:name w:val="Title"/>
    <w:basedOn w:val="655"/>
    <w:next w:val="655"/>
    <w:link w:val="67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78" w:customStyle="1">
    <w:name w:val="Заголовок Знак"/>
    <w:basedOn w:val="665"/>
    <w:link w:val="67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79">
    <w:name w:val="Subtitle"/>
    <w:basedOn w:val="655"/>
    <w:next w:val="655"/>
    <w:link w:val="680"/>
    <w:uiPriority w:val="11"/>
    <w:qFormat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Cs w:val="28"/>
    </w:rPr>
  </w:style>
  <w:style w:type="character" w:styleId="680" w:customStyle="1">
    <w:name w:val="Подзаголовок Знак"/>
    <w:basedOn w:val="665"/>
    <w:link w:val="67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81">
    <w:name w:val="Quote"/>
    <w:basedOn w:val="655"/>
    <w:next w:val="655"/>
    <w:link w:val="68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82" w:customStyle="1">
    <w:name w:val="Цитата 2 Знак"/>
    <w:basedOn w:val="665"/>
    <w:link w:val="68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683">
    <w:name w:val="List Paragraph"/>
    <w:basedOn w:val="655"/>
    <w:uiPriority w:val="34"/>
    <w:qFormat/>
    <w:pPr>
      <w:contextualSpacing/>
      <w:ind w:left="720"/>
    </w:pPr>
  </w:style>
  <w:style w:type="character" w:styleId="684">
    <w:name w:val="Intense Emphasis"/>
    <w:basedOn w:val="665"/>
    <w:uiPriority w:val="21"/>
    <w:rPr>
      <w:i/>
      <w:iCs/>
      <w:color w:val="2f5496" w:themeColor="accent1" w:themeShade="BF"/>
    </w:rPr>
  </w:style>
  <w:style w:type="paragraph" w:styleId="685">
    <w:name w:val="Intense Quote"/>
    <w:basedOn w:val="655"/>
    <w:next w:val="655"/>
    <w:link w:val="686"/>
    <w:uiPriority w:val="30"/>
    <w:qFormat/>
    <w:pPr>
      <w:ind w:left="864" w:right="864"/>
      <w:jc w:val="center"/>
      <w:spacing w:before="360" w:after="360"/>
      <w:pBdr>
        <w:top w:val="single" w:color="2F5496" w:themeColor="accent1" w:themeShade="BF" w:sz="4" w:space="10"/>
        <w:bottom w:val="single" w:color="2F5496" w:themeColor="accent1" w:themeShade="BF" w:sz="4" w:space="10"/>
      </w:pBdr>
    </w:pPr>
    <w:rPr>
      <w:i/>
      <w:iCs/>
      <w:color w:val="2f5496" w:themeColor="accent1" w:themeShade="BF"/>
    </w:rPr>
  </w:style>
  <w:style w:type="character" w:styleId="686" w:customStyle="1">
    <w:name w:val="Выделенная цитата Знак"/>
    <w:basedOn w:val="665"/>
    <w:link w:val="685"/>
    <w:uiPriority w:val="3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687">
    <w:name w:val="Intense Reference"/>
    <w:basedOn w:val="665"/>
    <w:uiPriority w:val="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r7-office/2026.2.1.2268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Баранова</dc:creator>
  <cp:keywords/>
  <dc:description/>
  <cp:lastModifiedBy>Юлия Баранова</cp:lastModifiedBy>
  <cp:revision>7</cp:revision>
  <dcterms:created xsi:type="dcterms:W3CDTF">2026-10-08T05:41:00Z</dcterms:created>
  <dcterms:modified xsi:type="dcterms:W3CDTF">2026-10-09T08:31:14Z</dcterms:modified>
</cp:coreProperties>
</file>