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ARQUITECTURA OFICIAL</w:t>
        <w:br/>
        <w:t>CUCHOSTOOL.COM</w:t>
      </w:r>
    </w:p>
    <w:p>
      <w:pPr>
        <w:jc w:val="center"/>
      </w:pPr>
      <w:r>
        <w:t>VERSIÓN 6.0 — BASELINE ARQUITECTÓNICA v1.1</w:t>
      </w:r>
    </w:p>
    <w:p>
      <w:pPr>
        <w:jc w:val="center"/>
      </w:pPr>
      <w:r>
        <w:t>ARQ-CUCHOSTOOL-001 · 01/09/2026 · Nicola</w:t>
      </w:r>
    </w:p>
    <w:p>
      <w:r>
        <w:br w:type="page"/>
      </w:r>
    </w:p>
    <w:p>
      <w:pPr>
        <w:pStyle w:val="Heading1"/>
      </w:pPr>
      <w:r>
        <w:t>CUCHOSTOOL.COM</w:t>
        <w:br/>
        <w:t># ARQUITECTURA OFICIAL DEL SISTEMA</w:t>
        <w:br/>
        <w:t>## Versión 6.0 — Baseline Arquitectónica v1.1</w:t>
      </w:r>
    </w:p>
    <w:p>
      <w:r/>
      <w:r>
        <w:rPr>
          <w:b/>
        </w:rPr>
        <w:t>Código:</w:t>
      </w:r>
      <w:r>
        <w:t xml:space="preserve"> ARQ-CUCHOSTOOL-001  </w:t>
      </w:r>
    </w:p>
    <w:p>
      <w:r/>
      <w:r>
        <w:rPr>
          <w:b/>
        </w:rPr>
        <w:t>Producto:</w:t>
      </w:r>
      <w:r>
        <w:t xml:space="preserve"> CuchosTool / CuchosTool.com  </w:t>
      </w:r>
    </w:p>
    <w:p>
      <w:r/>
      <w:r>
        <w:rPr>
          <w:b/>
        </w:rPr>
        <w:t>Organización:</w:t>
      </w:r>
      <w:r>
        <w:t xml:space="preserve"> CuchosTool.com — Proyecto CuchosTool  </w:t>
      </w:r>
    </w:p>
    <w:p>
      <w:r/>
      <w:r>
        <w:rPr>
          <w:b/>
        </w:rPr>
        <w:t>Autor y rol:</w:t>
      </w:r>
      <w:r>
        <w:t xml:space="preserve"> Nicola — Gerente del Proyecto / Arquitecto de Software y DevOps  </w:t>
      </w:r>
    </w:p>
    <w:p>
      <w:r/>
      <w:r>
        <w:rPr>
          <w:b/>
        </w:rPr>
        <w:t>Fecha:</w:t>
      </w:r>
      <w:r>
        <w:t xml:space="preserve"> 01/09/2026  </w:t>
      </w:r>
    </w:p>
    <w:p>
      <w:r/>
      <w:r>
        <w:rPr>
          <w:b/>
        </w:rPr>
        <w:t>Audiencia:</w:t>
      </w:r>
      <w:r>
        <w:t xml:space="preserve"> Dirección técnica, desarrollo, QA, DevOps/Operaciones, seguridad y cliente  </w:t>
      </w:r>
    </w:p>
    <w:p>
      <w:r/>
      <w:r>
        <w:rPr>
          <w:b/>
        </w:rPr>
        <w:t>Tipo:</w:t>
      </w:r>
      <w:r>
        <w:t xml:space="preserve"> Plataforma web empresarial: E-Commerce + ERP + Core + dominios modulares especializados + APIs + eventos + Data/BI. Arquitectura modular primero; microservicios cuando exista justificación.  </w:t>
      </w:r>
    </w:p>
    <w:p>
      <w:r/>
      <w:r>
        <w:rPr>
          <w:b/>
        </w:rPr>
        <w:t>Nube:</w:t>
      </w:r>
      <w:r>
        <w:t xml:space="preserve"> Google Cloud.  </w:t>
      </w:r>
    </w:p>
    <w:p>
      <w:r/>
      <w:r>
        <w:rPr>
          <w:b/>
        </w:rPr>
        <w:t>Método:</w:t>
      </w:r>
      <w:r>
        <w:t xml:space="preserve"> DevOps / DevSecOps / IaC / GitOps.  </w:t>
      </w:r>
    </w:p>
    <w:p>
      <w:r>
        <w:t xml:space="preserve">SRS: SRS-CUCHOSTOOL-001 v4.0.  </w:t>
      </w:r>
    </w:p>
    <w:p>
      <w:r>
        <w:t xml:space="preserve">Casos de uso: Catálogo Maestro CU-CUCHOSTOOL-001 v5.0, 186 registros catalogados (182 casos funcionales activos + 4 históricos CU-UI).  </w:t>
      </w:r>
    </w:p>
    <w:p>
      <w:r/>
      <w:r>
        <w:rPr>
          <w:b/>
        </w:rPr>
        <w:t>Stack confirmado:</w:t>
      </w:r>
      <w:r>
        <w:t xml:space="preserve"> Cloud Run, Cloud SQL PostgreSQL, Pub/Sub, API Gateway, Cloud Storage, Secret Manager, Cloud Logging, Cloud Monitoring, Cloud Scheduler/Tasks, Cloud CDN/Load Balancing, BigQuery cuando se justifique y Terraform/IaC.  </w:t>
      </w:r>
    </w:p>
    <w:p>
      <w:r/>
      <w:r>
        <w:rPr>
          <w:b/>
        </w:rPr>
        <w:t>Stack de aplicación:</w:t>
      </w:r>
      <w:r>
        <w:t xml:space="preserve"> TypeScript aparece en artefactos técnicos. </w:t>
      </w:r>
      <w:r>
        <w:rPr>
          <w:b/>
        </w:rPr>
        <w:t>[Propuesta — validar]</w:t>
      </w:r>
      <w:r>
        <w:t xml:space="preserve"> Node.js como runtime y Drizzle ORM para PostgreSQL.  </w:t>
      </w:r>
    </w:p>
    <w:p>
      <w:r/>
      <w:r>
        <w:rPr>
          <w:b/>
        </w:rPr>
        <w:t>Integraciones:</w:t>
      </w:r>
      <w:r>
        <w:t xml:space="preserve"> Wompi; operadores logísticos; facturación electrónica/DIAN según contrato; notificaciones mediante contratos aprobados.  </w:t>
      </w:r>
    </w:p>
    <w:p>
      <w:r/>
      <w:r>
        <w:rPr>
          <w:b/>
        </w:rPr>
        <w:t>País/normativa:</w:t>
      </w:r>
      <w:r>
        <w:t xml:space="preserve"> Colombia. Las reglas legales/tributarias incorporadas proceden de las decisiones aprobadas en PEND_Sol y deben ser validadas por los responsables jurídico/tributario para su aplicación concreta.</w:t>
      </w:r>
    </w:p>
    <w:p>
      <w:r>
        <w:rPr>
          <w:i/>
        </w:rPr>
        <w:t>**Estado:** Oficial para revisión y aprobación. Los PEND-BL-01..11 están tratados como decisiones cerradas; los TBD del Anexo D son únicamente detalles de implementación/evidencia.</w:t>
      </w:r>
    </w:p>
    <w:p>
      <w:pPr>
        <w:pStyle w:val="Heading1"/>
      </w:pPr>
      <w:r>
        <w:t>Control de versiones e historial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Versión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Fecha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Estado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Cambio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3.1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22/08/2026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Histórica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Arquitectura E-Commerce/ERP/Core, identidad, datos, APIs, eventos, Google Cloud y DevOps.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4.0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27/08/2026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Línea base previa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Formalización de Emprendedor y SGC.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5.0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01/09/2026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**Baseline arquitectónica v1.0**</w:t>
            </w:r>
          </w:p>
        </w:tc>
        <w:tc>
          <w:tcPr>
            <w:tcW w:type="dxa" w:w="2556"/>
          </w:tcPr>
          <w:p>
            <w:r>
              <w:t>Reconciliación con PEND_Sol y Catálogo v5: Wompi, liquidación, garantías/retracto, SLA/SLO, calidad, RBAC/ABAC, contratos, retención, multimedia, fiscalidad, HA/DR, IaC y observabilidad.</w:t>
            </w:r>
          </w:p>
        </w:tc>
      </w:tr>
      <w:tr>
        <w:tc>
          <w:tcPr>
            <w:tcW w:type="dxa" w:w="2556"/>
          </w:tcPr>
          <w:p>
            <w:r>
              <w:t>6.0</w:t>
            </w:r>
          </w:p>
        </w:tc>
        <w:tc>
          <w:tcPr>
            <w:tcW w:type="dxa" w:w="2556"/>
          </w:tcPr>
          <w:p>
            <w:r>
              <w:t>01/09/2026</w:t>
            </w:r>
          </w:p>
        </w:tc>
        <w:tc>
          <w:tcPr>
            <w:tcW w:type="dxa" w:w="2556"/>
          </w:tcPr>
          <w:p>
            <w:r>
              <w:t>Baseline arquitectónica v1.1</w:t>
            </w:r>
          </w:p>
        </w:tc>
        <w:tc>
          <w:tcPr>
            <w:tcW w:type="dxa" w:w="2556"/>
          </w:tcPr>
          <w:p>
            <w:r>
              <w:t>Reconciliación integral con SRS v4 y Catálogo v5: 182 CU activos + 4 CU-UI históricos, 29 actores, 26 CU-SGC, BR-01..BR-10, eliminación de CU-EM-021, corrección CMP y ampliación de trazabilidad.</w:t>
            </w:r>
          </w:p>
        </w:tc>
      </w:tr>
    </w:tbl>
    <w:p/>
    <w:p>
      <w:pPr>
        <w:pStyle w:val="Heading1"/>
      </w:pPr>
      <w:r>
        <w:t>Tabla de contenidos</w:t>
      </w:r>
    </w:p>
    <w:p>
      <w:pPr>
        <w:pStyle w:val="ListNumber"/>
      </w:pPr>
      <w:r>
        <w:t xml:space="preserve">Introducción y propósito  </w:t>
      </w:r>
    </w:p>
    <w:p>
      <w:pPr>
        <w:pStyle w:val="ListNumber"/>
      </w:pPr>
      <w:r>
        <w:t xml:space="preserve">Alcance de la arquitectura  </w:t>
      </w:r>
    </w:p>
    <w:p>
      <w:pPr>
        <w:pStyle w:val="ListNumber"/>
      </w:pPr>
      <w:r>
        <w:t xml:space="preserve">Contexto y objetivos  </w:t>
      </w:r>
    </w:p>
    <w:p>
      <w:pPr>
        <w:pStyle w:val="ListNumber"/>
      </w:pPr>
      <w:r>
        <w:t xml:space="preserve">Principios arquitectónicos y de DevOps  </w:t>
      </w:r>
    </w:p>
    <w:p>
      <w:pPr>
        <w:pStyle w:val="ListNumber"/>
      </w:pPr>
      <w:r>
        <w:t xml:space="preserve">Vista de contexto — C4 Nivel 1  </w:t>
      </w:r>
    </w:p>
    <w:p>
      <w:pPr>
        <w:pStyle w:val="ListNumber"/>
      </w:pPr>
      <w:r>
        <w:t xml:space="preserve">Vista de contenedores — C4 Nivel 2  </w:t>
      </w:r>
    </w:p>
    <w:p>
      <w:pPr>
        <w:pStyle w:val="ListNumber"/>
      </w:pPr>
      <w:r>
        <w:t xml:space="preserve">Vista de componentes — C4 Nivel 3  </w:t>
      </w:r>
    </w:p>
    <w:p>
      <w:pPr>
        <w:pStyle w:val="ListNumber"/>
      </w:pPr>
      <w:r>
        <w:t xml:space="preserve">Vista lógica / de información  </w:t>
      </w:r>
    </w:p>
    <w:p>
      <w:pPr>
        <w:pStyle w:val="ListNumber"/>
      </w:pPr>
      <w:r>
        <w:t xml:space="preserve">Vista de procesos / runtime  </w:t>
      </w:r>
    </w:p>
    <w:p>
      <w:pPr>
        <w:pStyle w:val="ListNumber"/>
      </w:pPr>
      <w:r>
        <w:t xml:space="preserve">Vista de desarrollo  </w:t>
      </w:r>
    </w:p>
    <w:p>
      <w:pPr>
        <w:pStyle w:val="ListNumber"/>
      </w:pPr>
      <w:r>
        <w:t xml:space="preserve">Vista de despliegue / física  </w:t>
      </w:r>
    </w:p>
    <w:p>
      <w:pPr>
        <w:pStyle w:val="ListNumber"/>
      </w:pPr>
      <w:r>
        <w:t xml:space="preserve">Arquitectura DevOps  </w:t>
      </w:r>
    </w:p>
    <w:p>
      <w:pPr>
        <w:pStyle w:val="ListNumber"/>
      </w:pPr>
      <w:r>
        <w:t xml:space="preserve">Seguridad de la arquitectura  </w:t>
      </w:r>
    </w:p>
    <w:p>
      <w:pPr>
        <w:pStyle w:val="ListNumber"/>
      </w:pPr>
      <w:r>
        <w:t xml:space="preserve">Atributos de calidad y tácticas  </w:t>
      </w:r>
    </w:p>
    <w:p>
      <w:pPr>
        <w:pStyle w:val="ListNumber"/>
      </w:pPr>
      <w:r>
        <w:t xml:space="preserve">Decisiones de arquitectura — ADR  </w:t>
      </w:r>
    </w:p>
    <w:p>
      <w:pPr>
        <w:pStyle w:val="ListNumber"/>
      </w:pPr>
      <w:r>
        <w:t xml:space="preserve">Riesgos arquitectónicos y deuda técnica  </w:t>
      </w:r>
    </w:p>
    <w:p>
      <w:pPr>
        <w:pStyle w:val="ListNumber"/>
      </w:pPr>
      <w:r>
        <w:t xml:space="preserve">Hoja de ruta  </w:t>
      </w:r>
    </w:p>
    <w:p>
      <w:pPr>
        <w:pStyle w:val="ListNumber"/>
      </w:pPr>
      <w:r>
        <w:t xml:space="preserve">Guías de implementación  </w:t>
      </w:r>
    </w:p>
    <w:p>
      <w:r>
        <w:t xml:space="preserve">Anexo A. Interfaces/contratos  </w:t>
      </w:r>
    </w:p>
    <w:p>
      <w:r>
        <w:t xml:space="preserve">Anexo B. Trazabilidad  </w:t>
      </w:r>
    </w:p>
    <w:p>
      <w:r>
        <w:t xml:space="preserve">Anexo C. Definition of Done  </w:t>
      </w:r>
    </w:p>
    <w:p>
      <w:r>
        <w:t>Anexo D. TBD</w:t>
      </w:r>
    </w:p>
    <w:p>
      <w:pPr>
        <w:pStyle w:val="Heading1"/>
      </w:pPr>
      <w:r>
        <w:t>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Término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Definición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ABAC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Control de acceso basado en atributos.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ADR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Architecture Decision Record.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API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Interfaz de programación.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Baseline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Versión aprobada de referencia.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Caso/Ticket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Agregado transversal de SGC.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CI/CD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Integración, entrega y despliegue automatizados.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Contract-First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Contratos definidos y validados antes del consumidor/productor.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DR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Disaster Recovery.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Error Budget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Presupuesto de error derivado del SLO.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GitOps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Gobierno operativo desde Git y automatización.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HA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Alta disponibilidad.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IaC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Infraestructura como código.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Idempotencia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Repetición sin efectos duplicados.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Legal Hold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Suspensión controlada de eliminación.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RBAC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Control de acceso basado en roles.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RPO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Punto máximo de recuperación de datos.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RTO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Tiempo objetivo de recuperación.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SGC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Soporte, Garantías y Calidad.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SLI/SLO/SLA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Indicador, objetivo y compromiso de nivel de servicio.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TraceId/CorrelationId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Identificadores de trazabilidad distribuida.</w:t>
            </w:r>
          </w:p>
        </w:tc>
      </w:tr>
    </w:tbl>
    <w:p/>
    <w:p>
      <w:pPr>
        <w:pStyle w:val="Heading1"/>
      </w:pPr>
      <w:r>
        <w:t>1. Introducción y propósito</w:t>
      </w:r>
    </w:p>
    <w:p>
      <w:r>
        <w:t>Esta arquitectura establece la referencia técnica para diseño, construcción, pruebas, seguridad, operación y evolución de CuchosTool.com. Conserva las decisiones estructurales de las versiones anteriores y convierte las decisiones cerradas de PEND_Sol en restricciones verificables.</w:t>
      </w:r>
    </w:p>
    <w:p>
      <w:r>
        <w:t>La arquitectura se fundamenta en propiedad única de datos/procesos. Emprendedor y SGC coordinan procesos, pero no duplican pagos, pedidos, inventario, logística, facturación ni contabilidad.</w:t>
      </w:r>
    </w:p>
    <w:p>
      <w:r>
        <w:t>El documento debe utilizarse junto con el SRS y el Catálogo Maestro: requisito → caso de uso → componente → contrato → prueba → commit/PR → despliegue.</w:t>
      </w:r>
    </w:p>
    <w:p>
      <w:pPr>
        <w:pStyle w:val="Heading1"/>
      </w:pPr>
      <w:r>
        <w:t>2. Alcance de la arquitectura</w:t>
      </w:r>
    </w:p>
    <w:p>
      <w:pPr>
        <w:pStyle w:val="Heading2"/>
      </w:pPr>
      <w:r>
        <w:t>2.1 Incluye</w:t>
      </w:r>
    </w:p>
    <w:p>
      <w:pPr>
        <w:pStyle w:val="ListBullet"/>
      </w:pPr>
      <w:r>
        <w:t>Límites de dominio, contenedores y componentes.</w:t>
      </w:r>
    </w:p>
    <w:p>
      <w:pPr>
        <w:pStyle w:val="ListBullet"/>
      </w:pPr>
      <w:r>
        <w:t>Datos maestros/transaccionales.</w:t>
      </w:r>
    </w:p>
    <w:p>
      <w:pPr>
        <w:pStyle w:val="ListBullet"/>
      </w:pPr>
      <w:r>
        <w:t>APIs, eventos y contratos.</w:t>
      </w:r>
    </w:p>
    <w:p>
      <w:pPr>
        <w:pStyle w:val="ListBullet"/>
      </w:pPr>
      <w:r>
        <w:t>Identidad, RBAC, ABAC, segregación y auditoría.</w:t>
      </w:r>
    </w:p>
    <w:p>
      <w:pPr>
        <w:pStyle w:val="ListBullet"/>
      </w:pPr>
      <w:r>
        <w:t>Google Cloud, red, almacenamiento y resiliencia.</w:t>
      </w:r>
    </w:p>
    <w:p>
      <w:pPr>
        <w:pStyle w:val="ListBullet"/>
      </w:pPr>
      <w:r>
        <w:t>CI/CD, DevSecOps, IaC, GitOps.</w:t>
      </w:r>
    </w:p>
    <w:p>
      <w:pPr>
        <w:pStyle w:val="ListBullet"/>
      </w:pPr>
      <w:r>
        <w:t>Observabilidad, SRE, SLO, backup y DR.</w:t>
      </w:r>
    </w:p>
    <w:p>
      <w:pPr>
        <w:pStyle w:val="ListBullet"/>
      </w:pPr>
      <w:r>
        <w:t>Estrategia de release, rollback y pruebas.</w:t>
      </w:r>
    </w:p>
    <w:p>
      <w:pPr>
        <w:pStyle w:val="ListBullet"/>
      </w:pPr>
      <w:r>
        <w:t>Trazabilidad.</w:t>
      </w:r>
    </w:p>
    <w:p>
      <w:pPr>
        <w:pStyle w:val="Heading2"/>
      </w:pPr>
      <w:r>
        <w:t>2.2 Fuera de alcance</w:t>
      </w:r>
    </w:p>
    <w:p>
      <w:pPr>
        <w:pStyle w:val="ListBullet"/>
      </w:pPr>
      <w:r>
        <w:t>Código productivo concreto.</w:t>
      </w:r>
    </w:p>
    <w:p>
      <w:pPr>
        <w:pStyle w:val="ListBullet"/>
      </w:pPr>
      <w:r>
        <w:t>UI detallada.</w:t>
      </w:r>
    </w:p>
    <w:p>
      <w:pPr>
        <w:pStyle w:val="ListBullet"/>
      </w:pPr>
      <w:r>
        <w:t>DER físico completo.</w:t>
      </w:r>
    </w:p>
    <w:p>
      <w:pPr>
        <w:pStyle w:val="ListBullet"/>
      </w:pPr>
      <w:r>
        <w:t>Credenciales/secrets.</w:t>
      </w:r>
    </w:p>
    <w:p>
      <w:pPr>
        <w:pStyle w:val="ListBullet"/>
      </w:pPr>
      <w:r>
        <w:t>Contratos legales completos.</w:t>
      </w:r>
    </w:p>
    <w:p>
      <w:pPr>
        <w:pStyle w:val="ListBullet"/>
      </w:pPr>
      <w:r>
        <w:t>Tarifas futuras no aprobadas.</w:t>
      </w:r>
    </w:p>
    <w:p>
      <w:pPr>
        <w:pStyle w:val="ListBullet"/>
      </w:pPr>
      <w:r>
        <w:t>Procedimientos jurídicos/tributarios que requieran concepto profesional.</w:t>
      </w:r>
    </w:p>
    <w:p>
      <w:pPr>
        <w:pStyle w:val="Heading1"/>
      </w:pPr>
      <w:r>
        <w:t>3. Contexto y objetivos</w:t>
      </w:r>
    </w:p>
    <w:p>
      <w:pPr>
        <w:pStyle w:val="Heading2"/>
      </w:pPr>
      <w:r>
        <w:t>3.1 Contexto de negocio</w:t>
      </w:r>
    </w:p>
    <w:p>
      <w:r>
        <w:t>CuchosTool integra E-Commerce, ERP y Core Empresarial. El E-Commerce permite exploración pública, pero carrito, reserva, checkout, pedido y pago requieren identidad. El dominio Emprendedor administra aliados comerciales; SGC administra soporte, garantías y calidad.</w:t>
      </w:r>
    </w:p>
    <w:p>
      <w:r>
        <w:t>En productos de emprendedores, el modelo aprobado considera al emprendedor como vendedor frente al cliente. CuchosTool factura sus servicios propios de intermediación/fletes según el modelo aprobado. La dispersión queda condicionada a entrega y liquidación.</w:t>
      </w:r>
    </w:p>
    <w:p>
      <w:pPr>
        <w:pStyle w:val="Heading2"/>
      </w:pPr>
      <w:r>
        <w:t>3.2 Objetivos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Táctica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Bajo acoplamiento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APIs + Pub/Sub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Consistencia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Order Service + Inventory Service propietarios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Seguridad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RBAC + ABAC + propiedad + Default Deny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Disponibilidad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Cloud Run multi-instancia + Cloud SQL REGIONAL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Recuperación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PITR + DR us-east4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Entrega continua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CI/CD con gates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Reproducibilidad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Terraform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Privacidad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Storage privado + acceso temporal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Evolución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Modularidad primero</w:t>
            </w:r>
          </w:p>
        </w:tc>
      </w:tr>
    </w:tbl>
    <w:p/>
    <w:p>
      <w:pPr>
        <w:pStyle w:val="Heading2"/>
      </w:pPr>
      <w:r>
        <w:t>3.3 Restricciones y supuestos</w:t>
      </w:r>
    </w:p>
    <w:p>
      <w:pPr>
        <w:pStyle w:val="ListNumber"/>
      </w:pPr>
      <w:r>
        <w:t>Google Cloud es la plataforma objetivo.</w:t>
      </w:r>
    </w:p>
    <w:p>
      <w:pPr>
        <w:pStyle w:val="ListNumber"/>
      </w:pPr>
      <w:r>
        <w:t>Cloud SQL PostgreSQL es persistencia transaccional.</w:t>
      </w:r>
    </w:p>
    <w:p>
      <w:pPr>
        <w:pStyle w:val="ListNumber"/>
      </w:pPr>
      <w:r>
        <w:t>Pub/Sub es backbone de eventos.</w:t>
      </w:r>
    </w:p>
    <w:p>
      <w:pPr>
        <w:pStyle w:val="ListNumber"/>
      </w:pPr>
      <w:r>
        <w:t>Wompi es proveedor definido de pagos.</w:t>
      </w:r>
    </w:p>
    <w:p>
      <w:pPr>
        <w:pStyle w:val="ListNumber"/>
      </w:pPr>
      <w:r>
        <w:t>E-Commerce no accede directamente al ERP.</w:t>
      </w:r>
    </w:p>
    <w:p>
      <w:pPr>
        <w:pStyle w:val="ListNumber"/>
      </w:pPr>
      <w:r>
        <w:t>Un dominio no modifica directamente datos de otro.</w:t>
      </w:r>
    </w:p>
    <w:p>
      <w:pPr>
        <w:pStyle w:val="ListNumber"/>
      </w:pPr>
      <w:r>
        <w:t>Datos sensibles no son públicos.</w:t>
      </w:r>
    </w:p>
    <w:p>
      <w:pPr>
        <w:pStyle w:val="ListNumber"/>
      </w:pPr>
      <w:r>
        <w:t>**[Propuesta — validar]** Node.js/TypeScript/Drizzle como stack de aplicación.</w:t>
      </w:r>
    </w:p>
    <w:p>
      <w:pPr>
        <w:pStyle w:val="ListNumber"/>
      </w:pPr>
      <w:r>
        <w:t>SLA/SLO y umbrales de calidad son configuración de negocio.</w:t>
      </w:r>
    </w:p>
    <w:p>
      <w:pPr>
        <w:pStyle w:val="ListNumber"/>
      </w:pPr>
      <w:r>
        <w:t>Aplicación legal/tributaria final: validación especializada.</w:t>
      </w:r>
    </w:p>
    <w:p>
      <w:pPr>
        <w:pStyle w:val="Heading2"/>
      </w:pPr>
      <w:r>
        <w:t>3.4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Stakeholder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Preocupación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Respuesta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Dirección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Riesgo/costo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ADR, SLO, roadmap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Desarrollo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Fronteras/contratos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C4 y contratos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QA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Verificabilidad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pruebas y gates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DevOps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Operación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pipeline, IaC, SRE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Seguridad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Acceso/datos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RBAC/ABAC, secrets, auditoría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Finanzas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Integridad económica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settlement/conciliación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Logística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Entrega/devolución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SLA/eventos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SGC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Casos/calidad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Caso/Ticket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Emprendedor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Venta/liquidación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aval, entrega, dispersión</w:t>
            </w:r>
          </w:p>
        </w:tc>
      </w:tr>
    </w:tbl>
    <w:p/>
    <w:p>
      <w:pPr>
        <w:pStyle w:val="Heading2"/>
      </w:pPr>
      <w:r>
        <w:t>3.5 Trazabilidad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Grupo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Casos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Componentes</w:t>
            </w:r>
          </w:p>
        </w:tc>
      </w:tr>
      <w:tr>
        <w:tc>
          <w:tcPr>
            <w:tcW w:type="dxa" w:w="3408"/>
          </w:tcPr>
          <w:p>
            <w:r>
              <w:t>RF-EC/RF-AUT</w:t>
            </w:r>
          </w:p>
        </w:tc>
        <w:tc>
          <w:tcPr>
            <w:tcW w:type="dxa" w:w="3408"/>
          </w:tcPr>
          <w:p>
            <w:r>
              <w:t>CU-EC-001..017</w:t>
            </w:r>
          </w:p>
        </w:tc>
        <w:tc>
          <w:tcPr>
            <w:tcW w:type="dxa" w:w="3408"/>
          </w:tcPr>
          <w:p>
            <w:r>
              <w:t>CMP-001..009</w:t>
            </w:r>
          </w:p>
        </w:tc>
      </w:tr>
      <w:tr>
        <w:tc>
          <w:tcPr>
            <w:tcW w:type="dxa" w:w="3408"/>
          </w:tcPr>
          <w:p>
            <w:r>
              <w:t>RF-CORE</w:t>
            </w:r>
          </w:p>
        </w:tc>
        <w:tc>
          <w:tcPr>
            <w:tcW w:type="dxa" w:w="3408"/>
          </w:tcPr>
          <w:p>
            <w:r>
              <w:t>CU-ARCH/CU-INV</w:t>
            </w:r>
          </w:p>
        </w:tc>
        <w:tc>
          <w:tcPr>
            <w:tcW w:type="dxa" w:w="3408"/>
          </w:tcPr>
          <w:p>
            <w:r>
              <w:t>CMP-027..037</w:t>
            </w:r>
          </w:p>
        </w:tc>
      </w:tr>
      <w:tr>
        <w:tc>
          <w:tcPr>
            <w:tcW w:type="dxa" w:w="3408"/>
          </w:tcPr>
          <w:p>
            <w:r>
              <w:t>RF-EMP</w:t>
            </w:r>
          </w:p>
        </w:tc>
        <w:tc>
          <w:tcPr>
            <w:tcW w:type="dxa" w:w="3408"/>
          </w:tcPr>
          <w:p>
            <w:r>
              <w:t>CU-EM-001..020</w:t>
            </w:r>
          </w:p>
        </w:tc>
        <w:tc>
          <w:tcPr>
            <w:tcW w:type="dxa" w:w="3408"/>
          </w:tcPr>
          <w:p>
            <w:r>
              <w:t>CMP-010..017</w:t>
            </w:r>
          </w:p>
        </w:tc>
      </w:tr>
      <w:tr>
        <w:tc>
          <w:tcPr>
            <w:tcW w:type="dxa" w:w="3408"/>
          </w:tcPr>
          <w:p>
            <w:r>
              <w:t>RF-SGC</w:t>
            </w:r>
          </w:p>
        </w:tc>
        <w:tc>
          <w:tcPr>
            <w:tcW w:type="dxa" w:w="3408"/>
          </w:tcPr>
          <w:p>
            <w:r>
              <w:t>CU-SGC-001..026</w:t>
            </w:r>
          </w:p>
        </w:tc>
        <w:tc>
          <w:tcPr>
            <w:tcW w:type="dxa" w:w="3408"/>
          </w:tcPr>
          <w:p>
            <w:r>
              <w:t>CMP-018..026</w:t>
            </w:r>
          </w:p>
        </w:tc>
      </w:tr>
      <w:tr>
        <w:tc>
          <w:tcPr>
            <w:tcW w:type="dxa" w:w="3408"/>
          </w:tcPr>
          <w:p>
            <w:r>
              <w:t>RF-SEC</w:t>
            </w:r>
          </w:p>
        </w:tc>
        <w:tc>
          <w:tcPr>
            <w:tcW w:type="dxa" w:w="3408"/>
          </w:tcPr>
          <w:p>
            <w:r>
              <w:t>CU-SEC-001..015</w:t>
            </w:r>
          </w:p>
        </w:tc>
        <w:tc>
          <w:tcPr>
            <w:tcW w:type="dxa" w:w="3408"/>
          </w:tcPr>
          <w:p>
            <w:r>
              <w:t>CMP-046..055</w:t>
            </w:r>
          </w:p>
        </w:tc>
      </w:tr>
      <w:tr>
        <w:tc>
          <w:tcPr>
            <w:tcW w:type="dxa" w:w="3408"/>
          </w:tcPr>
          <w:p>
            <w:r>
              <w:t>RF-DEV/RF-GCP</w:t>
            </w:r>
          </w:p>
        </w:tc>
        <w:tc>
          <w:tcPr>
            <w:tcW w:type="dxa" w:w="3408"/>
          </w:tcPr>
          <w:p>
            <w:r>
              <w:t>CU-DEV/CU-GCP</w:t>
            </w:r>
          </w:p>
        </w:tc>
        <w:tc>
          <w:tcPr>
            <w:tcW w:type="dxa" w:w="3408"/>
          </w:tcPr>
          <w:p>
            <w:r>
              <w:t>CMP-038..045</w:t>
            </w:r>
          </w:p>
        </w:tc>
      </w:tr>
      <w:tr>
        <w:tc>
          <w:tcPr>
            <w:tcW w:type="dxa" w:w="3408"/>
          </w:tcPr>
          <w:p>
            <w:r>
              <w:t>RI / integración</w:t>
            </w:r>
          </w:p>
        </w:tc>
        <w:tc>
          <w:tcPr>
            <w:tcW w:type="dxa" w:w="3408"/>
          </w:tcPr>
          <w:p>
            <w:r>
              <w:t>CU-INT-001..014</w:t>
            </w:r>
          </w:p>
        </w:tc>
        <w:tc>
          <w:tcPr>
            <w:tcW w:type="dxa" w:w="3408"/>
          </w:tcPr>
          <w:p>
            <w:r>
              <w:t>CMP-056..060</w:t>
            </w:r>
          </w:p>
        </w:tc>
      </w:tr>
      <w:tr>
        <w:tc>
          <w:tcPr>
            <w:tcW w:type="dxa" w:w="3408"/>
          </w:tcPr>
          <w:p>
            <w:r>
              <w:t>Históricos UI</w:t>
            </w:r>
          </w:p>
        </w:tc>
        <w:tc>
          <w:tcPr>
            <w:tcW w:type="dxa" w:w="3408"/>
          </w:tcPr>
          <w:p>
            <w:r>
              <w:t>CU-UI-001..004</w:t>
            </w:r>
          </w:p>
        </w:tc>
        <w:tc>
          <w:tcPr>
            <w:tcW w:type="dxa" w:w="3408"/>
          </w:tcPr>
          <w:p>
            <w:r>
              <w:t>Sin componentes nuevos</w:t>
            </w:r>
          </w:p>
        </w:tc>
      </w:tr>
    </w:tbl>
    <w:p/>
    <w:p>
      <w:pPr>
        <w:pStyle w:val="Heading1"/>
      </w:pPr>
      <w:r>
        <w:t>4. Principios arquitectónicos y de DevOps</w:t>
      </w:r>
    </w:p>
    <w:p>
      <w:pPr>
        <w:pStyle w:val="ListNumber"/>
      </w:pPr>
      <w:r>
        <w:t>Arquitectura dirigida por requisitos.</w:t>
      </w:r>
    </w:p>
    <w:p>
      <w:pPr>
        <w:pStyle w:val="ListNumber"/>
      </w:pPr>
      <w:r>
        <w:t>Propiedad única de datos y procesos.</w:t>
      </w:r>
    </w:p>
    <w:p>
      <w:pPr>
        <w:pStyle w:val="ListNumber"/>
      </w:pPr>
      <w:r>
        <w:t>Modularidad primero.</w:t>
      </w:r>
    </w:p>
    <w:p>
      <w:pPr>
        <w:pStyle w:val="ListNumber"/>
      </w:pPr>
      <w:r>
        <w:t>Backend como autoridad de seguridad.</w:t>
      </w:r>
    </w:p>
    <w:p>
      <w:pPr>
        <w:pStyle w:val="ListNumber"/>
      </w:pPr>
      <w:r>
        <w:t>Default Deny y mínimo privilegio.</w:t>
      </w:r>
    </w:p>
    <w:p>
      <w:pPr>
        <w:pStyle w:val="ListNumber"/>
      </w:pPr>
      <w:r>
        <w:t>Contract-First.</w:t>
      </w:r>
    </w:p>
    <w:p>
      <w:pPr>
        <w:pStyle w:val="ListNumber"/>
      </w:pPr>
      <w:r>
        <w:t>Idempotencia por diseño.</w:t>
      </w:r>
    </w:p>
    <w:p>
      <w:pPr>
        <w:pStyle w:val="ListNumber"/>
      </w:pPr>
      <w:r>
        <w:t>Observabilidad por defecto.</w:t>
      </w:r>
    </w:p>
    <w:p>
      <w:pPr>
        <w:pStyle w:val="ListNumber"/>
      </w:pPr>
      <w:r>
        <w:t>Fallos aislados mediante timeout, retry, DLQ y circuit breaker.</w:t>
      </w:r>
    </w:p>
    <w:p>
      <w:pPr>
        <w:pStyle w:val="ListNumber"/>
      </w:pPr>
      <w:r>
        <w:t>Ambientes paritarios.</w:t>
      </w:r>
    </w:p>
    <w:p>
      <w:pPr>
        <w:pStyle w:val="ListNumber"/>
      </w:pPr>
      <w:r>
        <w:t>Artefactos inmutables.</w:t>
      </w:r>
    </w:p>
    <w:p>
      <w:pPr>
        <w:pStyle w:val="ListNumber"/>
      </w:pPr>
      <w:r>
        <w:t>Seguridad desde el commit.</w:t>
      </w:r>
    </w:p>
    <w:p>
      <w:pPr>
        <w:pStyle w:val="ListNumber"/>
      </w:pPr>
      <w:r>
        <w:t>Todo como código.</w:t>
      </w:r>
    </w:p>
    <w:p>
      <w:pPr>
        <w:pStyle w:val="ListNumber"/>
      </w:pPr>
      <w:r>
        <w:t>Rollback obligatorio.</w:t>
      </w:r>
    </w:p>
    <w:p>
      <w:pPr>
        <w:pStyle w:val="ListNumber"/>
      </w:pPr>
      <w:r>
        <w:t>Datos sensibles fuera de logs/eventos innecesarios.</w:t>
      </w:r>
    </w:p>
    <w:p>
      <w:pPr>
        <w:pStyle w:val="ListNumber"/>
      </w:pPr>
      <w:r>
        <w:t>Analítica separada de transaccional.</w:t>
      </w:r>
    </w:p>
    <w:p>
      <w:pPr>
        <w:pStyle w:val="ListNumber"/>
      </w:pPr>
      <w:r>
        <w:t>Alertas de calidad no sancionan automáticamente.</w:t>
      </w:r>
    </w:p>
    <w:p>
      <w:pPr>
        <w:pStyle w:val="ListNumber"/>
      </w:pPr>
      <w:r>
        <w:t>Acciones críticas tipo E son auditadas.</w:t>
      </w:r>
    </w:p>
    <w:p>
      <w:pPr>
        <w:pStyle w:val="Heading1"/>
      </w:pPr>
      <w:r>
        <w:t>5. Vista de contexto — C4 Nivel 1</w:t>
      </w:r>
    </w:p>
    <w:p>
      <w:r>
        <w:rPr>
          <w:rFonts w:ascii="Courier New" w:hAnsi="Courier New"/>
          <w:sz w:val="15"/>
        </w:rPr>
        <w:t>[Visitante] ------------------------[Cliente] ---------------------------&gt; [CuchosTool.com]</w:t>
        <w:br/>
        <w:t>[Emprendedor] ----------------------/</w:t>
        <w:br/>
        <w:t>[Gerente de Zona] -----------------/</w:t>
        <w:br/>
        <w:t>[Soporte / Garantías / Calidad] ---/</w:t>
        <w:br/>
        <w:t>[Administración ERP] -------------/</w:t>
        <w:br/>
        <w:br/>
        <w:t>[CuchosTool.com] ---&gt; [Wompi]</w:t>
        <w:br/>
        <w:t>[CuchosTool.com] ---&gt; [Operadores logísticos]</w:t>
        <w:br/>
        <w:t>[CuchosTool.com] ---&gt; [Facturación electrónica / DIAN]</w:t>
        <w:br/>
        <w:t>[CuchosTool.com] ---&gt; [Canales de notificación]</w:t>
      </w:r>
    </w:p>
    <w:p>
      <w:r>
        <w:t>Flujos principales: exploración; autenticación; carrito/checkout/pago; pedido/despacho/entrega; enrolamiento/aval/publicación de emprendedor; garantía/devolución/reembolso; liquidación/dispersión; calidad/alertas; analítica.</w:t>
      </w:r>
    </w:p>
    <w:p>
      <w:pPr>
        <w:pStyle w:val="Heading1"/>
      </w:pPr>
      <w:r>
        <w:t>6. Vista de contenedores — C4 Nivel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Contenedor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Responsabilidad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Tecnología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CTR-001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E-Commerce Web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catálogo, carrito, checkout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Web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CTR-002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Identity &amp; Access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identidad/sesión/autorización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IdP + backend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CTR-003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Core API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capacidades compartidas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Cloud Run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CTR-004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Order Service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pedido único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Cloud Run + PostgreSQL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CTR-005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Inventory Service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stock/reserva/Kardex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Cloud Run + PostgreSQL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CTR-006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Payments Adapter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Wompi/reembolso/reversión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Cloud Run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CTR-007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ERP Modular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compras, RRHH, comercial, logística, facturación, contabilidad, gerencia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Cloud Run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CTR-008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Entrepreneur Domain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enrolamiento, documentos, productos, aval, ofertas, settlement coordinado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Cloud Run + SQL/Storage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CTR-009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SGC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casos, garantías, calidad, SLA, satisfacción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Cloud Run + SQL/Storage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CTR-010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Evidence Service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evidencia y acceso seguro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Cloud Run + Storage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CTR-011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Event Backbone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Pub/Sub, retries, DLQ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Pub/Sub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CTR-012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Scheduler/Worker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SLA, expiraciones, lotes, conciliaciones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Scheduler/Tasks/Jobs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CTR-013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API Gateway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gobierno de APIs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API Gateway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CTR-014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Data/BI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histórico/analítica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BigQuery + BI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CTR-015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Observability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logs/métricas/traces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Logging/Monitoring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CTR-016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CI/CD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build/test/security/deploy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GitHub Actions **[Propuesta — validar]**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CTR-017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IaC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infraestructura/policies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Terraform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CTR-018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Artifact Registry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artefactos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Artifact Registry</w:t>
            </w:r>
          </w:p>
        </w:tc>
      </w:tr>
    </w:tbl>
    <w:p/>
    <w:p>
      <w:r>
        <w:rPr>
          <w:rFonts w:ascii="Courier New" w:hAnsi="Courier New"/>
          <w:sz w:val="15"/>
        </w:rPr>
        <w:t>Usuarios -&gt; E-Commerce/ERP -&gt; API Gateway -&gt; Cloud Run</w:t>
        <w:br/>
        <w:t>Cloud Run -&gt; Cloud SQL / Cloud Storage / Secret Manager</w:t>
        <w:br/>
        <w:t>Cloud Run -&gt; Pub/Sub -&gt; consumidores SGC/Emprendedor/ERP/Data/Observability</w:t>
        <w:br/>
        <w:t>Cloud Run -&gt; Wompi / Logística / Facturación</w:t>
      </w:r>
    </w:p>
    <w:p>
      <w:pPr>
        <w:pStyle w:val="Heading1"/>
      </w:pPr>
      <w:r>
        <w:t>7. Vista de componentes — C4 Nivel 3</w:t>
      </w:r>
    </w:p>
    <w:p>
      <w:pPr>
        <w:pStyle w:val="Heading2"/>
      </w:pPr>
      <w:r>
        <w:t>CTR-008 Emprendedor — CMP-010..017: Lifecycle; Enrollment; Document Package; Product Contribution; Approval Coordinator; Offer Manager; Settlement Coordinator; Reporting.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Componente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Responsabilidad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CMP-010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Lifecycle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estados y transiciones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CMP-011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Enrollment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alta controlada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CMP-012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Document Package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documentos/retención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CMP-013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Product Contribution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producto sin publicación automática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CMP-014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Approval Coordinator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aval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CMP-015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Offer Manager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oportunidad/vigencia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CMP-016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Settlement Coordinator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elegibilidad/liquidación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CMP-017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Reporting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consultas segregadas</w:t>
            </w:r>
          </w:p>
        </w:tc>
      </w:tr>
    </w:tbl>
    <w:p/>
    <w:p>
      <w:pPr>
        <w:pStyle w:val="Heading2"/>
      </w:pPr>
      <w:r>
        <w:t>CTR-009 SGC — CMP-018..026: Case Management; Support Workflow; Warranty Engine; Evidence Coordinator; SLA Engine; Escalation Engine; Quality Analytics; Corrective Actions; Satisfaction.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Componente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Responsabilidad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CMP-018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Case Management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Caso/Ticket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CMP-019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Support Workflow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asignación/prioridad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CMP-020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Warranty Engine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vigencia/causal/decisión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CMP-021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Evidence Coordinator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evidencias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CMP-022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SLA Engine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FRT/TTR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CMP-023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Escalation Engine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70/100/150%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CMP-024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Quality Analytics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métricas/reincidencia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CMP-025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Corrective Actions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acciones/evidencia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CMP-026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Satisfaction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encuesta/calificación</w:t>
            </w:r>
          </w:p>
        </w:tc>
      </w:tr>
    </w:tbl>
    <w:p/>
    <w:p>
      <w:pPr>
        <w:pStyle w:val="Heading2"/>
      </w:pPr>
      <w:r>
        <w:t>CTR-004 Order Service</w:t>
      </w:r>
    </w:p>
    <w:p>
      <w:r>
        <w:t>CTR-004 Order Service — CMP-027..031: Order Command/State/Query, Checkout Coordinator y Event Publisher. Propietario único del pedido empresarial.</w:t>
      </w:r>
    </w:p>
    <w:p>
      <w:pPr>
        <w:pStyle w:val="Heading2"/>
      </w:pPr>
      <w:r>
        <w:t>CTR-005 Inventory</w:t>
      </w:r>
    </w:p>
    <w:p>
      <w:r>
        <w:t>CTR-005 Inventory — CMP-032..037: Stock Ledger; Reservation Manager; Availability Query; Warehouse Manager; Return Intake; Event Publisher. Fuente única de verdad de existencias, reservas y Kardex.</w:t>
      </w:r>
    </w:p>
    <w:p>
      <w:pPr>
        <w:pStyle w:val="Heading2"/>
      </w:pPr>
      <w:r>
        <w:t>CTR-016 CI/CD</w:t>
      </w:r>
    </w:p>
    <w:p>
      <w:r>
        <w:t>CTR-016 CI/CD — CMP-038..045: Source/PR Gate; Build; Unit Test; Security Gates; Contract Gates; Package/Provenance; Deploy Promotion; Smoke/Rollback.</w:t>
      </w:r>
    </w:p>
    <w:p>
      <w:r>
        <w:t>CTR-002 Identity &amp; Access — CMP-046..055: Authentication Adapter; Session/Token Policy; RBAC Policy; ABAC Policy; Ownership Guard; Default Deny Guard; Audit Trail; Secret Access Policy; Data Classification; Retention/Legal Hold Policy.</w:t>
      </w:r>
    </w:p>
    <w:p>
      <w:r>
        <w:t>Integración — CMP-056..060: API Contract Registry; Event Contract Registry; Correlation Manager; Retry/DLQ Policy; External Integration Adapters.</w:t>
      </w:r>
    </w:p>
    <w:p>
      <w:r>
        <w:t>Reconciliación v6: CMP-038..045 quedan reservados exclusivamente para CI/CD. CMP-046..055 se reservan para identidad, autorización, auditoría y políticas. CMP-056..060 se reservan para contratos e integración.</w:t>
      </w:r>
    </w:p>
    <w:p>
      <w:pPr>
        <w:pStyle w:val="Heading1"/>
      </w:pPr>
      <w:r>
        <w:t>8. Vista lógica / de información</w:t>
      </w:r>
    </w:p>
    <w:p>
      <w:pPr>
        <w:pStyle w:val="Heading2"/>
      </w:pPr>
      <w:r>
        <w:t>8.1 Dominios y propiedad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Dominio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Dueño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Datos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Identity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Identity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usuario/sesión/claims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Product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Productos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producto/SKU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Inventory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Inventory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stock/reserva/Kardex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Order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Order Service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pedido/ítems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Payment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Payments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pago/reembolso/reversión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Entrepreneur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Emprendedor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emprendedor/documentos/aval/ofertas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Logistics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Logística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despacho/guía/entrega/devolución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SGC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SGC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caso/garantía/SLA/evidencia/calidad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Billing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Facturación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factura/notas/CUFE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Accounting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Contabilidad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movimientos/conciliación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Commercial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Comercial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vendedores/zonas/comisiones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Data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Data/BI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históricos/agregados</w:t>
            </w:r>
          </w:p>
        </w:tc>
      </w:tr>
    </w:tbl>
    <w:p/>
    <w:p>
      <w:pPr>
        <w:pStyle w:val="Heading2"/>
      </w:pPr>
      <w:r>
        <w:t>8.2 Entidades principales</w:t>
      </w:r>
    </w:p>
    <w:p>
      <w:r>
        <w:rPr>
          <w:rFonts w:ascii="Courier New" w:hAnsi="Courier New"/>
          <w:sz w:val="15"/>
        </w:rPr>
        <w:t>Entrepreneur</w:t>
        <w:br/>
        <w:t>EntrepreneurDocumentPackage</w:t>
        <w:br/>
        <w:t>EntrepreneurDocument</w:t>
        <w:br/>
        <w:t>EntrepreneurProduct</w:t>
        <w:br/>
        <w:t>ProductApproval</w:t>
        <w:br/>
        <w:t>EntrepreneurOffer</w:t>
        <w:br/>
        <w:t>Settlement</w:t>
        <w:br/>
        <w:t>SettlementMovement</w:t>
        <w:br/>
        <w:t>Case</w:t>
        <w:br/>
        <w:t>CaseParticipant</w:t>
        <w:br/>
        <w:t>CaseEvent</w:t>
        <w:br/>
        <w:t>WarrantyClaim</w:t>
        <w:br/>
        <w:t>CaseEvidence</w:t>
        <w:br/>
        <w:t>SlaPolicy</w:t>
        <w:br/>
        <w:t>SlaMeasurement</w:t>
        <w:br/>
        <w:t>QualityMetric</w:t>
        <w:br/>
        <w:t>QualityAlert</w:t>
        <w:br/>
        <w:t>CorrectiveAction</w:t>
        <w:br/>
        <w:t>SatisfactionSurvey</w:t>
        <w:br/>
        <w:t>ProcessedEvent</w:t>
        <w:br/>
        <w:t>AuditEvent</w:t>
        <w:br/>
        <w:t>LegalHold</w:t>
      </w:r>
    </w:p>
    <w:p>
      <w:pPr>
        <w:pStyle w:val="Heading2"/>
      </w:pPr>
      <w:r>
        <w:t>8.3 Reglas</w:t>
      </w:r>
    </w:p>
    <w:p>
      <w:pPr>
        <w:pStyle w:val="ListBullet"/>
      </w:pPr>
      <w:r>
        <w:t>`entrepreneurId` para recursos del emprendedor.</w:t>
      </w:r>
    </w:p>
    <w:p>
      <w:pPr>
        <w:pStyle w:val="ListBullet"/>
      </w:pPr>
      <w:r>
        <w:t>`zoneId` para recursos territoriales.</w:t>
      </w:r>
    </w:p>
    <w:p>
      <w:pPr>
        <w:pStyle w:val="ListBullet"/>
      </w:pPr>
      <w:r>
        <w:t>Cliente sólo ve recursos propios.</w:t>
      </w:r>
    </w:p>
    <w:p>
      <w:pPr>
        <w:pStyle w:val="ListBullet"/>
      </w:pPr>
      <w:r>
        <w:t>Gerente de Zona sólo ve su zona.</w:t>
      </w:r>
    </w:p>
    <w:p>
      <w:pPr>
        <w:pStyle w:val="ListBullet"/>
      </w:pPr>
      <w:r>
        <w:t>No se comparte BD por acceso directo.</w:t>
      </w:r>
    </w:p>
    <w:p>
      <w:pPr>
        <w:pStyle w:val="ListBullet"/>
      </w:pPr>
      <w:r>
        <w:t>BigQuery no es sistema transaccional.</w:t>
      </w:r>
    </w:p>
    <w:p>
      <w:pPr>
        <w:pStyle w:val="Heading1"/>
      </w:pPr>
      <w:r>
        <w:t>9. Vista de procesos / runtime</w:t>
      </w:r>
    </w:p>
    <w:p>
      <w:pPr>
        <w:pStyle w:val="Heading2"/>
      </w:pPr>
      <w:r>
        <w:t>9.1 Login</w:t>
      </w:r>
    </w:p>
    <w:p>
      <w:r>
        <w:rPr>
          <w:rFonts w:ascii="Courier New" w:hAnsi="Courier New"/>
          <w:sz w:val="15"/>
        </w:rPr>
        <w:t>Cliente -&gt; E-Commerce -&gt; Identity -&gt; token/claims</w:t>
        <w:br/>
        <w:t>E-Commerce -&gt; API Gateway -&gt; Servicio -&gt; Policy</w:t>
        <w:br/>
        <w:t>Policy -&gt; RBAC + ABAC + propiedad -&gt; allow/deny</w:t>
        <w:br/>
        <w:t>Servicio -&gt; E-Commerce</w:t>
      </w:r>
    </w:p>
    <w:p>
      <w:pPr>
        <w:pStyle w:val="Heading2"/>
      </w:pPr>
      <w:r>
        <w:t>9.2 Checkout</w:t>
      </w:r>
    </w:p>
    <w:p>
      <w:r>
        <w:rPr>
          <w:rFonts w:ascii="Courier New" w:hAnsi="Courier New"/>
          <w:sz w:val="15"/>
        </w:rPr>
        <w:t>Cliente -&gt; Order Service -&gt; Inventory: reservar</w:t>
        <w:br/>
        <w:t>Inventory -&gt; Order Service: reserva</w:t>
        <w:br/>
        <w:t>Order Service -&gt; Payments Adapter -&gt; Wompi</w:t>
        <w:br/>
        <w:t>Wompi -&gt; Payments Adapter -&gt; Pub/Sub: OrderPaid</w:t>
        <w:br/>
        <w:t>Order Service -&gt; Cliente</w:t>
      </w:r>
    </w:p>
    <w:p>
      <w:pPr>
        <w:pStyle w:val="Heading2"/>
      </w:pPr>
      <w:r>
        <w:t>9.3 Garantía</w:t>
      </w:r>
    </w:p>
    <w:p>
      <w:r>
        <w:rPr>
          <w:rFonts w:ascii="Courier New" w:hAnsi="Courier New"/>
          <w:sz w:val="15"/>
        </w:rPr>
        <w:t>Cliente -&gt; SGC: Caso</w:t>
        <w:br/>
        <w:t>SGC -&gt; Order: validar compra/entrega</w:t>
        <w:br/>
        <w:t>SGC -&gt; Evidence: evidencia privada</w:t>
        <w:br/>
        <w:t>SGC -&gt; Warranty Engine: decisión</w:t>
        <w:br/>
        <w:t>SGC -&gt; Logística: devolución/reemplazo</w:t>
        <w:br/>
        <w:t>SGC -&gt; Payments: reembolso</w:t>
        <w:br/>
        <w:t>Logística -&gt; Inventory: recepción/ajuste</w:t>
        <w:br/>
        <w:t>SGC -&gt; Cliente: resolución</w:t>
      </w:r>
    </w:p>
    <w:p>
      <w:pPr>
        <w:pStyle w:val="Heading2"/>
      </w:pPr>
      <w:r>
        <w:t>9.4 Dispersión</w:t>
      </w:r>
    </w:p>
    <w:p>
      <w:r>
        <w:rPr>
          <w:rFonts w:ascii="Courier New" w:hAnsi="Courier New"/>
          <w:sz w:val="15"/>
        </w:rPr>
        <w:t>Pago -&gt; saldo transitorio -&gt; deducciones/retenciones</w:t>
        <w:br/>
        <w:t>Entrega confirmada -&gt; elegibilidad -&gt; autorización</w:t>
        <w:br/>
        <w:t>Settlement -&gt; Payments/Wompi -&gt; DispersionEjecutada</w:t>
        <w:br/>
        <w:t>Accounting -&gt; conciliación</w:t>
      </w:r>
    </w:p>
    <w:p>
      <w:r>
        <w:t>La dispersión nunca se autoriza sin entrega confirmada y validaciones de liquidación. fileciteturn7file3</w:t>
      </w:r>
    </w:p>
    <w:p>
      <w:pPr>
        <w:pStyle w:val="Heading2"/>
      </w:pPr>
      <w:r>
        <w:t>9.5 Fallo</w:t>
      </w:r>
    </w:p>
    <w:p>
      <w:r>
        <w:rPr>
          <w:rFonts w:ascii="Courier New" w:hAnsi="Courier New"/>
          <w:sz w:val="15"/>
        </w:rPr>
        <w:t>Evento -&gt; Consumer -&gt; error temporal -&gt; retry</w:t>
        <w:br/>
        <w:t>error persistente -&gt; DLQ -&gt; alerta -&gt; runbook</w:t>
      </w:r>
    </w:p>
    <w:p>
      <w:pPr>
        <w:pStyle w:val="Heading1"/>
      </w:pPr>
      <w:r>
        <w:t>10. Vista de desarrollo</w:t>
      </w:r>
    </w:p>
    <w:p>
      <w:pPr>
        <w:pStyle w:val="Heading2"/>
      </w:pPr>
      <w:r>
        <w:t>10.1 Repositorio</w:t>
      </w:r>
    </w:p>
    <w:p>
      <w:r>
        <w:rPr>
          <w:rFonts w:ascii="Courier New" w:hAnsi="Courier New"/>
          <w:sz w:val="15"/>
        </w:rPr>
        <w:t>/apps/{ecommerce,core-api,order-service,inventory-service,entrepreneur-service,sgc-service,payments-adapter,erp}</w:t>
        <w:br/>
        <w:t>/packages/{auth,domain-kernel,observability,event-envelope,validation}</w:t>
        <w:br/>
        <w:t>/contracts/apis/{catalog,orders,entrepreneur,sgc}</w:t>
        <w:br/>
        <w:t>/contracts/events/{order,inventory,entrepreneur,sgc}</w:t>
        <w:br/>
        <w:t>/infra/terraform/environments/{dev,test,staging,prod}</w:t>
        <w:br/>
        <w:t>/tests/{integration,contract,security,smoke}</w:t>
        <w:br/>
        <w:t>/docs/{adr,runbooks,architecture}</w:t>
        <w:br/>
        <w:t>/.github/workflows</w:t>
      </w:r>
    </w:p>
    <w:p>
      <w:pPr>
        <w:pStyle w:val="Heading2"/>
      </w:pPr>
      <w:r>
        <w:t>10.2 Branching</w:t>
      </w:r>
    </w:p>
    <w:p>
      <w:r>
        <w:rPr>
          <w:rFonts w:ascii="Courier New" w:hAnsi="Courier New"/>
          <w:sz w:val="15"/>
        </w:rPr>
        <w:t>feature/* -&gt; PR -&gt; develop -&gt; release/* -&gt; main</w:t>
        <w:br/>
        <w:t>fix/*     -&gt; PR -&gt; develop</w:t>
        <w:br/>
        <w:t>hotfix/* -&gt; PR -&gt; main + sincronización develop</w:t>
      </w:r>
    </w:p>
    <w:p>
      <w:r>
        <w:t>Se conserva `main` protegida y `develop` como integración. fileciteturn9file14</w:t>
      </w:r>
    </w:p>
    <w:p>
      <w:pPr>
        <w:pStyle w:val="Heading2"/>
      </w:pPr>
      <w:r>
        <w:t>10.3 Estándares</w:t>
      </w:r>
    </w:p>
    <w:p>
      <w:pPr>
        <w:pStyle w:val="ListBullet"/>
      </w:pPr>
      <w:r>
        <w:t>SemVer.</w:t>
      </w:r>
    </w:p>
    <w:p>
      <w:pPr>
        <w:pStyle w:val="ListBullet"/>
      </w:pPr>
      <w:r>
        <w:t>Commits: feat/fix/refactor/test/docs/build/ci/security/perf.</w:t>
      </w:r>
    </w:p>
    <w:p>
      <w:pPr>
        <w:pStyle w:val="ListBullet"/>
      </w:pPr>
      <w:r>
        <w:t>PR obligatorio.</w:t>
      </w:r>
    </w:p>
    <w:p>
      <w:pPr>
        <w:pStyle w:val="ListBullet"/>
      </w:pPr>
      <w:r>
        <w:t>Autor no aprueba su PR.</w:t>
      </w:r>
    </w:p>
    <w:p>
      <w:pPr>
        <w:pStyle w:val="ListBullet"/>
      </w:pPr>
      <w:r>
        <w:t>Todo cambio referencia RF/RNF/CU/ADR/BL.</w:t>
      </w:r>
    </w:p>
    <w:p>
      <w:pPr>
        <w:pStyle w:val="Heading2"/>
      </w:pPr>
      <w:r>
        <w:t>10.4 Nunca en Git</w:t>
      </w:r>
    </w:p>
    <w:p>
      <w:r>
        <w:t>Passwords, tokens, API keys, credenciales Wompi, llaves privadas, CMEK, datos reales y dumps.</w:t>
      </w:r>
    </w:p>
    <w:p>
      <w:pPr>
        <w:pStyle w:val="Heading1"/>
      </w:pPr>
      <w:r>
        <w:t>11. Vista de despliegue / física</w:t>
      </w:r>
    </w:p>
    <w:p>
      <w:r>
        <w:rPr>
          <w:rFonts w:ascii="Courier New" w:hAnsi="Courier New"/>
          <w:sz w:val="15"/>
        </w:rPr>
        <w:t>Internet</w:t>
        <w:br/>
        <w:t xml:space="preserve">  |</w:t>
        <w:br/>
        <w:t xml:space="preserve">  v</w:t>
        <w:br/>
        <w:t>Cloud Armor + Load Balancing + Cloud CDN</w:t>
        <w:br/>
        <w:t xml:space="preserve">  |</w:t>
        <w:br/>
        <w:t xml:space="preserve">  v</w:t>
        <w:br/>
        <w:t>API Gateway</w:t>
        <w:br/>
        <w:t xml:space="preserve">  |</w:t>
        <w:br/>
        <w:t xml:space="preserve">  v</w:t>
        <w:br/>
        <w:t>us-central1</w:t>
        <w:br/>
        <w:t xml:space="preserve">  |-- Cloud Run (min 2 instancias)</w:t>
        <w:br/>
        <w:t xml:space="preserve">  |-- Cloud SQL PostgreSQL REGIONAL</w:t>
        <w:br/>
        <w:t xml:space="preserve">  |-- Pub/Sub</w:t>
        <w:br/>
        <w:t xml:space="preserve">  |-- Cloud Storage</w:t>
        <w:br/>
        <w:t xml:space="preserve">  |-- Secret Manager</w:t>
        <w:br/>
        <w:t xml:space="preserve">  |-- Logging/Monitoring</w:t>
        <w:br/>
        <w:t xml:space="preserve">  |</w:t>
        <w:br/>
        <w:t xml:space="preserve">  +--&gt; Wompi / Logística / Facturación</w:t>
        <w:br/>
        <w:br/>
        <w:t>DR -&gt; us-east4 -&gt; réplica PostgreSQL + procedimientos de recuperación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Ambiente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Datos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Objetivo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ENV-001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DEV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sintéticos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desarrollo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ENV-002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TEST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sintéticos/anónimos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QA/integración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ENV-003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STAGING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controlados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preproducción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ENV-004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PROD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reales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operación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ENV-005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DR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réplica/backup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recuperación</w:t>
            </w:r>
          </w:p>
        </w:tc>
      </w:tr>
    </w:tbl>
    <w:p/>
    <w:p>
      <w:r>
        <w:t>Producción: Cloud Run mínimo 2 instancias; Cloud SQL REGIONAL; PITR; réplica DR us-east4; acceso privado a SQL; HTTPS 443; PostgreSQL no público. La configuración HA/DR debe estar en Terraform. fileciteturn8file9</w:t>
      </w:r>
    </w:p>
    <w:p>
      <w:pPr>
        <w:pStyle w:val="Heading1"/>
      </w:pPr>
      <w:r>
        <w:t>12. Arquitectura DevOps</w:t>
      </w:r>
    </w:p>
    <w:p>
      <w:pPr>
        <w:pStyle w:val="Heading2"/>
      </w:pPr>
      <w:r>
        <w:t>12.1 Cadena de valor</w:t>
      </w:r>
    </w:p>
    <w:p>
      <w:r>
        <w:rPr>
          <w:rFonts w:ascii="Courier New" w:hAnsi="Courier New"/>
          <w:sz w:val="15"/>
        </w:rPr>
        <w:t>Requisito -&gt; análisis -&gt; ADR/diseño -&gt; tarea -&gt; branch -&gt; commit -&gt; PR</w:t>
        <w:br/>
        <w:t>-&gt; build -&gt; test -&gt; security -&gt; contract -&gt; artifact</w:t>
        <w:br/>
        <w:t>-&gt; DEV -&gt; TEST -&gt; STAGING -&gt; aprobación -&gt; PROD</w:t>
        <w:br/>
        <w:t>-&gt; observe -&gt; feedback</w:t>
      </w:r>
    </w:p>
    <w:p>
      <w:pPr>
        <w:pStyle w:val="Heading2"/>
      </w:pPr>
      <w:r>
        <w:t>12.2 PIP-001 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Gate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Control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Bloqueante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PIP-001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lint/format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sí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PIP-002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type-check/build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sí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PIP-003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unit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sí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PIP-004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coverage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sí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PIP-005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SAST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sí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PIP-006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SCA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sí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PIP-007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secrets scan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sí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PIP-008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OpenAPI lint/diff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sí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PIP-009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JSON Schema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sí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PIP-010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image scan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sí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PIP-011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provenance/package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sí</w:t>
            </w:r>
          </w:p>
        </w:tc>
      </w:tr>
      <w:tr>
        <w:tc>
          <w:tcPr>
            <w:tcW w:type="dxa" w:w="3408"/>
          </w:tcPr>
          <w:p>
            <w:r>
              <w:t>PIP-012</w:t>
            </w:r>
          </w:p>
        </w:tc>
        <w:tc>
          <w:tcPr>
            <w:tcW w:type="dxa" w:w="3408"/>
          </w:tcPr>
          <w:p>
            <w:r>
              <w:t>integration</w:t>
            </w:r>
          </w:p>
        </w:tc>
        <w:tc>
          <w:tcPr>
            <w:tcW w:type="dxa" w:w="3408"/>
          </w:tcPr>
          <w:p>
            <w:r>
              <w:t>sí</w:t>
            </w:r>
          </w:p>
        </w:tc>
      </w:tr>
      <w:tr>
        <w:tc>
          <w:tcPr>
            <w:tcW w:type="dxa" w:w="3408"/>
          </w:tcPr>
          <w:p>
            <w:r>
              <w:t>PIP-013</w:t>
            </w:r>
          </w:p>
        </w:tc>
        <w:tc>
          <w:tcPr>
            <w:tcW w:type="dxa" w:w="3408"/>
          </w:tcPr>
          <w:p>
            <w:r>
              <w:t>E2E/smoke</w:t>
            </w:r>
          </w:p>
        </w:tc>
        <w:tc>
          <w:tcPr>
            <w:tcW w:type="dxa" w:w="3408"/>
          </w:tcPr>
          <w:p>
            <w:r>
              <w:t>sí para release</w:t>
            </w:r>
          </w:p>
        </w:tc>
      </w:tr>
      <w:tr>
        <w:tc>
          <w:tcPr>
            <w:tcW w:type="dxa" w:w="3408"/>
          </w:tcPr>
          <w:p>
            <w:r>
              <w:t>PIP-014</w:t>
            </w:r>
          </w:p>
        </w:tc>
        <w:tc>
          <w:tcPr>
            <w:tcW w:type="dxa" w:w="3408"/>
          </w:tcPr>
          <w:p>
            <w:r>
              <w:t>DAST</w:t>
            </w:r>
          </w:p>
        </w:tc>
        <w:tc>
          <w:tcPr>
            <w:tcW w:type="dxa" w:w="3408"/>
          </w:tcPr>
          <w:p>
            <w:r>
              <w:t>según alcance aprobado</w:t>
            </w:r>
          </w:p>
        </w:tc>
      </w:tr>
      <w:tr>
        <w:tc>
          <w:tcPr>
            <w:tcW w:type="dxa" w:w="3408"/>
          </w:tcPr>
          <w:p>
            <w:r>
              <w:t>PIP-015</w:t>
            </w:r>
          </w:p>
        </w:tc>
        <w:tc>
          <w:tcPr>
            <w:tcW w:type="dxa" w:w="3408"/>
          </w:tcPr>
          <w:p>
            <w:r>
              <w:t>IaC/policy</w:t>
            </w:r>
          </w:p>
        </w:tc>
        <w:tc>
          <w:tcPr>
            <w:tcW w:type="dxa" w:w="3408"/>
          </w:tcPr>
          <w:p>
            <w:r>
              <w:t>sí</w:t>
            </w:r>
          </w:p>
        </w:tc>
      </w:tr>
    </w:tbl>
    <w:p/>
    <w:p>
      <w:pPr>
        <w:pStyle w:val="Heading2"/>
      </w:pPr>
      <w:r>
        <w:t>12.3 PIP-002 CD</w:t>
      </w:r>
    </w:p>
    <w:p>
      <w:r>
        <w:rPr>
          <w:rFonts w:ascii="Courier New" w:hAnsi="Courier New"/>
          <w:sz w:val="15"/>
        </w:rPr>
        <w:t>Artefacto aprobado -&gt; DEV -&gt; TEST -&gt; STAGING -&gt; smoke/DAST</w:t>
        <w:br/>
        <w:t>-&gt; aprobación PROD -&gt; deploy -&gt; health -&gt; SLO -&gt; rollback si falla</w:t>
      </w:r>
    </w:p>
    <w:p>
      <w:pPr>
        <w:pStyle w:val="Heading2"/>
      </w:pPr>
      <w:r>
        <w:t>12.4 IaC</w:t>
      </w:r>
    </w:p>
    <w:p>
      <w:r>
        <w:t>Terraform debe versionar red, IAM, Cloud Run, SQL, Pub/Sub, Storage/lifecycle, API Gateway, CDN/Armor, Monitoring, DR y políticas. Secretos no.</w:t>
      </w:r>
    </w:p>
    <w:p>
      <w:pPr>
        <w:pStyle w:val="Heading2"/>
      </w:pPr>
      <w:r>
        <w:t>12.5 Release</w:t>
      </w:r>
    </w:p>
    <w:p>
      <w:r>
        <w:t>Rolling es estrategia base. Canary/blue-green sólo donde el riesgo lo justifique. Producción exige artefacto inmutable, smoke, health check, monitoreo y rollback.</w:t>
      </w:r>
    </w:p>
    <w:p>
      <w:pPr>
        <w:pStyle w:val="Heading2"/>
      </w:pPr>
      <w:r>
        <w:t>12.6 Paridad</w:t>
      </w:r>
    </w:p>
    <w:p>
      <w:r>
        <w:t>Mismo artefacto entre ambientes; diferencias sólo mediante configuración/IaC.</w:t>
      </w:r>
    </w:p>
    <w:p>
      <w:pPr>
        <w:pStyle w:val="Heading2"/>
      </w:pPr>
      <w:r>
        <w:t>12.7 Pruebas</w:t>
      </w:r>
    </w:p>
    <w:p>
      <w:r>
        <w:t>Unit, integración, contrato API/evento, migraciones, concurrencia, seguridad negativa, E2E, smoke, DAST y restore/DR.</w:t>
      </w:r>
    </w:p>
    <w:p>
      <w:pPr>
        <w:pStyle w:val="Heading2"/>
      </w:pPr>
      <w:r>
        <w:t>12.8 Calidad</w:t>
      </w:r>
    </w:p>
    <w:p>
      <w:r/>
      <w:r>
        <w:rPr>
          <w:b/>
        </w:rPr>
        <w:t>[Propuesta — validar]</w:t>
      </w:r>
      <w:r>
        <w:t xml:space="preserve"> cobertura global 80%, dominios críticos 90%, cero vulnerabilidades críticas/altas no aceptadas, cero secrets, cero breaking changes sin nueva versión.</w:t>
      </w:r>
    </w:p>
    <w:p>
      <w:pPr>
        <w:pStyle w:val="Heading2"/>
      </w:pPr>
      <w:r>
        <w:t>12.9 Observabilidad</w:t>
      </w:r>
    </w:p>
    <w:p>
      <w:r>
        <w:t>Logs JSON: timestamp, severity, service, environment, traceId, correlationId, eventId, aggregateId, operation, result, durationMs. Nunca passwords, CVV, tokens, secretos ni documentos.</w:t>
      </w:r>
    </w:p>
    <w:p>
      <w:r>
        <w:t>Métricas: latencia p50/p95/p99, error rate, Cloud Run, SQL, Pub/Sub backlog/DLQ, checkout, OrderPaid, OrderDelivered, FRT/TTR, logística, dispersión y calidad.</w:t>
      </w:r>
    </w:p>
    <w:p>
      <w:pPr>
        <w:pStyle w:val="Heading2"/>
      </w:pPr>
      <w:r>
        <w:t>12.10 SLI/SLO/SLA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Indicador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Objetivo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Disponibilidad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99.9% mensual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API p95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≤ 400 ms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Checkout p99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≤ 800 ms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Pub/Sub processing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≤ 2 s objetivo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Cumplimiento logístico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≥ 97%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Despacho express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25 min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Despacho estándar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24–48 h hábiles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FRT/TTR P1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15 min / 4 h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FRT/TTR P2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1 h hábil / 12 h hábiles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FRT/TTR P3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2 h hábiles / 24 h hábiles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FRT/TTR P4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4 h hábiles / 48 h hábiles</w:t>
            </w:r>
          </w:p>
        </w:tc>
      </w:tr>
    </w:tbl>
    <w:p/>
    <w:p>
      <w:r>
        <w:t>Con disponibilidad 99.9%, el error budget aproximado es 0.1% del periodo. El consumo del budget debe alimentar alertas y decisiones de cambio.</w:t>
      </w:r>
    </w:p>
    <w:p>
      <w:pPr>
        <w:pStyle w:val="Heading2"/>
      </w:pPr>
      <w:r>
        <w:t>12.11 Backup/DR</w:t>
      </w:r>
    </w:p>
    <w:p>
      <w:r>
        <w:t>Cloud SQL backup + PITR; SQL REGIONAL; réplica us-east4; Storage lifecycle; pruebas periódicas de restauración; runbooks. La arquitectura HA/DR está cerrada en BL-10. fileciteturn8file0</w:t>
      </w:r>
    </w:p>
    <w:p>
      <w:pPr>
        <w:pStyle w:val="Heading2"/>
      </w:pPr>
      <w:r>
        <w:t>12.12 Runbooks</w:t>
      </w:r>
    </w:p>
    <w:p>
      <w:r>
        <w:t>RUN-001 Cloud Run no saludable; RUN-002 SQL failover; RUN-003 PITR; RUN-004 Pub/Sub/DLQ; RUN-005 Wompi; RUN-006 dispersión; RUN-007 reembolso; RUN-008 autorización; RUN-009 documentos; RUN-010 SLO; RUN-011 rollback; RUN-012 datos; RUN-013 seguridad; RUN-014 DR.</w:t>
      </w:r>
    </w:p>
    <w:p>
      <w:pPr>
        <w:pStyle w:val="Heading1"/>
      </w:pPr>
      <w:r>
        <w:t>13. Seguridad de la arquitectura</w:t>
      </w:r>
    </w:p>
    <w:p>
      <w:pPr>
        <w:pStyle w:val="Heading2"/>
      </w:pPr>
      <w:r>
        <w:t>13.1 Modelo</w:t>
      </w:r>
    </w:p>
    <w:p>
      <w:r>
        <w:rPr>
          <w:rFonts w:ascii="Courier New" w:hAnsi="Courier New"/>
          <w:sz w:val="15"/>
        </w:rPr>
        <w:t>Identidad + RBAC + ABAC + Propiedad + Contexto</w:t>
        <w:br/>
        <w:t>= decisión de autorización</w:t>
      </w:r>
    </w:p>
    <w:p>
      <w:r>
        <w:t>Default Deny. Las acciones E (aval, liquidación, emisión fiscal, etc.) son auditadas. El aislamiento exige coincidencia de contexto para usuario, zona y emprendedor. fileciteturn7file16</w:t>
      </w:r>
    </w:p>
    <w:p>
      <w:pPr>
        <w:pStyle w:val="Heading2"/>
      </w:pPr>
      <w:r>
        <w:t>13.2 Segregación</w:t>
      </w:r>
    </w:p>
    <w:p>
      <w:pPr>
        <w:pStyle w:val="ListBullet"/>
      </w:pPr>
      <w:r>
        <w:t>SGC no procesa dinero.</w:t>
      </w:r>
    </w:p>
    <w:p>
      <w:pPr>
        <w:pStyle w:val="ListBullet"/>
      </w:pPr>
      <w:r>
        <w:t>SGC no mueve mercancía.</w:t>
      </w:r>
    </w:p>
    <w:p>
      <w:pPr>
        <w:pStyle w:val="ListBullet"/>
      </w:pPr>
      <w:r>
        <w:t>Emprendedor no altera inventario/contabilidad.</w:t>
      </w:r>
    </w:p>
    <w:p>
      <w:pPr>
        <w:pStyle w:val="ListBullet"/>
      </w:pPr>
      <w:r>
        <w:t>Gerente Zona sólo su ámbito.</w:t>
      </w:r>
    </w:p>
    <w:p>
      <w:pPr>
        <w:pStyle w:val="ListBullet"/>
      </w:pPr>
      <w:r>
        <w:t>Cliente sólo recursos propios.</w:t>
      </w:r>
    </w:p>
    <w:p>
      <w:pPr>
        <w:pStyle w:val="ListBullet"/>
      </w:pPr>
      <w:r>
        <w:t>Roles especializados no acceden a módulos ajenos.</w:t>
      </w:r>
    </w:p>
    <w:p>
      <w:pPr>
        <w:pStyle w:val="Heading2"/>
      </w:pPr>
      <w:r>
        <w:t>13.3 Datos</w:t>
      </w:r>
    </w:p>
    <w:p>
      <w:r>
        <w:t>TLS; cifrado en reposo; Secret Manager; buckets privados; CMEK para documentos de emprendedor cuando la política lo exige; Signed URLs temporales.</w:t>
      </w:r>
    </w:p>
    <w:p>
      <w:pPr>
        <w:pStyle w:val="Heading2"/>
      </w:pPr>
      <w:r>
        <w:t>13.4 Multimedia</w:t>
      </w:r>
    </w:p>
    <w:p>
      <w:r>
        <w:t>Producto: mínimo 5 fotos, máximo 10 MB por imagen, formatos jpg/jpeg/png/webp; video H.264/AAC de 10–120 s y máximo 200 MB; uno obligatorio. Evidencias privadas y validadas en backend. fileciteturn11file3</w:t>
      </w:r>
    </w:p>
    <w:p>
      <w:pPr>
        <w:pStyle w:val="Heading2"/>
      </w:pPr>
      <w:r>
        <w:t>13.5 Retención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Categoría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Periodo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Fiscal/contable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5 años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Libros/papeles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10 años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Laboral/nómina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20 años según política aprobada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Paquete emprendedor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vigencia + 5 años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Identidad cliente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cuenta + 3 años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Evidencia SGC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3 años después del cierre</w:t>
            </w:r>
          </w:p>
        </w:tc>
      </w:tr>
    </w:tbl>
    <w:p/>
    <w:p>
      <w:r>
        <w:t>Legal Hold bloquea eliminación. Purga/anonimización genera evidencia de destrucción. fileciteturn8file16</w:t>
      </w:r>
    </w:p>
    <w:p>
      <w:pPr>
        <w:pStyle w:val="Heading2"/>
      </w:pPr>
      <w:r>
        <w:t>13.6 Normativa</w:t>
      </w:r>
    </w:p>
    <w:p>
      <w:r>
        <w:t>La arquitectura incorpora las decisiones documentales sobre Ley 1581, Ley 527, Ley 1480, Ley 2439 y facturación electrónica; los eventos minimizan datos personales y excluyen secretos/CVV/tokens. fileciteturn8file14</w:t>
      </w:r>
    </w:p>
    <w:p>
      <w:pPr>
        <w:pStyle w:val="Heading1"/>
      </w:pPr>
      <w:r>
        <w:t>14. Atributos de calidad y tácticas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Atributo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RNF / objetivo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Táctica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Evidencia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Disponibilidad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99.9%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SQL REGIONAL + Cloud Run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failover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Rendimiento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p95 400 ms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CDN/índices/pooling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load test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Checkout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p99 800 ms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reserva atómica/timeouts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performance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Seguridad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RNF-002/003/007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RBAC/ABAC/storage privado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SAST/DAST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Integridad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RNF-007/008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transacciones/idempotencia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concurrency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Interoperabilidad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RNF-011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contratos versionados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contract test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Trazabilidad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RNF-006/012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audit + correlation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audit test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Observabilidad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RNF-012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logs/metrics/traces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alert test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Escalabilidad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RNF-004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autoscaling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load test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Recuperación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RNF recovery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PITR + DR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restore drill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Privacidad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RNF-003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clasificación/retención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privacy test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Calidad SGC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RF-SGC-020..023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motor paramétrico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quality tests</w:t>
            </w:r>
          </w:p>
        </w:tc>
      </w:tr>
      <w:tr>
        <w:tc>
          <w:tcPr>
            <w:tcW w:type="dxa" w:w="2556"/>
          </w:tcPr>
          <w:p>
            <w:r>
              <w:t>Mantenibilidad</w:t>
            </w:r>
          </w:p>
        </w:tc>
        <w:tc>
          <w:tcPr>
            <w:tcW w:type="dxa" w:w="2556"/>
          </w:tcPr>
          <w:p>
            <w:r>
              <w:t>RF-DEV</w:t>
            </w:r>
          </w:p>
        </w:tc>
        <w:tc>
          <w:tcPr>
            <w:tcW w:type="dxa" w:w="2556"/>
          </w:tcPr>
          <w:p>
            <w:r>
              <w:t>modularidad + PR + CI</w:t>
            </w:r>
          </w:p>
        </w:tc>
        <w:tc>
          <w:tcPr>
            <w:tcW w:type="dxa" w:w="2556"/>
          </w:tcPr>
          <w:p>
            <w:r>
              <w:t>pipeline</w:t>
            </w:r>
          </w:p>
        </w:tc>
      </w:tr>
      <w:tr>
        <w:tc>
          <w:tcPr>
            <w:tcW w:type="dxa" w:w="2556"/>
          </w:tcPr>
          <w:p>
            <w:r>
              <w:t>Portabilidad</w:t>
            </w:r>
          </w:p>
        </w:tc>
        <w:tc>
          <w:tcPr>
            <w:tcW w:type="dxa" w:w="2556"/>
          </w:tcPr>
          <w:p>
            <w:r>
              <w:t>arquitectura Cloud Run</w:t>
            </w:r>
          </w:p>
        </w:tc>
        <w:tc>
          <w:tcPr>
            <w:tcW w:type="dxa" w:w="2556"/>
          </w:tcPr>
          <w:p>
            <w:r>
              <w:t>artefactos reproducibles</w:t>
            </w:r>
          </w:p>
        </w:tc>
        <w:tc>
          <w:tcPr>
            <w:tcW w:type="dxa" w:w="2556"/>
          </w:tcPr>
          <w:p>
            <w:r>
              <w:t>deploy reproducible</w:t>
            </w:r>
          </w:p>
        </w:tc>
      </w:tr>
    </w:tbl>
    <w:p/>
    <w:p>
      <w:pPr>
        <w:pStyle w:val="Heading1"/>
      </w:pPr>
      <w:r>
        <w:t>15. Decisiones de arquitectura — ADR resumidos</w:t>
      </w:r>
    </w:p>
    <w:p>
      <w:pPr>
        <w:pStyle w:val="Heading2"/>
      </w:pPr>
      <w:r>
        <w:t>ADR-01 — Separación E-Commerce/ERP</w:t>
      </w:r>
    </w:p>
    <w:p>
      <w:r/>
      <w:r>
        <w:rPr>
          <w:b/>
        </w:rPr>
        <w:t>Contexto:</w:t>
      </w:r>
      <w:r>
        <w:t xml:space="preserve"> aislamiento. </w:t>
      </w:r>
      <w:r>
        <w:rPr>
          <w:b/>
        </w:rPr>
        <w:t>Decisión:</w:t>
      </w:r>
      <w:r>
        <w:t xml:space="preserve"> APIs/eventos. </w:t>
      </w:r>
      <w:r>
        <w:rPr>
          <w:b/>
        </w:rPr>
        <w:t>Alternativas:</w:t>
      </w:r>
      <w:r>
        <w:t xml:space="preserve"> BD compartida/acceso directo. </w:t>
      </w:r>
      <w:r>
        <w:rPr>
          <w:b/>
        </w:rPr>
        <w:t>Consecuencia:</w:t>
      </w:r>
      <w:r>
        <w:t xml:space="preserve"> mayor gobernanza, menor acoplamiento. </w:t>
      </w:r>
      <w:r>
        <w:rPr>
          <w:b/>
        </w:rPr>
        <w:t>Estado:</w:t>
      </w:r>
      <w:r>
        <w:t xml:space="preserve"> Aprobada.</w:t>
      </w:r>
    </w:p>
    <w:p>
      <w:pPr>
        <w:pStyle w:val="Heading2"/>
      </w:pPr>
      <w:r>
        <w:t>ADR-02 — Order Service único</w:t>
      </w:r>
    </w:p>
    <w:p>
      <w:r/>
      <w:r>
        <w:rPr>
          <w:b/>
        </w:rPr>
        <w:t>Decisión:</w:t>
      </w:r>
      <w:r>
        <w:t xml:space="preserve"> propietario único del pedido. </w:t>
      </w:r>
      <w:r>
        <w:rPr>
          <w:b/>
        </w:rPr>
        <w:t>Alternativa:</w:t>
      </w:r>
      <w:r>
        <w:t xml:space="preserve"> duplicarlo. </w:t>
      </w:r>
      <w:r>
        <w:rPr>
          <w:b/>
        </w:rPr>
        <w:t>Consecuencia:</w:t>
      </w:r>
      <w:r>
        <w:t xml:space="preserve"> integración obligatoria. </w:t>
      </w:r>
      <w:r>
        <w:rPr>
          <w:b/>
        </w:rPr>
        <w:t>Estado:</w:t>
      </w:r>
      <w:r>
        <w:t xml:space="preserve"> Aprobada.</w:t>
      </w:r>
    </w:p>
    <w:p>
      <w:pPr>
        <w:pStyle w:val="Heading2"/>
      </w:pPr>
      <w:r>
        <w:t>ADR-03 — Inventory Service como verdad</w:t>
      </w:r>
    </w:p>
    <w:p>
      <w:r/>
      <w:r>
        <w:rPr>
          <w:b/>
        </w:rPr>
        <w:t>Decisión:</w:t>
      </w:r>
      <w:r>
        <w:t xml:space="preserve"> stock/reserva/Kardex en Inventory. </w:t>
      </w:r>
      <w:r>
        <w:rPr>
          <w:b/>
        </w:rPr>
        <w:t>Alternativa:</w:t>
      </w:r>
      <w:r>
        <w:t xml:space="preserve"> stock duplicado. </w:t>
      </w:r>
      <w:r>
        <w:rPr>
          <w:b/>
        </w:rPr>
        <w:t>Consecuencia:</w:t>
      </w:r>
      <w:r>
        <w:t xml:space="preserve"> consistencia. </w:t>
      </w:r>
      <w:r>
        <w:rPr>
          <w:b/>
        </w:rPr>
        <w:t>Estado:</w:t>
      </w:r>
      <w:r>
        <w:t xml:space="preserve"> Aprobada.</w:t>
      </w:r>
    </w:p>
    <w:p>
      <w:pPr>
        <w:pStyle w:val="Heading2"/>
      </w:pPr>
      <w:r>
        <w:t>ADR-04 — REST/JSON + Pub/Sub</w:t>
      </w:r>
    </w:p>
    <w:p>
      <w:r/>
      <w:r>
        <w:rPr>
          <w:b/>
        </w:rPr>
        <w:t>Decisión:</w:t>
      </w:r>
      <w:r>
        <w:t xml:space="preserve"> síncrono REST, asíncrono Pub/Sub. </w:t>
      </w:r>
      <w:r>
        <w:rPr>
          <w:b/>
        </w:rPr>
        <w:t>Alternativas:</w:t>
      </w:r>
      <w:r>
        <w:t xml:space="preserve"> RPC/polling generalizado. </w:t>
      </w:r>
      <w:r>
        <w:rPr>
          <w:b/>
        </w:rPr>
        <w:t>Estado:</w:t>
      </w:r>
      <w:r>
        <w:t xml:space="preserve"> Aprobada.</w:t>
      </w:r>
    </w:p>
    <w:p>
      <w:pPr>
        <w:pStyle w:val="Heading2"/>
      </w:pPr>
      <w:r>
        <w:t>ADR-05 — Modularidad primero</w:t>
      </w:r>
    </w:p>
    <w:p>
      <w:r/>
      <w:r>
        <w:rPr>
          <w:b/>
        </w:rPr>
        <w:t>Decisión:</w:t>
      </w:r>
      <w:r>
        <w:t xml:space="preserve"> microservicio sólo con justificación. </w:t>
      </w:r>
      <w:r>
        <w:rPr>
          <w:b/>
        </w:rPr>
        <w:t>Alternativas:</w:t>
      </w:r>
      <w:r>
        <w:t xml:space="preserve"> microservicio por módulo/monolito indivisible. </w:t>
      </w:r>
      <w:r>
        <w:rPr>
          <w:b/>
        </w:rPr>
        <w:t>Estado:</w:t>
      </w:r>
      <w:r>
        <w:t xml:space="preserve"> Aprobada.</w:t>
      </w:r>
    </w:p>
    <w:p>
      <w:pPr>
        <w:pStyle w:val="Heading2"/>
      </w:pPr>
      <w:r>
        <w:t>ADR-06 — Wompi</w:t>
      </w:r>
    </w:p>
    <w:p>
      <w:r/>
      <w:r>
        <w:rPr>
          <w:b/>
        </w:rPr>
        <w:t>Decisión:</w:t>
      </w:r>
      <w:r>
        <w:t xml:space="preserve"> Wompi como proveedor; Payments Adapter desacopla proveedor del Core. </w:t>
      </w:r>
      <w:r>
        <w:rPr>
          <w:b/>
        </w:rPr>
        <w:t>Alternativa:</w:t>
      </w:r>
      <w:r>
        <w:t xml:space="preserve"> integración directa desde checkout. </w:t>
      </w:r>
      <w:r>
        <w:rPr>
          <w:b/>
        </w:rPr>
        <w:t>Estado:</w:t>
      </w:r>
      <w:r>
        <w:t xml:space="preserve"> Aprobada. fileciteturn11file4</w:t>
      </w:r>
    </w:p>
    <w:p>
      <w:pPr>
        <w:pStyle w:val="Heading2"/>
      </w:pPr>
      <w:r>
        <w:t>ADR-07 — Dispersión condicionada</w:t>
      </w:r>
    </w:p>
    <w:p>
      <w:r/>
      <w:r>
        <w:rPr>
          <w:b/>
        </w:rPr>
        <w:t>Decisión:</w:t>
      </w:r>
      <w:r>
        <w:t xml:space="preserve"> entrega + liquidación antes de dispersar. </w:t>
      </w:r>
      <w:r>
        <w:rPr>
          <w:b/>
        </w:rPr>
        <w:t>Alternativa:</w:t>
      </w:r>
      <w:r>
        <w:t xml:space="preserve"> liberar al pago/despacho. </w:t>
      </w:r>
      <w:r>
        <w:rPr>
          <w:b/>
        </w:rPr>
        <w:t>Estado:</w:t>
      </w:r>
      <w:r>
        <w:t xml:space="preserve"> Aprobada. fileciteturn7file3</w:t>
      </w:r>
    </w:p>
    <w:p>
      <w:pPr>
        <w:pStyle w:val="Heading2"/>
      </w:pPr>
      <w:r>
        <w:t>ADR-08 — Emprendedor vendedor de terceros</w:t>
      </w:r>
    </w:p>
    <w:p>
      <w:r/>
      <w:r>
        <w:rPr>
          <w:b/>
        </w:rPr>
        <w:t>Decisión:</w:t>
      </w:r>
      <w:r>
        <w:t xml:space="preserve"> Cliente ↔ Emprendedor; CuchosTool factura servicios propios. </w:t>
      </w:r>
      <w:r>
        <w:rPr>
          <w:b/>
        </w:rPr>
        <w:t>Alternativa:</w:t>
      </w:r>
      <w:r>
        <w:t xml:space="preserve"> CuchosTool vendedor. </w:t>
      </w:r>
      <w:r>
        <w:rPr>
          <w:b/>
        </w:rPr>
        <w:t>Estado:</w:t>
      </w:r>
      <w:r>
        <w:t xml:space="preserve"> Aprobada. fileciteturn8file1</w:t>
      </w:r>
    </w:p>
    <w:p>
      <w:pPr>
        <w:pStyle w:val="Heading2"/>
      </w:pPr>
      <w:r>
        <w:t>ADR-09 — Caso/Ticket SGC</w:t>
      </w:r>
    </w:p>
    <w:p>
      <w:r/>
      <w:r>
        <w:rPr>
          <w:b/>
        </w:rPr>
        <w:t>Decisión:</w:t>
      </w:r>
      <w:r>
        <w:t xml:space="preserve"> soporte/garantías/calidad comparten caso y timeline. </w:t>
      </w:r>
      <w:r>
        <w:rPr>
          <w:b/>
        </w:rPr>
        <w:t>Alternativa:</w:t>
      </w:r>
      <w:r>
        <w:t xml:space="preserve"> tres aplicaciones. </w:t>
      </w:r>
      <w:r>
        <w:rPr>
          <w:b/>
        </w:rPr>
        <w:t>Estado:</w:t>
      </w:r>
      <w:r>
        <w:t xml:space="preserve"> Aprobada.</w:t>
      </w:r>
    </w:p>
    <w:p>
      <w:pPr>
        <w:pStyle w:val="Heading2"/>
      </w:pPr>
      <w:r>
        <w:t>ADR-10 — Garantía coordinada</w:t>
      </w:r>
    </w:p>
    <w:p>
      <w:r/>
      <w:r>
        <w:rPr>
          <w:b/>
        </w:rPr>
        <w:t>Decisión:</w:t>
      </w:r>
      <w:r>
        <w:t xml:space="preserve"> SGC decide/orquesta; Logística/Pagos/Inventory ejecutan. </w:t>
      </w:r>
      <w:r>
        <w:rPr>
          <w:b/>
        </w:rPr>
        <w:t>Alternativa:</w:t>
      </w:r>
      <w:r>
        <w:t xml:space="preserve"> SGC ejecutando todo. </w:t>
      </w:r>
      <w:r>
        <w:rPr>
          <w:b/>
        </w:rPr>
        <w:t>Estado:</w:t>
      </w:r>
      <w:r>
        <w:t xml:space="preserve"> Aprobada. fileciteturn7file9</w:t>
      </w:r>
    </w:p>
    <w:p>
      <w:pPr>
        <w:pStyle w:val="Heading2"/>
      </w:pPr>
      <w:r>
        <w:t>ADR-11 — Contract-First</w:t>
      </w:r>
    </w:p>
    <w:p>
      <w:r/>
      <w:r>
        <w:rPr>
          <w:b/>
        </w:rPr>
        <w:t>Decisión:</w:t>
      </w:r>
      <w:r>
        <w:t xml:space="preserve"> OpenAPI 3.1 + JSON Schema v7. </w:t>
      </w:r>
      <w:r>
        <w:rPr>
          <w:b/>
        </w:rPr>
        <w:t>Alternativa:</w:t>
      </w:r>
      <w:r>
        <w:t xml:space="preserve"> contrato implícito. </w:t>
      </w:r>
      <w:r>
        <w:rPr>
          <w:b/>
        </w:rPr>
        <w:t>Estado:</w:t>
      </w:r>
      <w:r>
        <w:t xml:space="preserve"> Aprobada. fileciteturn7file1</w:t>
      </w:r>
    </w:p>
    <w:p>
      <w:pPr>
        <w:pStyle w:val="Heading2"/>
      </w:pPr>
      <w:r>
        <w:t>ADR-12 — RBAC + ABAC + Default Deny</w:t>
      </w:r>
    </w:p>
    <w:p>
      <w:r/>
      <w:r>
        <w:rPr>
          <w:b/>
        </w:rPr>
        <w:t>Decisión:</w:t>
      </w:r>
      <w:r>
        <w:t xml:space="preserve"> rol + atributos + propiedad. </w:t>
      </w:r>
      <w:r>
        <w:rPr>
          <w:b/>
        </w:rPr>
        <w:t>Alternativas:</w:t>
      </w:r>
      <w:r>
        <w:t xml:space="preserve"> RBAC puro/UI. </w:t>
      </w:r>
      <w:r>
        <w:rPr>
          <w:b/>
        </w:rPr>
        <w:t>Estado:</w:t>
      </w:r>
      <w:r>
        <w:t xml:space="preserve"> Aprobada.</w:t>
      </w:r>
    </w:p>
    <w:p>
      <w:pPr>
        <w:pStyle w:val="Heading2"/>
      </w:pPr>
      <w:r>
        <w:t>ADR-13 — Evidencia privada</w:t>
      </w:r>
    </w:p>
    <w:p>
      <w:r/>
      <w:r>
        <w:rPr>
          <w:b/>
        </w:rPr>
        <w:t>Decisión:</w:t>
      </w:r>
      <w:r>
        <w:t xml:space="preserve"> Storage privado + metadatos SQL + acceso temporal. </w:t>
      </w:r>
      <w:r>
        <w:rPr>
          <w:b/>
        </w:rPr>
        <w:t>Alternativas:</w:t>
      </w:r>
      <w:r>
        <w:t xml:space="preserve"> URLs públicas/BD. </w:t>
      </w:r>
      <w:r>
        <w:rPr>
          <w:b/>
        </w:rPr>
        <w:t>Estado:</w:t>
      </w:r>
      <w:r>
        <w:t xml:space="preserve"> Aprobada.</w:t>
      </w:r>
    </w:p>
    <w:p>
      <w:pPr>
        <w:pStyle w:val="Heading2"/>
      </w:pPr>
      <w:r>
        <w:t>ADR-14 — Retención diferenciada</w:t>
      </w:r>
    </w:p>
    <w:p>
      <w:r/>
      <w:r>
        <w:rPr>
          <w:b/>
        </w:rPr>
        <w:t>Decisión:</w:t>
      </w:r>
      <w:r>
        <w:t xml:space="preserve"> lifecycle + legal hold + purga/anonimización auditada. </w:t>
      </w:r>
      <w:r>
        <w:rPr>
          <w:b/>
        </w:rPr>
        <w:t>Alternativas:</w:t>
      </w:r>
      <w:r>
        <w:t xml:space="preserve"> indefinida/inmediata. </w:t>
      </w:r>
      <w:r>
        <w:rPr>
          <w:b/>
        </w:rPr>
        <w:t>Estado:</w:t>
      </w:r>
      <w:r>
        <w:t xml:space="preserve"> Aprobada. fileciteturn8file11</w:t>
      </w:r>
    </w:p>
    <w:p>
      <w:pPr>
        <w:pStyle w:val="Heading2"/>
      </w:pPr>
      <w:r>
        <w:t>ADR-15 — HA/DR</w:t>
      </w:r>
    </w:p>
    <w:p>
      <w:r/>
      <w:r>
        <w:rPr>
          <w:b/>
        </w:rPr>
        <w:t>Decisión:</w:t>
      </w:r>
      <w:r>
        <w:t xml:space="preserve"> us-central1 primaria, SQL REGIONAL, DR us-east4, Cloud Run min 2, PITR. </w:t>
      </w:r>
      <w:r>
        <w:rPr>
          <w:b/>
        </w:rPr>
        <w:t>Alternativa:</w:t>
      </w:r>
      <w:r>
        <w:t xml:space="preserve"> single-zone. </w:t>
      </w:r>
      <w:r>
        <w:rPr>
          <w:b/>
        </w:rPr>
        <w:t>Estado:</w:t>
      </w:r>
      <w:r>
        <w:t xml:space="preserve"> Aprobada.</w:t>
      </w:r>
    </w:p>
    <w:p>
      <w:pPr>
        <w:pStyle w:val="Heading2"/>
      </w:pPr>
      <w:r>
        <w:t>ADR-16 — Quality Engine desacoplado</w:t>
      </w:r>
    </w:p>
    <w:p>
      <w:r/>
      <w:r>
        <w:rPr>
          <w:b/>
        </w:rPr>
        <w:t>Decisión:</w:t>
      </w:r>
      <w:r>
        <w:t xml:space="preserve"> consumidor analítico separado del Core. </w:t>
      </w:r>
      <w:r>
        <w:rPr>
          <w:b/>
        </w:rPr>
        <w:t>Alternativa:</w:t>
      </w:r>
      <w:r>
        <w:t xml:space="preserve"> lógica embebida en pedidos. </w:t>
      </w:r>
      <w:r>
        <w:rPr>
          <w:b/>
        </w:rPr>
        <w:t>Estado:</w:t>
      </w:r>
      <w:r>
        <w:t xml:space="preserve"> Aprobada.</w:t>
      </w:r>
    </w:p>
    <w:p>
      <w:pPr>
        <w:pStyle w:val="Heading2"/>
      </w:pPr>
      <w:r>
        <w:t>ADR-17 — Alerta no equivale a sanción</w:t>
      </w:r>
    </w:p>
    <w:p>
      <w:r/>
      <w:r>
        <w:rPr>
          <w:b/>
        </w:rPr>
        <w:t>Decisión:</w:t>
      </w:r>
      <w:r>
        <w:t xml:space="preserve"> alerta crítica abre acción correctiva; no despublica automáticamente. </w:t>
      </w:r>
      <w:r>
        <w:rPr>
          <w:b/>
        </w:rPr>
        <w:t>Alternativa:</w:t>
      </w:r>
      <w:r>
        <w:t xml:space="preserve"> bloqueo automático. </w:t>
      </w:r>
      <w:r>
        <w:rPr>
          <w:b/>
        </w:rPr>
        <w:t>Estado:</w:t>
      </w:r>
      <w:r>
        <w:t xml:space="preserve"> Aprobada. fileciteturn10file0</w:t>
      </w:r>
    </w:p>
    <w:p>
      <w:pPr>
        <w:pStyle w:val="Heading2"/>
      </w:pPr>
      <w:r>
        <w:t>ADR-18 — Git con revisión cruzada</w:t>
      </w:r>
    </w:p>
    <w:p>
      <w:r/>
      <w:r>
        <w:rPr>
          <w:b/>
        </w:rPr>
        <w:t>Decisión:</w:t>
      </w:r>
      <w:r>
        <w:t xml:space="preserve"> main protegida, develop integración, PR obligatorio. </w:t>
      </w:r>
      <w:r>
        <w:rPr>
          <w:b/>
        </w:rPr>
        <w:t>Alternativa:</w:t>
      </w:r>
      <w:r>
        <w:t xml:space="preserve"> commit directo. </w:t>
      </w:r>
      <w:r>
        <w:rPr>
          <w:b/>
        </w:rPr>
        <w:t>Estado:</w:t>
      </w:r>
      <w:r>
        <w:t xml:space="preserve"> Aprobada. fileciteturn9file14</w:t>
      </w:r>
    </w:p>
    <w:p>
      <w:pPr>
        <w:pStyle w:val="Heading1"/>
      </w:pPr>
      <w:r>
        <w:t>16. Riesgos arquitectónicos y deuda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Riesgo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Severidad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Mitigación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RISK-01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Liquidación multi-tenant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Alta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settlement + conciliación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RISK-02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Dependencia Wompi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Alta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adapter + retries + reconciliación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RISK-03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Error ABAC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Crítica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Default Deny + pruebas negativas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RISK-04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Breaking contract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Alta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Contract-First + diff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RISK-05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Duplicidad eventos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Alta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eventId + processed_events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RISK-06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Costos Cloud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Media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budgets/alertas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RISK-07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DR no probado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Alta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restore drills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RISK-08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Datos sensibles en logs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Alta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redaction + tests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RISK-09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Crecimiento multimedia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Media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lifecycle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RISK-10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Complejidad SGC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Media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Caso/Ticket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RISK-11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Cambio fiscal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Alta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parametrización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RISK-12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Exceso microservicios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Media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ADR para separar</w:t>
            </w:r>
          </w:p>
        </w:tc>
      </w:tr>
      <w:tr>
        <w:tc>
          <w:tcPr>
            <w:tcW w:type="dxa" w:w="2556"/>
          </w:tcPr>
          <w:p>
            <w:r>
              <w:t>RISK-13</w:t>
            </w:r>
          </w:p>
        </w:tc>
        <w:tc>
          <w:tcPr>
            <w:tcW w:type="dxa" w:w="2556"/>
          </w:tcPr>
          <w:p>
            <w:r>
              <w:t>Inconsistencia BR-11/BR-14</w:t>
            </w:r>
          </w:p>
        </w:tc>
        <w:tc>
          <w:tcPr>
            <w:tcW w:type="dxa" w:w="2556"/>
          </w:tcPr>
          <w:p>
            <w:r>
              <w:t>Media</w:t>
            </w:r>
          </w:p>
        </w:tc>
        <w:tc>
          <w:tcPr>
            <w:tcW w:type="dxa" w:w="2556"/>
          </w:tcPr>
          <w:p>
            <w:r>
              <w:t>reconciliar Catálogo v5 antes de usar esas reglas como baseline</w:t>
            </w:r>
          </w:p>
        </w:tc>
      </w:tr>
      <w:tr>
        <w:tc>
          <w:tcPr>
            <w:tcW w:type="dxa" w:w="2556"/>
          </w:tcPr>
          <w:p>
            <w:r>
              <w:t>RISK-14</w:t>
            </w:r>
          </w:p>
        </w:tc>
        <w:tc>
          <w:tcPr>
            <w:tcW w:type="dxa" w:w="2556"/>
          </w:tcPr>
          <w:p>
            <w:r>
              <w:t>Runtime contractual no fijado</w:t>
            </w:r>
          </w:p>
        </w:tc>
        <w:tc>
          <w:tcPr>
            <w:tcW w:type="dxa" w:w="2556"/>
          </w:tcPr>
          <w:p>
            <w:r>
              <w:t>Media</w:t>
            </w:r>
          </w:p>
        </w:tc>
        <w:tc>
          <w:tcPr>
            <w:tcW w:type="dxa" w:w="2556"/>
          </w:tcPr>
          <w:p>
            <w:r>
              <w:t>cerrar TBD antes de comprometer toolchain</w:t>
            </w:r>
          </w:p>
        </w:tc>
      </w:tr>
    </w:tbl>
    <w:p/>
    <w:p>
      <w:r>
        <w:t>Deuda técnica prevista: contract testing completo, policy-as-code avanzado, catálogo de dependencias, chaos/failover ampliado, SLO de negocio completo y optimización analítica.</w:t>
      </w:r>
    </w:p>
    <w:p>
      <w:pPr>
        <w:pStyle w:val="Heading1"/>
      </w:pPr>
      <w:r>
        <w:t>17. Hoja de ruta de arquitectura</w:t>
      </w:r>
    </w:p>
    <w:p>
      <w:pPr>
        <w:pStyle w:val="ListNumber"/>
      </w:pPr>
      <w:r>
        <w:t>**Baseline:** aprobar ARQ v6, confirmar stack, repositorio, contratos e IaC.</w:t>
      </w:r>
    </w:p>
    <w:p>
      <w:pPr>
        <w:pStyle w:val="ListNumber"/>
      </w:pPr>
      <w:r>
        <w:t>**Identidad/E-Commerce:** registro, login, catálogo, carrito, checkout y Wompi.</w:t>
      </w:r>
    </w:p>
    <w:p>
      <w:pPr>
        <w:pStyle w:val="ListNumber"/>
      </w:pPr>
      <w:r>
        <w:t>**Core:** Order, Inventory, eventos e idempotencia.</w:t>
      </w:r>
    </w:p>
    <w:p>
      <w:pPr>
        <w:pStyle w:val="ListNumber"/>
      </w:pPr>
      <w:r>
        <w:t>**Emprendedor:** enrolamiento, documentos, aval, productos, ofertas y settlement.</w:t>
      </w:r>
    </w:p>
    <w:p>
      <w:pPr>
        <w:pStyle w:val="ListNumber"/>
      </w:pPr>
      <w:r>
        <w:t>**SGC:** Caso/Ticket, evidencia, SLA, garantías, devoluciones/reembolsos.</w:t>
      </w:r>
    </w:p>
    <w:p>
      <w:pPr>
        <w:pStyle w:val="ListNumber"/>
      </w:pPr>
      <w:r>
        <w:t>**Calidad:** métricas, umbrales, alertas, acciones y satisfacción.</w:t>
      </w:r>
    </w:p>
    <w:p>
      <w:pPr>
        <w:pStyle w:val="ListNumber"/>
      </w:pPr>
      <w:r>
        <w:t>**Resiliencia:** HA, PITR, DR y runbooks.</w:t>
      </w:r>
    </w:p>
    <w:p>
      <w:pPr>
        <w:pStyle w:val="ListNumber"/>
      </w:pPr>
      <w:r>
        <w:t>**Optimización:** BigQuery, dashboards, performance y separación adicional si se justifica.</w:t>
      </w:r>
    </w:p>
    <w:p>
      <w:pPr>
        <w:pStyle w:val="Heading1"/>
      </w:pPr>
      <w:r>
        <w:t>18. Guías de implementación</w:t>
      </w:r>
    </w:p>
    <w:p>
      <w:pPr>
        <w:pStyle w:val="ListNumber"/>
      </w:pPr>
      <w:r>
        <w:t>Identificar RF/RNF/CU antes de desarrollar.</w:t>
      </w:r>
    </w:p>
    <w:p>
      <w:pPr>
        <w:pStyle w:val="ListNumber"/>
      </w:pPr>
      <w:r>
        <w:t>Verificar dueño del dato.</w:t>
      </w:r>
    </w:p>
    <w:p>
      <w:pPr>
        <w:pStyle w:val="ListNumber"/>
      </w:pPr>
      <w:r>
        <w:t>Cambiar contrato antes de consumidor.</w:t>
      </w:r>
    </w:p>
    <w:p>
      <w:pPr>
        <w:pStyle w:val="ListNumber"/>
      </w:pPr>
      <w:r>
        <w:t>Cambiar infraestructura sólo mediante IaC.</w:t>
      </w:r>
    </w:p>
    <w:p>
      <w:pPr>
        <w:pStyle w:val="ListNumber"/>
      </w:pPr>
      <w:r>
        <w:t>Cambiar seguridad implica actualizar política y pruebas.</w:t>
      </w:r>
    </w:p>
    <w:p>
      <w:pPr>
        <w:pStyle w:val="ListNumber"/>
      </w:pPr>
      <w:r>
        <w:t>Migraciones versionadas y reversibles.</w:t>
      </w:r>
    </w:p>
    <w:p>
      <w:pPr>
        <w:pStyle w:val="ListNumber"/>
      </w:pPr>
      <w:r>
        <w:t>Idempotency-Key en operaciones críticas.</w:t>
      </w:r>
    </w:p>
    <w:p>
      <w:pPr>
        <w:pStyle w:val="ListNumber"/>
      </w:pPr>
      <w:r>
        <w:t>X-Correlation-ID en operaciones distribuidas.</w:t>
      </w:r>
    </w:p>
    <w:p>
      <w:pPr>
        <w:pStyle w:val="ListNumber"/>
      </w:pPr>
      <w:r>
        <w:t>Eventos con eventId, eventType, eventVersion, occurredAt, aggregateId, correlationId, causationId y producer.</w:t>
      </w:r>
    </w:p>
    <w:p>
      <w:pPr>
        <w:pStyle w:val="ListNumber"/>
      </w:pPr>
      <w:r>
        <w:t>No datos sensibles innecesarios en eventos.</w:t>
      </w:r>
    </w:p>
    <w:p>
      <w:pPr>
        <w:pStyle w:val="ListNumber"/>
      </w:pPr>
      <w:r>
        <w:t>No BD de otro dominio.</w:t>
      </w:r>
    </w:p>
    <w:p>
      <w:pPr>
        <w:pStyle w:val="ListNumber"/>
      </w:pPr>
      <w:r>
        <w:t>No secrets en Git.</w:t>
      </w:r>
    </w:p>
    <w:p>
      <w:pPr>
        <w:pStyle w:val="ListNumber"/>
      </w:pPr>
      <w:r>
        <w:t>No tocar main directamente.</w:t>
      </w:r>
    </w:p>
    <w:p>
      <w:pPr>
        <w:pStyle w:val="ListNumber"/>
      </w:pPr>
      <w:r>
        <w:t>PR/revisión cruzada.</w:t>
      </w:r>
    </w:p>
    <w:p>
      <w:pPr>
        <w:pStyle w:val="ListNumber"/>
      </w:pPr>
      <w:r>
        <w:t>Artefacto versionado e inmutable.</w:t>
      </w:r>
    </w:p>
    <w:p>
      <w:pPr>
        <w:pStyle w:val="ListNumber"/>
      </w:pPr>
      <w:r>
        <w:t>Observabilidad para cambios productivos.</w:t>
      </w:r>
    </w:p>
    <w:p>
      <w:pPr>
        <w:pStyle w:val="ListNumber"/>
      </w:pPr>
      <w:r>
        <w:t>Runbook/rollback para cambios de riesgo.</w:t>
      </w:r>
    </w:p>
    <w:p>
      <w:pPr>
        <w:pStyle w:val="ListNumber"/>
      </w:pPr>
      <w:r>
        <w:t>No liberar dispersión sin entrega.</w:t>
      </w:r>
    </w:p>
    <w:p>
      <w:pPr>
        <w:pStyle w:val="ListNumber"/>
      </w:pPr>
      <w:r>
        <w:t>No cerrar garantía sin decisión y evidencia.</w:t>
      </w:r>
    </w:p>
    <w:p>
      <w:r>
        <w:t>Anexo de reconciliación v5 → v6</w:t>
      </w:r>
    </w:p>
    <w:p>
      <w:r>
        <w:t>La actualización v6 mantiene la tesis arquitectónica central y corrige su representación documental: SRS v4/Catálogo v5; 182 CU funcionales activos + 4 históricos; 29 actores; 26 CU-SGC; BR-01..BR-10; CU-UI absorbidos/integrados; CU-EM-021 descartado; CMP sin colisiones; trazabilidad RF/RNF/CU/BR → CMP → prueba → pipeline; actores técnicos visibles en C4; seguridad y contratos con series CMP separadas.</w:t>
      </w:r>
    </w:p>
    <w:p>
      <w:pPr>
        <w:pStyle w:val="Heading1"/>
      </w:pPr>
      <w:r>
        <w:t>Anexo A. Catálogo de interfaces / contratos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API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Versión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Uso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CTR-API-001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Catalog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v1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catálogo/búsqueda/ficha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CTR-API-002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Availability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v1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disponibilidad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CTR-API-003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Orders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v1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pedido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CTR-API-004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Inventory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v1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reserva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CTR-API-005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Payments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v1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pago/reembolso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CTR-API-006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Entrepreneur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v1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enrolamiento/aval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CTR-API-007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SGC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v1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casos/garantías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CTR-API-008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Evidence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v1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evidencias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CTR-API-009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Settlement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v1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liquidación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CTR-API-010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Reporting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v1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reportes</w:t>
            </w:r>
          </w:p>
        </w:tc>
      </w:tr>
    </w:tbl>
    <w:p/>
    <w:p>
      <w:r>
        <w:t>Reglas API: URI `/api/v1/...`, `X-Correlation-ID`, `Idempotency-Key` en operaciones críticas, HTTP 403 en autorización denegada, OpenAPI 3.1.</w:t>
      </w:r>
    </w:p>
    <w:p>
      <w:r/>
      <w:r>
        <w:rPr>
          <w:b/>
        </w:rPr>
        <w:t>Envelope de evento:</w:t>
      </w:r>
      <w:r/>
    </w:p>
    <w:p>
      <w:r>
        <w:rPr>
          <w:rFonts w:ascii="Courier New" w:hAnsi="Courier New"/>
          <w:sz w:val="15"/>
        </w:rPr>
        <w:t>{</w:t>
        <w:br/>
        <w:t xml:space="preserve">  "eventId": "EVT-...",</w:t>
        <w:br/>
        <w:t xml:space="preserve">  "eventType": "OrderPaid",</w:t>
        <w:br/>
        <w:t xml:space="preserve">  "eventVersion": 1,</w:t>
        <w:br/>
        <w:t xml:space="preserve">  "occurredAt": "2026-09-01T12:00:00Z",</w:t>
        <w:br/>
        <w:t xml:space="preserve">  "aggregateId": "ORD-...",</w:t>
        <w:br/>
        <w:t xml:space="preserve">  "correlationId": "COR-...",</w:t>
        <w:br/>
        <w:t xml:space="preserve">  "causationId": "EVT-...",</w:t>
        <w:br/>
        <w:t xml:space="preserve">  "producer": "payments-service",</w:t>
        <w:br/>
        <w:t xml:space="preserve">  "payload": {}</w:t>
        <w:br/>
        <w:t>}</w:t>
      </w:r>
    </w:p>
    <w:p>
      <w:r>
        <w:t>Eventos principales: OrderCreated, OrderPaid, InventoryUpdated, InvoiceGenerated, OrderDispatched, ShipmentCreated, OrderDelivered, EntrepreneurCreated, EntrepreneurActivated, ProductSubmittedForApproval, ProductApproved, DeliveryConfirmedByZoneManager, DispersionAuthorized, DispersionExecuted, CommissionGenerated, TicketCreated/Updated/Assigned/Escalated/Resolved/Closed/Reopened, WarrantyRequested/InReview/Approved/Rejected, ReturnRequested, RefundRequested, ReplacementRequested, QualityCaseDetected, QualityAlertGenerated, CorrectiveActionCreated, SatisfactionSurveySent y ServiceRatingRegistered.</w:t>
      </w:r>
    </w:p>
    <w:p>
      <w:pPr>
        <w:pStyle w:val="Heading1"/>
      </w:pPr>
      <w:r>
        <w:t>Anexo B. Matriz de trazabilidad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Trazabilidad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Componente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Prueba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Pipeline</w:t>
            </w:r>
          </w:p>
        </w:tc>
      </w:tr>
      <w:tr>
        <w:tc>
          <w:tcPr>
            <w:tcW w:type="dxa" w:w="2556"/>
          </w:tcPr>
          <w:p>
            <w:r>
              <w:t>RF-EC/RF-AUT</w:t>
            </w:r>
          </w:p>
        </w:tc>
        <w:tc>
          <w:tcPr>
            <w:tcW w:type="dxa" w:w="2556"/>
          </w:tcPr>
          <w:p>
            <w:r>
              <w:t>CMP-001..009</w:t>
            </w:r>
          </w:p>
        </w:tc>
        <w:tc>
          <w:tcPr>
            <w:tcW w:type="dxa" w:w="2556"/>
          </w:tcPr>
          <w:p>
            <w:r>
              <w:t>E2E/security</w:t>
            </w:r>
          </w:p>
        </w:tc>
        <w:tc>
          <w:tcPr>
            <w:tcW w:type="dxa" w:w="2556"/>
          </w:tcPr>
          <w:p>
            <w:r>
              <w:t>PIP-001/002/013</w:t>
            </w:r>
          </w:p>
        </w:tc>
      </w:tr>
      <w:tr>
        <w:tc>
          <w:tcPr>
            <w:tcW w:type="dxa" w:w="2556"/>
          </w:tcPr>
          <w:p>
            <w:r>
              <w:t>RF-CORE</w:t>
            </w:r>
          </w:p>
        </w:tc>
        <w:tc>
          <w:tcPr>
            <w:tcW w:type="dxa" w:w="2556"/>
          </w:tcPr>
          <w:p>
            <w:r>
              <w:t>CMP-027..037</w:t>
            </w:r>
          </w:p>
        </w:tc>
        <w:tc>
          <w:tcPr>
            <w:tcW w:type="dxa" w:w="2556"/>
          </w:tcPr>
          <w:p>
            <w:r>
              <w:t>concurrency/integration</w:t>
            </w:r>
          </w:p>
        </w:tc>
        <w:tc>
          <w:tcPr>
            <w:tcW w:type="dxa" w:w="2556"/>
          </w:tcPr>
          <w:p>
            <w:r>
              <w:t>PIP-003/012</w:t>
            </w:r>
          </w:p>
        </w:tc>
      </w:tr>
      <w:tr>
        <w:tc>
          <w:tcPr>
            <w:tcW w:type="dxa" w:w="2556"/>
          </w:tcPr>
          <w:p>
            <w:r>
              <w:t>RF-EMP</w:t>
            </w:r>
          </w:p>
        </w:tc>
        <w:tc>
          <w:tcPr>
            <w:tcW w:type="dxa" w:w="2556"/>
          </w:tcPr>
          <w:p>
            <w:r>
              <w:t>CMP-010..017</w:t>
            </w:r>
          </w:p>
        </w:tc>
        <w:tc>
          <w:tcPr>
            <w:tcW w:type="dxa" w:w="2556"/>
          </w:tcPr>
          <w:p>
            <w:r>
              <w:t>functional/contract/security</w:t>
            </w:r>
          </w:p>
        </w:tc>
        <w:tc>
          <w:tcPr>
            <w:tcW w:type="dxa" w:w="2556"/>
          </w:tcPr>
          <w:p>
            <w:r>
              <w:t>PIP-003/008/013</w:t>
            </w:r>
          </w:p>
        </w:tc>
      </w:tr>
      <w:tr>
        <w:tc>
          <w:tcPr>
            <w:tcW w:type="dxa" w:w="2556"/>
          </w:tcPr>
          <w:p>
            <w:r>
              <w:t>RF-SGC</w:t>
            </w:r>
          </w:p>
        </w:tc>
        <w:tc>
          <w:tcPr>
            <w:tcW w:type="dxa" w:w="2556"/>
          </w:tcPr>
          <w:p>
            <w:r>
              <w:t>CMP-018..026</w:t>
            </w:r>
          </w:p>
        </w:tc>
        <w:tc>
          <w:tcPr>
            <w:tcW w:type="dxa" w:w="2556"/>
          </w:tcPr>
          <w:p>
            <w:r>
              <w:t>functional/SLA/quality</w:t>
            </w:r>
          </w:p>
        </w:tc>
        <w:tc>
          <w:tcPr>
            <w:tcW w:type="dxa" w:w="2556"/>
          </w:tcPr>
          <w:p>
            <w:r>
              <w:t>PIP-003/008/013</w:t>
            </w:r>
          </w:p>
        </w:tc>
      </w:tr>
      <w:tr>
        <w:tc>
          <w:tcPr>
            <w:tcW w:type="dxa" w:w="2556"/>
          </w:tcPr>
          <w:p>
            <w:r>
              <w:t>RF-SEC</w:t>
            </w:r>
          </w:p>
        </w:tc>
        <w:tc>
          <w:tcPr>
            <w:tcW w:type="dxa" w:w="2556"/>
          </w:tcPr>
          <w:p>
            <w:r>
              <w:t>CMP-046..055</w:t>
            </w:r>
          </w:p>
        </w:tc>
        <w:tc>
          <w:tcPr>
            <w:tcW w:type="dxa" w:w="2556"/>
          </w:tcPr>
          <w:p>
            <w:r>
              <w:t>negative/security/audit</w:t>
            </w:r>
          </w:p>
        </w:tc>
        <w:tc>
          <w:tcPr>
            <w:tcW w:type="dxa" w:w="2556"/>
          </w:tcPr>
          <w:p>
            <w:r>
              <w:t>PIP-005/006/007/014</w:t>
            </w:r>
          </w:p>
        </w:tc>
      </w:tr>
      <w:tr>
        <w:tc>
          <w:tcPr>
            <w:tcW w:type="dxa" w:w="2556"/>
          </w:tcPr>
          <w:p>
            <w:r>
              <w:t>RF-DEV/RF-GCP</w:t>
            </w:r>
          </w:p>
        </w:tc>
        <w:tc>
          <w:tcPr>
            <w:tcW w:type="dxa" w:w="2556"/>
          </w:tcPr>
          <w:p>
            <w:r>
              <w:t>CMP-038..045</w:t>
            </w:r>
          </w:p>
        </w:tc>
        <w:tc>
          <w:tcPr>
            <w:tcW w:type="dxa" w:w="2556"/>
          </w:tcPr>
          <w:p>
            <w:r>
              <w:t>CI/CD/IaC/deploy</w:t>
            </w:r>
          </w:p>
        </w:tc>
        <w:tc>
          <w:tcPr>
            <w:tcW w:type="dxa" w:w="2556"/>
          </w:tcPr>
          <w:p>
            <w:r>
              <w:t>PIP-001..015</w:t>
            </w:r>
          </w:p>
        </w:tc>
      </w:tr>
      <w:tr>
        <w:tc>
          <w:tcPr>
            <w:tcW w:type="dxa" w:w="2556"/>
          </w:tcPr>
          <w:p>
            <w:r>
              <w:t>RI-API</w:t>
            </w:r>
          </w:p>
        </w:tc>
        <w:tc>
          <w:tcPr>
            <w:tcW w:type="dxa" w:w="2556"/>
          </w:tcPr>
          <w:p>
            <w:r>
              <w:t>CMP-056..060</w:t>
            </w:r>
          </w:p>
        </w:tc>
        <w:tc>
          <w:tcPr>
            <w:tcW w:type="dxa" w:w="2556"/>
          </w:tcPr>
          <w:p>
            <w:r>
              <w:t>OpenAPI diff/contract</w:t>
            </w:r>
          </w:p>
        </w:tc>
        <w:tc>
          <w:tcPr>
            <w:tcW w:type="dxa" w:w="2556"/>
          </w:tcPr>
          <w:p>
            <w:r>
              <w:t>PIP-008</w:t>
            </w:r>
          </w:p>
        </w:tc>
      </w:tr>
      <w:tr>
        <w:tc>
          <w:tcPr>
            <w:tcW w:type="dxa" w:w="2556"/>
          </w:tcPr>
          <w:p>
            <w:r>
              <w:t>RI-EVT</w:t>
            </w:r>
          </w:p>
        </w:tc>
        <w:tc>
          <w:tcPr>
            <w:tcW w:type="dxa" w:w="2556"/>
          </w:tcPr>
          <w:p>
            <w:r>
              <w:t>CMP-056..060</w:t>
            </w:r>
          </w:p>
        </w:tc>
        <w:tc>
          <w:tcPr>
            <w:tcW w:type="dxa" w:w="2556"/>
          </w:tcPr>
          <w:p>
            <w:r>
              <w:t>schema/consumer/idempotency</w:t>
            </w:r>
          </w:p>
        </w:tc>
        <w:tc>
          <w:tcPr>
            <w:tcW w:type="dxa" w:w="2556"/>
          </w:tcPr>
          <w:p>
            <w:r>
              <w:t>PIP-009/012</w:t>
            </w:r>
          </w:p>
        </w:tc>
      </w:tr>
      <w:tr>
        <w:tc>
          <w:tcPr>
            <w:tcW w:type="dxa" w:w="2556"/>
          </w:tcPr>
          <w:p>
            <w:r>
              <w:t>RNF disponibilidad</w:t>
            </w:r>
          </w:p>
        </w:tc>
        <w:tc>
          <w:tcPr>
            <w:tcW w:type="dxa" w:w="2556"/>
          </w:tcPr>
          <w:p>
            <w:r>
              <w:t>Cloud Run/SQL</w:t>
            </w:r>
          </w:p>
        </w:tc>
        <w:tc>
          <w:tcPr>
            <w:tcW w:type="dxa" w:w="2556"/>
          </w:tcPr>
          <w:p>
            <w:r>
              <w:t>failover</w:t>
            </w:r>
          </w:p>
        </w:tc>
        <w:tc>
          <w:tcPr>
            <w:tcW w:type="dxa" w:w="2556"/>
          </w:tcPr>
          <w:p>
            <w:r>
              <w:t>PIP-013 + restore</w:t>
            </w:r>
          </w:p>
        </w:tc>
      </w:tr>
      <w:tr>
        <w:tc>
          <w:tcPr>
            <w:tcW w:type="dxa" w:w="2556"/>
          </w:tcPr>
          <w:p>
            <w:r>
              <w:t>RNF rendimiento</w:t>
            </w:r>
          </w:p>
        </w:tc>
        <w:tc>
          <w:tcPr>
            <w:tcW w:type="dxa" w:w="2556"/>
          </w:tcPr>
          <w:p>
            <w:r>
              <w:t>API/Order</w:t>
            </w:r>
          </w:p>
        </w:tc>
        <w:tc>
          <w:tcPr>
            <w:tcW w:type="dxa" w:w="2556"/>
          </w:tcPr>
          <w:p>
            <w:r>
              <w:t>load</w:t>
            </w:r>
          </w:p>
        </w:tc>
        <w:tc>
          <w:tcPr>
            <w:tcW w:type="dxa" w:w="2556"/>
          </w:tcPr>
          <w:p>
            <w:r>
              <w:t>PIP-013</w:t>
            </w:r>
          </w:p>
        </w:tc>
      </w:tr>
      <w:tr>
        <w:tc>
          <w:tcPr>
            <w:tcW w:type="dxa" w:w="2556"/>
          </w:tcPr>
          <w:p>
            <w:r>
              <w:t>RNF recuperación</w:t>
            </w:r>
          </w:p>
        </w:tc>
        <w:tc>
          <w:tcPr>
            <w:tcW w:type="dxa" w:w="2556"/>
          </w:tcPr>
          <w:p>
            <w:r>
              <w:t>SQL/DR</w:t>
            </w:r>
          </w:p>
        </w:tc>
        <w:tc>
          <w:tcPr>
            <w:tcW w:type="dxa" w:w="2556"/>
          </w:tcPr>
          <w:p>
            <w:r>
              <w:t>restore drill</w:t>
            </w:r>
          </w:p>
        </w:tc>
        <w:tc>
          <w:tcPr>
            <w:tcW w:type="dxa" w:w="2556"/>
          </w:tcPr>
          <w:p>
            <w:r>
              <w:t>PIP-015</w:t>
            </w:r>
          </w:p>
        </w:tc>
      </w:tr>
      <w:tr>
        <w:tc>
          <w:tcPr>
            <w:tcW w:type="dxa" w:w="2556"/>
          </w:tcPr>
          <w:p>
            <w:r>
              <w:t>Históricos CU-UI</w:t>
            </w:r>
          </w:p>
        </w:tc>
        <w:tc>
          <w:tcPr>
            <w:tcW w:type="dxa" w:w="2556"/>
          </w:tcPr>
          <w:p>
            <w:r>
              <w:t>sin CMP nuevos</w:t>
            </w:r>
          </w:p>
        </w:tc>
        <w:tc>
          <w:tcPr>
            <w:tcW w:type="dxa" w:w="2556"/>
          </w:tcPr>
          <w:p>
            <w:r>
              <w:t>regresión funcional</w:t>
            </w:r>
          </w:p>
        </w:tc>
        <w:tc>
          <w:tcPr>
            <w:tcW w:type="dxa" w:w="2556"/>
          </w:tcPr>
          <w:p>
            <w:r>
              <w:t>PIP-013</w:t>
            </w:r>
          </w:p>
        </w:tc>
      </w:tr>
    </w:tbl>
    <w:p/>
    <w:p>
      <w:pPr>
        <w:pStyle w:val="Heading1"/>
      </w:pPr>
      <w:r>
        <w:t>Anexo C. Definition of Done DevOps</w:t>
      </w:r>
    </w:p>
    <w:p>
      <w:pPr>
        <w:pStyle w:val="ListBullet"/>
      </w:pPr>
      <w:r>
        <w:t>☐ RF/RNF/CU identificados.</w:t>
      </w:r>
    </w:p>
    <w:p>
      <w:pPr>
        <w:pStyle w:val="ListBullet"/>
      </w:pPr>
      <w:r>
        <w:t>☐ Criterios de aceptación cumplidos.</w:t>
      </w:r>
    </w:p>
    <w:p>
      <w:pPr>
        <w:pStyle w:val="ListBullet"/>
      </w:pPr>
      <w:r>
        <w:t>☐ ADR actualizado si corresponde.</w:t>
      </w:r>
    </w:p>
    <w:p>
      <w:pPr>
        <w:pStyle w:val="ListBullet"/>
      </w:pPr>
      <w:r>
        <w:t>☐ Código y pruebas.</w:t>
      </w:r>
    </w:p>
    <w:p>
      <w:pPr>
        <w:pStyle w:val="ListBullet"/>
      </w:pPr>
      <w:r>
        <w:t>☐ lint/type-check/build exitosos.</w:t>
      </w:r>
    </w:p>
    <w:p>
      <w:pPr>
        <w:pStyle w:val="ListBullet"/>
      </w:pPr>
      <w:r>
        <w:t>☐ integración/contrato si aplica.</w:t>
      </w:r>
    </w:p>
    <w:p>
      <w:pPr>
        <w:pStyle w:val="ListBullet"/>
      </w:pPr>
      <w:r>
        <w:t>☐ seguridad y secrets scan.</w:t>
      </w:r>
    </w:p>
    <w:p>
      <w:pPr>
        <w:pStyle w:val="ListBullet"/>
      </w:pPr>
      <w:r>
        <w:t>☐ observabilidad.</w:t>
      </w:r>
    </w:p>
    <w:p>
      <w:pPr>
        <w:pStyle w:val="ListBullet"/>
      </w:pPr>
      <w:r>
        <w:t>☐ migraciones versionadas.</w:t>
      </w:r>
    </w:p>
    <w:p>
      <w:pPr>
        <w:pStyle w:val="ListBullet"/>
      </w:pPr>
      <w:r>
        <w:t>☐ IaC actualizado.</w:t>
      </w:r>
    </w:p>
    <w:p>
      <w:pPr>
        <w:pStyle w:val="ListBullet"/>
      </w:pPr>
      <w:r>
        <w:t>☐ API/evento documentado.</w:t>
      </w:r>
    </w:p>
    <w:p>
      <w:pPr>
        <w:pStyle w:val="ListBullet"/>
      </w:pPr>
      <w:r>
        <w:t>☐ PR revisado por otro integrante.</w:t>
      </w:r>
    </w:p>
    <w:p>
      <w:pPr>
        <w:pStyle w:val="ListBullet"/>
      </w:pPr>
      <w:r>
        <w:t>☐ pipeline exitoso.</w:t>
      </w:r>
    </w:p>
    <w:p>
      <w:pPr>
        <w:pStyle w:val="ListBullet"/>
      </w:pPr>
      <w:r>
        <w:t>☐ artefacto versionado.</w:t>
      </w:r>
    </w:p>
    <w:p>
      <w:pPr>
        <w:pStyle w:val="ListBullet"/>
      </w:pPr>
      <w:r>
        <w:t>☐ despliegue validado.</w:t>
      </w:r>
    </w:p>
    <w:p>
      <w:pPr>
        <w:pStyle w:val="ListBullet"/>
      </w:pPr>
      <w:r>
        <w:t>☐ smoke exitoso.</w:t>
      </w:r>
    </w:p>
    <w:p>
      <w:pPr>
        <w:pStyle w:val="ListBullet"/>
      </w:pPr>
      <w:r>
        <w:t>☐ rollback.</w:t>
      </w:r>
    </w:p>
    <w:p>
      <w:pPr>
        <w:pStyle w:val="ListBullet"/>
      </w:pPr>
      <w:r>
        <w:t>☐ documentación.</w:t>
      </w:r>
    </w:p>
    <w:p>
      <w:pPr>
        <w:pStyle w:val="ListBullet"/>
      </w:pPr>
      <w:r>
        <w:t>☐ evidencia.</w:t>
      </w:r>
    </w:p>
    <w:p>
      <w:pPr>
        <w:pStyle w:val="ListBullet"/>
      </w:pPr>
      <w:r>
        <w:t>☐ trazabilidad completa.</w:t>
      </w:r>
    </w:p>
    <w:p>
      <w:pPr>
        <w:pStyle w:val="Heading1"/>
      </w:pPr>
      <w:r>
        <w:t>Anexo D. TBD</w:t>
      </w:r>
    </w:p>
    <w:p>
      <w:r/>
      <w:r>
        <w:rPr>
          <w:b/>
        </w:rPr>
        <w:t>TBD-01 — RTO/RPO numérico final de aceptación.</w:t>
      </w:r>
      <w:r>
        <w:t xml:space="preserve"> La arquitectura HA/DR, PITR y réplica está aprobada; documentar el valor numérico de aceptación si Dirección Técnica lo exige.</w:t>
      </w:r>
    </w:p>
    <w:p>
      <w:r/>
      <w:r>
        <w:rPr>
          <w:b/>
        </w:rPr>
        <w:t>TBD-02 — Runtime exacto de aplicación.</w:t>
      </w:r>
      <w:r>
        <w:t xml:space="preserve"> Confirmar Node.js/TypeScript/Drizzle como stack contractual.</w:t>
      </w:r>
    </w:p>
    <w:p>
      <w:r/>
      <w:r>
        <w:rPr>
          <w:b/>
        </w:rPr>
        <w:t>TBD-03 — Canal definitivo de notificaciones.</w:t>
      </w:r>
      <w:r/>
    </w:p>
    <w:p>
      <w:r/>
      <w:r>
        <w:rPr>
          <w:b/>
        </w:rPr>
        <w:t>TBD-04 — Completar contratos OpenAPI de todos los endpoints.</w:t>
      </w:r>
      <w:r/>
    </w:p>
    <w:p>
      <w:r/>
      <w:r>
        <w:rPr>
          <w:b/>
        </w:rPr>
        <w:t>TBD-05 — Completar payloads JSON Schema de todos los eventos.</w:t>
      </w:r>
      <w:r/>
    </w:p>
    <w:p>
      <w:r/>
      <w:r>
        <w:rPr>
          <w:b/>
        </w:rPr>
        <w:t>TBD-06 — Validación jurídica/tributaria final de aplicación de retenciones, facturación y retención documental.</w:t>
      </w:r>
      <w:r/>
    </w:p>
    <w:p>
      <w:r/>
      <w:r>
        <w:rPr>
          <w:b/>
        </w:rPr>
        <w:t>TBD-07 — Alcance/frecuencia DAST.</w:t>
      </w:r>
      <w:r/>
    </w:p>
    <w:p>
      <w:r/>
      <w:r>
        <w:rPr>
          <w:b/>
        </w:rPr>
        <w:t>TBD-08 — SLO de servicios secundarios.</w:t>
      </w:r>
      <w:r/>
    </w:p>
    <w:p>
      <w:r/>
      <w:r>
        <w:rPr>
          <w:b/>
        </w:rPr>
        <w:t>TBD-09 — Servicios donde convenga canary/blue-green.</w:t>
      </w:r>
      <w:r/>
    </w:p>
    <w:p>
      <w:r/>
      <w:r>
        <w:rPr>
          <w:b/>
        </w:rPr>
        <w:t>TBD-10 — Volúmenes y presupuesto Cloud.</w:t>
      </w:r>
      <w:r/>
    </w:p>
    <w:p>
      <w:r/>
      <w:r>
        <w:rPr>
          <w:b/>
        </w:rPr>
        <w:t>TBD-11 — Separación física futura de bases por dominio, si escala/seguridad/autonomía lo justifican.</w:t>
      </w:r>
      <w:r/>
    </w:p>
    <w:p>
      <w:r/>
      <w:r>
        <w:rPr>
          <w:b/>
        </w:rPr>
        <w:t>TBD-12 — Runbooks operativos detallados.</w:t>
      </w:r>
      <w:r/>
    </w:p>
    <w:p>
      <w:pPr>
        <w:pStyle w:val="Heading1"/>
      </w:pPr>
      <w:r>
        <w:t>Cierre de baseline v6.0 — Esta versión es la referencia arquitectónica vigente. Integra SRS v4.0, Catálogo Maestro v5.0, Backlog v4.0 y PEND-BL-01..11. Los CU-UI-001..004 permanecen históricos y CU-EM-021 no se crea. La inconsistencia documental BR-11/BR-14 queda expresamente como TBD.</w:t>
      </w:r>
    </w:p>
    <w:p>
      <w:r>
        <w:t>Los PEND-BL-01 a PEND-BL-11 quedan incorporados como decisiones arquitectónicas cerradas. El Catálogo Maestro v5 registra explícitamente Wompi, garantías/retracto, SLA/SLO, calidad, RBAC/ABAC, contratos, retención, multimedia, fiscalidad, HA/DR y liquidación como decisiones reconciliadas. fileciteturn7file15</w:t>
      </w:r>
    </w:p>
    <w:p>
      <w:r/>
      <w:r>
        <w:rPr>
          <w:b/>
        </w:rPr>
        <w:t>Regla de gobierno:</w:t>
      </w:r>
      <w:r>
        <w:t xml:space="preserve"> ninguna implementación podrá contradecir esta baseline sin ADR aprobado y nueva versión de ARQ-CUCHOSTOOL-001.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