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CUCHOSTOOL.COM</w:t>
        <w:br/>
        <w:t>CATÁLOGO DE REGLAS DE NEGOCIO Y GOBIERNO OPERACIONAL</w:t>
      </w:r>
    </w:p>
    <w:p>
      <w:pPr>
        <w:jc w:val="center"/>
      </w:pPr>
      <w:r>
        <w:rPr>
          <w:b/>
          <w:sz w:val="22"/>
        </w:rPr>
        <w:t>Versión 1.0 — Baseline consolidada | 01/09/2026</w:t>
      </w:r>
    </w:p>
    <w:p>
      <w:pPr>
        <w:jc w:val="center"/>
      </w:pPr>
      <w:r>
        <w:rPr>
          <w:i/>
        </w:rPr>
        <w:t>Responsable: Nicola — Gerente del Proyecto / Arquitecto de Software y DevOps</w:t>
      </w:r>
    </w:p>
    <w:p/>
    <w:p>
      <w:pPr>
        <w:pStyle w:val="Heading1"/>
      </w:pPr>
      <w:r>
        <w:t>1. Propósito y alcance</w:t>
      </w:r>
    </w:p>
    <w:p>
      <w:r>
        <w:t>Este catálogo consolida las reglas que gobiernan CuchosTool.com a partir del SRS v4.0, Catálogo Maestro de Casos de Uso v4.0, Arquitectura Oficial v5.0, PEND_Sol y el diseño vigente del Módulo Emprendedor. Separa las reglas estrictamente empresariales de las reglas de gobierno operacional necesarias para que el sistema implemente esas decisiones de forma verificable.</w:t>
      </w:r>
    </w:p>
    <w:p>
      <w:r>
        <w:t>Se consolidan 170 reglas identificadas y normalizadas. La numeración RN-* de este documento es un identificador estable del catálogo y no sustituye los identificadores RF/CU existentes.</w:t>
      </w:r>
    </w:p>
    <w:p>
      <w:r>
        <w:t>Principio rector: requisito → regla de negocio → caso de uso → componente → dato → API/evento → prueba → commit/PR → despliegue → observabilidad.</w:t>
      </w:r>
    </w:p>
    <w:p>
      <w:pPr>
        <w:pStyle w:val="Heading1"/>
      </w:pPr>
      <w:r>
        <w:t>2. Fuentes y jerarquía documental</w:t>
      </w:r>
    </w:p>
    <w:p>
      <w:pPr>
        <w:pStyle w:val="ListBullet"/>
      </w:pPr>
      <w:r>
        <w:t>SRS-CUCHOSTOOL-001 v4.0 — Especificación de Requisitos de Software.</w:t>
      </w:r>
    </w:p>
    <w:p>
      <w:pPr>
        <w:pStyle w:val="ListBullet"/>
      </w:pPr>
      <w:r>
        <w:t>CU-CUCHOSTOOL-001 v4.0 — Catálogo Maestro de Casos de Uso.</w:t>
      </w:r>
    </w:p>
    <w:p>
      <w:pPr>
        <w:pStyle w:val="ListBullet"/>
      </w:pPr>
      <w:r>
        <w:t>ARQ-CUCHOSTOOL-001 v5.0 — Arquitectura Oficial / Baseline Arquitectónica.</w:t>
      </w:r>
    </w:p>
    <w:p>
      <w:pPr>
        <w:pStyle w:val="ListBullet"/>
      </w:pPr>
      <w:r>
        <w:t>PEND_Sol — decisiones cerradas PEND-BL-01 a PEND-BL-11.</w:t>
      </w:r>
    </w:p>
    <w:p>
      <w:pPr>
        <w:pStyle w:val="ListBullet"/>
      </w:pPr>
      <w:r>
        <w:t>Prompt/Módulo Emprendedor — reglas específicas de enrolamiento, productos, aval, ofertas y segregación.</w:t>
      </w:r>
    </w:p>
    <w:p>
      <w:pPr>
        <w:pStyle w:val="ListBullet"/>
      </w:pPr>
      <w:r>
        <w:t>Normativa colombiana citada en los documentos fuente, cuya aplicación concreta queda sujeta a validación jurídica/tributaria.</w:t>
      </w:r>
    </w:p>
    <w:p>
      <w:pPr>
        <w:pStyle w:val="Heading1"/>
      </w:pPr>
      <w:r>
        <w:t>3. Criterios de clasificación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Clasificación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Significado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Tratamiento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RN empresarial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Regla que determina cómo funciona el negocio.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Debe reflejarse en dominio, API, estados y pruebas.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RN de control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Regla de autorización, segregación, auditoría o integridad.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Debe aplicarse en backend y no sólo en UI.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RN de gobierno operacional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Regla necesaria para operación segura y reproducible.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Se implementa mediante DevOps/Cloud/IaC/SRE.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Paramétrica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Regla cuyo valor puede cambiar sin alterar la lógica estructural.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Debe tener configuración, autorización y auditoría.</w:t>
            </w:r>
          </w:p>
        </w:tc>
      </w:tr>
    </w:tbl>
    <w:p>
      <w:pPr>
        <w:pStyle w:val="Heading1"/>
      </w:pPr>
      <w:r>
        <w:t>4. Resumen por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16"/>
              </w:rPr>
              <w:t>Dominio</w:t>
            </w:r>
          </w:p>
        </w:tc>
        <w:tc>
          <w:tcPr>
            <w:tcW w:type="dxa" w:w="7128"/>
            <w:vAlign w:val="center"/>
            <w:shd w:fill="D9EAF7"/>
          </w:tcPr>
          <w:p>
            <w:r/>
            <w:r>
              <w:rPr>
                <w:b/>
                <w:sz w:val="16"/>
              </w:rPr>
              <w:t>Cantidad de reglas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A. Gobierno, principios y propiedad empresarial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B. E-Commerce, identidad y acceso del cliente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C. Emprendedor: enrolamiento, documentación y ciclo de vida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D. Productos, catálogo del emprendedor y ofertas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14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E. Inventario, pedidos y logística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13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F. Pagos, liquidación, comisiones y dispersión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17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G. Modelo comercial y fiscal del emprendedor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9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H. Soporte, garantías, retracto, devolución y reversión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16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I. Calidad, reincidencia, SLA y reputación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18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J. Seguridad, RBAC/ABAC, privacidad y segregación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12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K. Retención documental, evidencia y legal hold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7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L. Integración, APIs y eventos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10</w:t>
            </w:r>
          </w:p>
        </w:tc>
      </w:tr>
      <w:tr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M. DevOps, nube y gobierno operacional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b w:val="0"/>
                <w:sz w:val="16"/>
              </w:rPr>
              <w:t>15</w:t>
            </w:r>
          </w:p>
        </w:tc>
      </w:tr>
    </w:tbl>
    <w:p>
      <w:pPr>
        <w:pStyle w:val="Heading1"/>
      </w:pPr>
      <w:r>
        <w:t>5. Catálogo maestro de reglas</w:t>
      </w:r>
    </w:p>
    <w:p>
      <w:r>
        <w:t>Las reglas están redactadas como restricciones verificables. Cuando una regla depende de una decisión legal/tributaria, el texto conserva la decisión del proyecto y señala la necesidad de validación especializada antes de producción.</w:t>
      </w:r>
    </w:p>
    <w:p>
      <w:pPr>
        <w:pStyle w:val="Heading2"/>
      </w:pPr>
      <w:r>
        <w:t>A. Gobierno, principios y propiedad empresarial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capacidad deberá tener un único dominio propietario del dato y/o proceso.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funcionalidad del ecosistema.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crean responsabilidades paralelas; los demás dominios consumen mediante contratos.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Arquitectura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§1-4; SRS §2.1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dominio no podrá modificar directamente datos persistidos que sean propiedad de otro dominio.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Integraciones entre dominios.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modificación se realiza mediante API/evento/contrato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Arquitectura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§8; SRS §2.1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 Service es propietario del pedido empresarial único.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Pedidos E-Commerce y ERP/Core.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existir un único OrderId empresarial por operación.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 Service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RF-CORE-001; CU-ARCH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 Service es la fuente única de verdad de existencias, reservas y Kardex.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Stock físico y disponible.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crean inventarios paralelos en E-Commerce o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RF-CORE-002; CU-INV-008..010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 conserva la responsabilidad de operaciones monetarias.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Pagos, reembolsos, reversiones y dispersión.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SGC/Emprendedor coordinan solicitudes pero no mueven dinero.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RF-PAY-001..013; ARQ v5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 conserva la responsabilidad del movimiento físico de mercancías.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Despachos, guías, entregas, devoluciones y reemplazos.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 y Emprendedor solicitan procesos sin duplicarlos.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RF-LG-001..003; RF-GAR-012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 conserva la responsabilidad de documentos fiscales.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Facturas, notas y estados fiscales.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Otros dominios suministran información contractual.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RF-FC-001..003; BL-09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Contabilidad conserva la responsabilidad del registro y conciliación contable.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Movimientos, comprobantes y conciliaciones.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Liquidaciones se concilian por EmprendedorId.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RF-CT-001..006; RF-PAY-013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 es propietario de Caso/Ticket, garantías, SLA y calidad, pero no de dinero ni movimiento físico.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Soporte, garantías y calidad.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 coordina y registra decisiones; delega ejecución económica/física.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RF-SGC-001..026; ARQ CMP-018..026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decisiones de negocio críticas deberán ser auditables y trazables de extremo a extremo.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Avales, estados, pagos, dispersión, garantía, fiscalidad y seguridad.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existir evidencia de actor, fecha/hora, resultado y correlación.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Todos los dominios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RNF-006; RF-EMP-021; RF-SEC-008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excepción a la baseline arquitectónica requiere ADR aprobado y nueva versión de arquitectura.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Cambios que contradigan ARQ v5.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acepta desviación informal.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Arquitectura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cierre de baseline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RN-GOB-012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reglas configurables deberán mantenerse fuera del código cuando la decisión aprobada las define como paramétricas.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Comisiones, umbrales, SLA y políticas configurables.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cambio de parámetro no exige despliegue de código, sujeto a autorización.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Dueño funcional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BL-04; BL-03; RF-EMP-019</w:t>
            </w:r>
          </w:p>
        </w:tc>
      </w:tr>
    </w:tbl>
    <w:p/>
    <w:p>
      <w:pPr>
        <w:pStyle w:val="Heading2"/>
      </w:pPr>
      <w:r>
        <w:t>B. E-Commerce, identidad y acceso del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visitante puede explorar el catálogo sin autenticarse.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Catálogo, búsqueda, filtros, fichas y disponibilidad pública.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exploración no exige registro.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E-Commerce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RN-01; RF-EC-001..003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Agregar o reservar productos requiere sesión autenticada válida.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Carrito/reserva.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Sin sesión, la operación es rechazada y se solicita autenticación.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Identity/E-Commerce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RN-02; RF-AUT-001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Checkout requiere autenticación.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Creación de pedido.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crea pedido sin sesión válida.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Order/Identity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RN-03; RF-EC-005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pago requiere cliente autenticado y pedido válido.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Transacciones monetarias.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procesa pago sobre una operación no autenticada o inválida.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RN-03; RF-PAY-001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registro del cliente exige nombre, documento, evidencia de identidad, correo y contraseña.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Alta de cliente.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alta incompleta se rechaza.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Identity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RF-EC-006; RN-04..05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contraseña del cliente no podrá almacenarse en texto plano ni registrarse en logs.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Credenciales.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almacena únicamente una representación segura conforme al mecanismo de identidad adoptado.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Identity/Security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RN-07; RF-AUT-003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documentos de identidad del cliente son información privada.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KYC/registro.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deben exponerse mediante navegación anónima ni URLs públicas permanentes.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Identity/Security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RN-08; BL-07/08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cliente sólo podrá consultar o modificar recursos privados de su propio ClienteId, salvo autorización explícita.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Pedidos, carrito, perfil y casos.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acceso cruzado debe ser denegado.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Identity/Security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RN-09; RF-AUT-002; RF-SEC-007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existencia de un carrito no sustituye la validación final de inventario.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Checkout.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reserva/compra debe verificar disponibilidad vigente.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Inventory/Order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RN-11; RF-INV-005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pago confirmado deberá quedar asociado al OrderId correspondiente.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Pago confirmado.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correlación será obligatoria para conciliación y trazabilidad.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RF-PAY-002; BL-01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operaciones críticas deberán ser idempotentes.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Pago, reserva, pedido, reembolso y dispersión, según aplique.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repetición controlada no genera doble efecto económico u operativo.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RI-COM-003/007; RN-12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RN-EC-012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autorización se valida en backend; la interfaz nunca es el único control.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operación protegida.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backend aplica RBAC/ABAC y propiedad.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RNF-007; RF-SEC-001..007</w:t>
            </w:r>
          </w:p>
        </w:tc>
      </w:tr>
    </w:tbl>
    <w:p/>
    <w:p>
      <w:pPr>
        <w:pStyle w:val="Heading2"/>
      </w:pPr>
      <w:r>
        <w:t>C. Emprendedor: enrolamiento, documentación y ciclo de vida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existe autoenrolamiento público de emprendedores.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Alta de emprendedores.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creación sólo puede iniciarse por canal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 de Zona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RF-EMP-001; CU-EM-001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enrolamiento deberá ser ejecutado por un GERENTE_ZONA autorizado sobre su ámbito.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Gestión territorial.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cumplirse ZoneId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 de Zona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RN-EMP-02; BL-05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enrolamiento deberá registrar responsable, fecha, resultado y trazabilidad.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alta o rechazo.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existir auditoría del proceso.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RF-EMP-002; RF-EMP-021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Antes del registro deberán verificarse acuerdo de uso, modelo de negocio y documentos requeridos.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Alta controlada.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enrolamiento no conforme no puede avanzar a activación.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 de Zona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información base mínima del emprendedor deberá incluir tipo, identificación, nombre del emprendimiento, representante y correo.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Persona natural/jurídica.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modelo debe ser extensible.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emprendedor deberá tener un paquete documental lógico único por proceso de enrolamiento.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Documentos de validación.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Múltiples archivos se agrupan bajo una referencia técnica única.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RF-EMP-004; RN-EMP-004B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documentos del emprendedor son privados y sólo accesibles a actores autorizados.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RUT, cámara, identificación y similares.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publican ni se sirven con URL permanente pública.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BL-07/08; RN-EMP-004C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reemplazo de un documento deberá conservar historial y trazabilidad.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Reemplazo documental.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pierde la evidencia histórica conforme a retención aplicable.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RF-EMP-004; BL-07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emprendedor sólo puede operar comercialmente en estado ACTIVO.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Ciclo de vida.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Estados distintos de ACTIVO bloquean operación comercial.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RF-EMP-005; CU-EM-004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estados del emprendedor son controlados por reglas de transición y auditados.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BORRADOR, DOCUMENTOS_PENDIENTES, DOCUMENTOS_CARGADOS, EN_VALIDACION, ACTIVO, SUSPENDIDO, INACTIVO, RECHAZADO.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permite transición arbitraria desde UI.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RF-EMP-002..005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GERENTE_ZONA sólo podrá gestionar emprendedores de su ZoneId.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Gestión territorial.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Acceso fuera de zona debe ser denegado.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Security/Comercial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RF-SEC-005; BL-05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 sólo podrá gestionar recursos de su EmprendedorId.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Panel y recursos propios.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Acceso cruzado debe ser denegado.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RF-EMP-020; RF-SEC-006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emprendedor no podrá crear un producto sin quedar identificado como propietario comercial.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Productos propios.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 producto tendrá EmprendedorId/propietario.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Emprendedor/Producto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RN-EMP-006; RF-EMP-008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información del emprendedor deberá mantenerse segregada de la de otros emprendedores.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Datos operativos y económicos.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mezclan registros ni saldos.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RN-EMP-007; RF-EMP-020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activación deberá conservar evidencia de quién autorizó y cuándo.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Cambio a ACTIVO.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Auditoría obligatoria.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 de Zona/Administrador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RF-EMP-005/021</w:t>
            </w:r>
          </w:p>
        </w:tc>
      </w:tr>
    </w:tbl>
    <w:p/>
    <w:p>
      <w:pPr>
        <w:pStyle w:val="Heading2"/>
      </w:pPr>
      <w:r>
        <w:t>D. Productos, catálogo del emprendedor y ofertas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Crear un producto no implica publicación inmediata.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Productos de emprendedores.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pasar por validación y aval.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RF-EMP-008/011/013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 producto de emprendedor deberá tener propietario comercial identificado.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Catálogo propio.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propietario se conserva en todo el ciclo.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producto deberá tener como mínimo cinco fotografías.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Envío a aval/publicación.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incumplimiento bloquea el envío a revisión.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RF-EMP-010; 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producto deberá incluir un video demostrativo obligatorio de 10 a 120 segundos, máximo 2 minutos.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Contenido audiovisual.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Video fuera de rango bloquea revisión.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RF-EMP-010; 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producto deberá incluir descripción detallada antes de enviarse a aval.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Contenido comercial.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Sin descripción no puede pasar a revisión.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fotografías permitidas serán JPG/JPEG/PNG/WEBP y cada una tendrá máximo 10 MB.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Multimedia de catálogo.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backend debe validar formato, peso y condiciones.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video de producto deberá cumplir formato/códec aprobado y máximo 200 MB.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Multimedia.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backend rechaza archivos no conformes.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contenido visual y descriptivo deberá ser fiel a las características reales del producto y no engañoso.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Catálogo público.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Contenido engañoso no puede aprobarse.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Producto/Calidad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BL-08; Ley 1480 citada en PEND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emprendedor no puede aprobar su propio producto.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Segregación de funciones.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aval debe ser realizado por GERENTE_ZONA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 de Zona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RN-EMP-008; RF-EMP-012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Sólo un producto avalado y conforme puede pasar a ACTIVO y disponibilidad comercial.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Publicación.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 no avalado permanece fuera de venta.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RN-EMP-009; RF-EMP-013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aval deberá registrar producto, emprendedor, gerente, fecha, resultado y observaciones/motivo.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Aprobación/rechazo/ajustes.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decisión debe ser auditable.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 de Zona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RF-EMP-012; RN-EMP-010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oferta relámpago deberá tener producto, condición comercial, inicio y finalización.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Ofertas temporales.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puede crearse una oferta sin vigencia definida.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RF-EMP-014; CU-EM-013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RN-PROD-013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oferta vencida deja de aplicar automáticamente.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Fecha de fin alcanzada.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sistema no debe mantenerla comercialmente activa.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Emprendedor/Worker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RN-PROD-014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propiedad del producto no cambia por el hecho de publicarse en E-Commerce.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Marketplace.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EmprendedorId permanece asociado.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RN-EMP-006; BL-09</w:t>
            </w:r>
          </w:p>
        </w:tc>
      </w:tr>
    </w:tbl>
    <w:p/>
    <w:p>
      <w:pPr>
        <w:pStyle w:val="Heading2"/>
      </w:pPr>
      <w:r>
        <w:t>E. Inventario, pedidos y logística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RN-INV-001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 Service es la fuente única de verdad de stock.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consulta/reserva/ajuste.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E-Commerce y Emprendedor consumen su disponibilidad.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RF-CORE-002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RN-INV-002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Stock disponible y stock reservado deberán distinguirse.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Operaciones de compra.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reserva no equivale a disponibilidad libre.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RF-INV-005; CU-INV-009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RN-INV-003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reserva no podrá exceder el stock disponible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Checkout/concurrencia.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operación debe fallar de forma controlada si no existe disponibilidad.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RF-INV-005; CU-INV-009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RN-INV-004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 ajuste de inventario deberá tener causa y trazabilidad.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Entradas, salidas, ajustes y devoluciones.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registrarse en Kardex.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RF-INV-003/006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RN-INV-005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devolución por garantía/retracto deberá ingresar al flujo de Inventory con causal correspondiente.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Mercancía retornada.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Recepción y ajuste son responsabilidad de Inventory.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RF-INV-006; BL-02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RN-ORD-001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pedido empresarial será único y no se duplicará por cada dominio participante.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Pedidos con productos de terceros.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módulos referencian el mismo OrderId.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 Service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RF-CORE-001; RN-PEND-014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RN-ORD-002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creación de pedido requiere validación de stock/reserva y autenticación.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Checkout.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Pedido inválido no se crea.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Order/Inventory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RF-EC-004/005; RF-INV-005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RN-LG-001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despacho deberá registrarse en Logística y relacionarse con pedido y guía.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Despachos.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crea movimiento físico paralelo en Emprendedor o SGC.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RF-LG-001..003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RN-LG-002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SLA objetivo de despacho express es 25 minutos desde OrderPaid hasta entrega al transportador.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Express/bodega central.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incumplimiento genera alerta/reasignación según política.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BL-03; RF-SLA-001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RN-LG-003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SLA objetivo de despacho estándar es 24–48 horas hábiles.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Pick &amp; Pack/aliado.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incumplimiento se mide y notifica.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BL-03; RF-SLA-002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RN-LG-004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tasa mínima objetivo de cumplimiento logístico es 97%.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Medición mensual.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indicador alimenta reputación operativa conforme a política.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Logística/Calidad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BL-03; RF-SLA-003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RN-LG-005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confirmación de entrega física deberá quedar registrada y ser trazable.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Entrega efectiva.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Es condición para habilitar la dispersión.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Logística/Gerente Zona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RF-EMP-016; BL-11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RN-LG-006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movimiento físico de devoluciones/reemplazos pertenece a Logística.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Garantías/retractos.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 emite solicitud, Logística ejecuta.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RF-GAR-012; BL-02</w:t>
            </w:r>
          </w:p>
        </w:tc>
      </w:tr>
    </w:tbl>
    <w:p/>
    <w:p>
      <w:pPr>
        <w:pStyle w:val="Heading2"/>
      </w:pPr>
      <w:r>
        <w:t>F. Pagos, liquidación, comisiones y dispersión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Wompi es el proveedor definido para procesamiento de pagos online.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Pagos E-Commerce.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integración deberá respetar contrato y mecanismos aprobados.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RN-PEND-001; RF-PAY-001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pago confirmado deberá correlacionarse con OrderId y trazabilidad distribuida.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OrderPaid.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considera conciliable sin correlación.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RF-PAY-002; RI-COM-004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fondos recaudados se tratan como recaudo transitorio antes de ser elegibles para dispersión.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Después del pago.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confunde recaudo con saldo libremente dispersable.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RF-PAY-006; BL-11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liquidación deberá separar bruto, deducciones, retenciones, reservas/ajustes y neto.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Por EmprendedorId.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neto debe ser reproducible.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RF-PAY-008/013; BL-11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destino de dispersión debe estar previamente registrado y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Cuenta bancaria/canal habilitado.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permite dispersión a destino no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RF-PAY-003; CU-EM-006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dispersión no podrá ejecutarse antes de la confirmación física de entrega.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venta elegible.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solicitud debe ser rechazada/bloqueada si falta evidencia de entrega.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RF-PAY-007; RN-PEND-003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dispersión tampoco podrá ejecutarse sin liquidación y validaciones aprobadas.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Liquidación completa.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existir elegibilidad y autorización.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US-017; BL-11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ejecución de transferencia corresponde al dominio Payments/Wompi, no al Módulo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Dispersión.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 coordina y consulta estado.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CU-EM-017; ARQ v5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reembolsos deberán dirigirse a cuentas de origen registradas/autorizadas conforme al flujo aprobado.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Reembolsos.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conserva correlación con caso/orden.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PEND-BL-01; RF-PAY-004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reversiones deberán ejecutarse conforme al contrato y mecanismos de Wompi.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Causales de reversión.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resultado debe quedar trazable.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RF-PAY-005; BL-01/02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comisión de CuchosTool es costo para el emprendedor e ingreso para CuchosTool.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Venta de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misma operación debe reflejar ambas naturalezas contables correctamente.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RN-EMP-014; BL-09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comisión aplicada deberá conservarse históricamente en la liquidación.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Cambio posterior de tarifas.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recalculan ventas históricas con la tarifa vigente futura.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Payments/Comercial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RN-EMP-013; RF-EMP-019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flete suministrado por CuchosTool deberá registrarse como concepto propio de CuchosTool cuando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Servicio logístico CuchosTool.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quedar separado de la venta del producto.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RF-EMP-019; BL-09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mezclarán saldos, deducciones, retenciones ni movimientos entre emprendedores.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Multi-tenant financiero.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liquidación tendrá EmprendedorId obligatorio.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RF-PAY-013; BL-11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operación de dispersión deberá ser idempotente.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Reintentos/duplicados.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repetición no genera doble transferencia.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RI-COM-003/007; US-017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devolución/retracto/garantía que afecte la liquidación deberá generar los ajustes económicos correspondientes.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Postventa.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revierte/ajusta la comisión cuando la política aprobada lo exige.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BL-09; RN-PEND-006..009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RN-PAY-017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conciliación financiera deberá realizarse por EmprendedorId y contra las operaciones de pago/dispersión.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Cierre contable.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diferencias deben quedar identificadas y auditables.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RF-PAY-013; CU-CT-005</w:t>
            </w:r>
          </w:p>
        </w:tc>
      </w:tr>
    </w:tbl>
    <w:p/>
    <w:p>
      <w:pPr>
        <w:pStyle w:val="Heading2"/>
      </w:pPr>
      <w:r>
        <w:t>G. Modelo comercial y fiscal del emprendedor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En productos de terceros, la compraventa es Cliente ↔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Marketplace.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CuchosTool no se considera vendedor del producto por defecto.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Comercial/Facturación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BL-09; RN-PEND-004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emprendedor fija el precio bruto de sus publicaciones, sujeto a promociones/ofertas formalmente configuradas.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 de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plataforma no altera arbitrariamente el precio.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Emprendedor/Comercial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emprendedor es responsable de la factura de la venta del producto cuando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Venta a cliente.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sistema debe identificar al emisor correcto.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Facturación/Emprendedor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RF-PAY-010; BL-09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CuchosTool factura sus conceptos propios de intermediación y servicios.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Comisión/fletes y otros conceptos aprobados.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registra la venta del emprendedor como ingreso propio de CuchosTool.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RF-PAY-011; RN-PEND-005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impuestos y retenciones aplicables deberán mantenerse parametrizados y validados por el responsable tributario antes de producción.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ReteFuente, ReteIVA, ReteICA, IVA y otros.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codifican tasas legales como constantes inmutables sin validación.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Fiscal/Contabilidad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BL-09/11; SRS control jurídico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Cuando aplique, la liquidación deberá separar comisión, IVA de la comisión/servicios, flete y retenciones.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Liquidación de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concepto conserva su base y naturaleza.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BL-09/11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devolución o reversión que afecte una factura deberá generar el requerimiento de nota crédito correspondiente.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Postventa.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 recibe el evento/solicitud y mantiene responsabilidad fiscal.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RF-PAY-012; BL-09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información fiscal histórica obligatoria no podrá destruirse por una solicitud de supresión de datos personales.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Retención legal/fiscal.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preservan registros exigidos y se anonimiza lo que legalmente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Facturación/Contabilidad/Security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BL-07; SRS §legal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RN-FIS-009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movimientos contables del emprendedor deben permanecer separados de ingresos y costos propios de CuchosTool.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Contabilidad multi-tenant.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mezclan saldos.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RN-EMP-015; BL-11</w:t>
            </w:r>
          </w:p>
        </w:tc>
      </w:tr>
    </w:tbl>
    <w:p/>
    <w:p>
      <w:pPr>
        <w:pStyle w:val="Heading2"/>
      </w:pPr>
      <w:r>
        <w:t>H. Soporte, garantías, retracto, devolución y reversión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solicitud operativa de soporte deberá generar un Caso/Ticket único y trazable.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Soporte/SGC.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crean casos duplicados para una misma solicitud lógica.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RN-SGC-01; RF-SGC-002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transiciones de Caso/Ticket se controlan por reglas de negocio y no sólo por UI.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Estados del caso.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transición válida queda auditada.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RN-SGC-02; RF-SGC-017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prioridades válidas son BAJA, MEDIA, ALTA y CRÍTICA.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Todos los casos.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SLA se deriva de prioridad/política.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RN-SGC-03; RF-SGC-008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falla de calidad, idoneidad, seguridad o funcionamiento dentro de vigencia se clasifica inicialmente como GARANTIA.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Postventa.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inicia evaluación de garantía.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RN-GAR-001; RF-GAR-001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término de garantía se computa desde la entrega física confirmada.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Productos entregados.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fecha de entrega es el hito inicial.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RN-GAR-002; RF-GAR-002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Cuando el bien admita reparación, la reparación gratuita es el tratamiento primario conforme a la política aprobada.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Garantía procedente.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Incluye los costos asociados definidos por política.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SGC/Logística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RN-GAR-003; RF-GAR-003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Si el bien no admite reparación técnica, se habilita reemplazo o devolución del dinero conforme a la decisión aplicable.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Imposibilidad de reparación.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sistema ofrece las alternativas autorizadas.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RN-GAR-004; RF-GAR-004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Ante reincidencia del mismo defecto, el sistema debe registrar la elección del consumidor entre las alternativas autorizadas.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Falla repetida.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elección queda vinculada al caso.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RN-GAR-005; RF-GAR-005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Para garantías de servicios se aplicará la alternativa de prestación debida o reintegro conforme a la política aprobada.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Servicios.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decisión queda registrada.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RN-GAR-006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RN-RET-001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retracto de compras a distancia procede dentro de cinco días hábiles siguientes a la entrega, sujeto a las condiciones y excepciones aprobadas.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E-Commerce.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sistema calcula el plazo a partir de entrega confirmada.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RN-RET-001; RF-GAR-007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RN-RET-002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procede retracto en las excepciones legales/políticas aprobadas, como bienes personalizados, no retornables, perecederos/uso personal o servicios ya iniciados con acuerdo del cliente.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Evaluación de retracto.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caso se rechaza motivadamente cuando la excepción aplica.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SGC/Legal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RN-RET-002; RF-GAR-008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RN-DEV-001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Ante falta de disponibilidad o incumplimiento del plazo pactado, se aplica el tratamiento de incumplimiento de entrega y devolución íntegra cuando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Entrega incumplida.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caso genera el flujo de reembolso autorizado.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RN-DEV-001; RF-GAR-009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RN-REV-001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reversión electrónica procede únicamente por las causales aprobadas: fraude, operación no solicitada, no recepción, producto diferente o defectuoso, según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Pagos electrónicos.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sistema exige causal y evidencia.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RN-REV-001; RF-GAR-010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RN-REV-002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sistema deberá registrar la notificación y fecha asociadas a una solicitud de reversión.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Reversión.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conserva trazabilidad para el proceso.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SGC/Payments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RN-REV-002; RF-GAR-011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 solicita a Logística recogida/devolución/reemplazo y a Payments reembolso/reversión; no ejecuta esas operaciones directamente.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Garantías/retractos.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respeta propiedad de procesos.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RF-GAR-012/013; ARQ CMP-017/020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RN-SGC-005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dictamen de garantía deberá conservar responsable, resultado, motivo y evidencia.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Decisiones de garantía.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Auditoría obligatoria.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RF-GAR-014</w:t>
            </w:r>
          </w:p>
        </w:tc>
      </w:tr>
    </w:tbl>
    <w:p/>
    <w:p>
      <w:pPr>
        <w:pStyle w:val="Heading2"/>
      </w:pPr>
      <w:r>
        <w:t>I. Calidad, reincidencia, SLA y reputación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tasa de garantías se calcula como casos de garantía aprobados dividido entre pedidos entregados, por 100.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Motor analítico.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fórmula y muestra deben quedar reproducibles.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BL-04; RF-CAL-001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tasa de incidencias de calidad se calcula como tickets de calidad dividido entre pedidos entregados, por 100.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Motor analítico.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fórmula queda registrada.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BL-04; RF-CAL-002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tasa de reincidencia técnica se calcula como casos con falla repetida dividido entre casos de garantía, por 100.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Motor analítico.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fórmula queda registrada.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BL-04; RF-CAL-003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generan alertas automáticas cuando el volumen observado es inferior al minVolume configurado.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Producto/emprendedor/categoría/zona.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análisis puede ser silencioso.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RN-PEND-011; RF-CAL-004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alerta deberá conservar sampleSize, valor observado y fórmula/cálculo utilizado.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Alertas.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existir evidencia matemática reproducible.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RN-BL04-028; RF-CAL-005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crearán alertas idénticas simultáneas para el mismo ámbito y periodo mientras una permanezca abierta.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Duplicidad.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actualiza la alerta existente cuando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RN-BL04-018; RF-CAL-006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alerta que requiera acción correctiva no puede pasar a RESUELTA sin acción ejecutada y evidencia validada.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Cierre de alerta.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Sin evidencia, permanece/reabre para ajuste.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RN-BL04-022; RF-CAL-007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alerta crítica de calidad no cambia por sí sola el estado comercial del emprendedor o producto.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Semáforo de calidad.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requiere decisión expresa de negocio/auditoría.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Calidad/Comercial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RN-PEND-010; RF-CAL-008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umbrales de calidad son configurables y no requieren cambio de código cuando la política los define como parámetros.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Gobierno de parámetros.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cambio debe ser autorizado y auditable.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RN-BL04-001/014; RF-CAL-009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RN-CAL-010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evaluación de calidad podrá realizarse por producto, emprendedor, categoría y zona.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Ámbitos analíticos.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ámbito respeta su muestra y ventana.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RF-CAL-010; BL-04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P1 tiene FRT objetivo de 15 minutos y TTR máximo de 4 horas.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Casos críticos.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activa seguimiento y escalamiento conforme a política.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BL-03; RF-SLA-005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P2 tiene FRT objetivo de 1 hora hábil y TTR máximo de 12 horas hábiles.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Garantías/retractos y casos altos.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controla por SLA.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P3 tiene FRT objetivo de 2 horas hábiles y TTR máximo de 24 horas hábiles.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Casos medios.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controla por SLA.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P4 tiene FRT objetivo de 4 horas hábiles y TTR máximo de 48 horas hábiles.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Casos bajos.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controla por SLA.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SGC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 alcanzar 70% del SLA se genera alerta preventiva.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Todos los SLA parametrizados.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notifica al responsable.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SLA Engine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RF-SLA-006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 alcanzar 100% del SLA se ejecuta escalamiento nivel 1.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Incumplimiento.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reasigna/notifica según política y se audita.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SLA Engine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RF-SLA-007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Al superar 150% del SLA se ejecuta escalamiento nivel 2.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Incumplimiento severo.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notifica a Gerencia/Administrador y se genera alerta de calidad cuando corresponda.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SLA Engine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RF-SLA-008; BL-03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RN-SLA-008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reputación operativa se mantiene separada de las alertas de calidad.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Badges y calidad.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Una alerta analítica no equivale automáticamente a sanción.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Calidad/Comercial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RF-SLA-010; RN-CAL-008</w:t>
            </w:r>
          </w:p>
        </w:tc>
      </w:tr>
    </w:tbl>
    <w:p/>
    <w:p>
      <w:pPr>
        <w:pStyle w:val="Heading2"/>
      </w:pPr>
      <w:r>
        <w:t>J. Seguridad, RBAC/ABAC, privacidad y segregación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modelo de autorización combina RBAC y ABAC.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Todos los módulos protegidos.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rol determina capacidad y atributos determinan alcance.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RF-SEC-001/002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política de acceso es Default Deny.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operación no explícitamente permitida.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deniega por defecto.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RF-SEC-003; BL-05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VENDEDOR queda aislado por VendedorId.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Recursos propios.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puede consultar otro vendedor.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GERENTE_ZONA queda aislado por ZoneId.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Recursos territoriales.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opera fuera de su zona.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EMPRENDEDOR queda aislado por EmprendedorId.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Recursos propios.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consulta ni modifica otro emprendedor.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CLIENTE queda aislado por ClienteId.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Recursos privados.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accede a pedidos/carritos/casos de terceros.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acciones tipo E (Execute/Approve) deberán tener autorización reforzada y auditoría.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Avales, liquidaciones, fiscalidad, dispersión y bloqueos.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registra actor, momento, resultado y correlación.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Security/Auditoría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BL-05; RF-SEC-008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ANALISTA_DE_PRECIOS_DINAMICOS deberá estar segregado de funciones financieras.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Roles internos.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recibe permisos financieros por defecto.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SUPERVISOR_CUMPLIMIENTO_DOCUMENTAL deberá estar segregado de funciones financieras.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Roles internos.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recibe permisos financieros por defecto.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documentos y evidencias sensibles se almacenarán en repositorios privados.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Identidad, emprendedores, SGC.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Acceso mediante autorización y mecanismos temporales cuando aplique.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RNF-003; 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logs no deberán contener passwords, tokens, secretos, CVV ni documentos sensibles.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Observabilidad.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datos sensibles se excluyen/redactan.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Security/Observability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§12.9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RN-SEC-012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acción sensible deberá poder correlacionarse mediante TraceId/CorrelationId y/o AuditEvent.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Operaciones distribuidas.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existir trazabilidad de punta a punta.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Security/Observability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RI-COM-004/006; RNF-006</w:t>
            </w:r>
          </w:p>
        </w:tc>
      </w:tr>
    </w:tbl>
    <w:p/>
    <w:p>
      <w:pPr>
        <w:pStyle w:val="Heading2"/>
      </w:pPr>
      <w:r>
        <w:t>K. Retención documental, evidencia y legal hold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Cada documento almacenado deberá tener categoría de retención y fecha de expiración calculable.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Documentos GCS/SQL.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elimina sin evaluar política de retención.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Data/Security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Un registro o archivo con Legal Hold activo no puede eliminarse automática ni manualmente.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Procesos legales/auditoría.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eliminación queda bloqueada hasta liberar el hold.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Security/Legal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BL-07; RN-PEND-015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anonimización de datos personales deberá preservar los registros fiscales/legales cuya conservación sea obligatoria.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Solicitudes de supresión.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aplica minimización sin destruir evidencia obligatoria.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Security/Legal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Toda purga o anonimización deberá generar evidencia de destrucción con usuario, fecha UTC, causa y recursos afectados.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Eliminación/anonimización.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auditoría de destrucción es inmutable.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Security/Auditoría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archivos sensibles deberán utilizar almacenamiento privado y acceso temporal controlado.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Documentos de identidad, emprendedor y SGC.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usan URLs públicas permanentes.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imágenes procesadas deberán eliminar metadatos EXIF sensibles como coordenadas GPS antes de su almacenamiento cuando la política lo exija.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Multimedia.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reduce exposición de metadatos personales.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Media/Evidence Service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RN-DAT-007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facturas/documentos fiscales se conservarán conforme al periodo legal/fiscal configurado; la política documentada contempla cinco años para el bucket fiscal, sujeto a validación.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Documentación fiscal.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purga antes del periodo aplicable.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Facturación/Contabilidad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BL-07; validación fiscal pendiente</w:t>
            </w:r>
          </w:p>
        </w:tc>
      </w:tr>
    </w:tbl>
    <w:p/>
    <w:p>
      <w:pPr>
        <w:pStyle w:val="Heading2"/>
      </w:pPr>
      <w:r>
        <w:t>L. Integración, APIs y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APIs nuevas/modificadas deberán seguir Contract-First y OpenAPI 3.1.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APIs de integración.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contrato se valida antes de integración.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Integración/Arquitectura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RF-DEV-001/002; BL-06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APIs públicas/protegidas deberán utilizar versionamiento explícito, por ejemplo /api/v1.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Evolución de contratos.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cambios incompatibles requieren nueva versión.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Integración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RI-COM-002; BL-06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operaciones que lo requieran deberán aceptar Idempotency-Key.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Pagos, reservas, reembolsos, dispersión y operaciones equivalentes.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servidor garantiza efecto único lógico.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Integración/Payments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Las operaciones distribuidas deberán utilizar X-Correlation-ID.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Flujos entre servicios.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correlación acompaña la transacción.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Integración/Observability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eventos deberán utilizar envelope con eventId, eventType, eventVersion, occurredAt, aggregateId, correlationId, causationId, producer y payload.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Pub/Sub.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esquema se valida antes de publicar/consumir.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Event Backbone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RI-COM-006; BL-06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consumidores deberán ser idempotentes.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Eventos duplicados.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mismo evento no genera doble efecto.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Consumidores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RI-COM-007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consumidores deberán implementar reintentos y manejo de fallos.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Eventos transitorios.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Errores persistentes se derivan a DLQ/operación.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Event Backbone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RI-COM-008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cambios de API/evento deberán mantener compatibilidad hacia atrás salvo nueva versión explícita.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Consumidores existentes.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rompe un consumidor vigente sin control de versión.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Arquitectura/Integración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RF-DEV-004; BL-06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eventos de dominio deberán representar hechos ocurridos, no comandos encubiertos.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Pub/Sub.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semántica debe permitir consumidores desacoplados.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Arquitectura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§4/9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RN-INT-010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eventos financieros y de estado crítico deberán ser auditables y correlacionables.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OrderPaid, DispersionEjecutada, GarantiaAprobada, etc.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Debe conservarse trazabilidad de productor y agregado.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Payments/SGC/Arquitectura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RF-SEC-008; BL-06</w:t>
            </w:r>
          </w:p>
        </w:tc>
      </w:tr>
    </w:tbl>
    <w:p/>
    <w:p>
      <w:pPr>
        <w:pStyle w:val="Heading2"/>
      </w:pPr>
      <w:r>
        <w:t>M. DevOps, nube y gobierno operacional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ID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de negocio / gobierno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Condición / alcance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Resultado exigido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Dueño</w:t>
            </w:r>
          </w:p>
        </w:tc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6"/>
              </w:rPr>
              <w:t>Trazabilidad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realizan cambios permanentes directamente sobre producción fuera del proceso aprobado.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Producción.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 cambio pasa por PR/pipeline/gates.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§10-12; Backlog TS-001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cambios de software deberán seguir requisito → tarea → branch → commit → PR → pruebas → despliegue.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Todos los cambios.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trazabilidad es obligatoria.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§12; DoD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artefactos promovidos entre ambientes deben ser inmutables.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DEV→TEST→STAGING→PROD.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modifica un artefacto ya promovido.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 §12.5/12.6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secretos nunca se almacenan en Git ni en código.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Credenciales, tokens, claves y Wompi.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administran externamente, con Secret Manager.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Security/DevOps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RF-AUT-003; BL-05; TS-004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infraestructura permanente se gestiona mediante Terraform/IaC.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Google Cloud.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cambios de infraestructura pasan por revisión y plan.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RF-DEV-007; BL-10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RN-OPS-006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DEV, TEST, STAGING, PROD y DR deben mantenerse separados por propósito y acceso.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Ambientes.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usan datos reales en DEV.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DevOps/Security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ENV-001..005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RN-OPS-007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región primaria es us-central1 y la estrategia DR contempla us-east4.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Producción/DR.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configuración queda versionada en IaC.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Cloud/DevOps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RF-GCP-001/004; BL-10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RN-OPS-008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Cloud SQL PostgreSQL debe operar con alta disponibilidad regional y PITR habilitado según baseline.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Persistencia transaccional.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dispone de recuperación controlada.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Cloud/DevOps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RF-GCP-002/003; BL-10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RN-OPS-009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Producción debe mantener al menos dos instancias de Cloud Run para la topología HA aprobada.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Servicios críticos.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 reduce riesgo de indisponibilidad por instancia única.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Cloud/DevOps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BL-10; ARQ v5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RN-OPS-010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servicios deberán exponer health checks de liveness/readiness conforme al contrato de despliegue.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Operación Cloud Run.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Instancias no saludables pueden ser retiradas/reiniciadas por plataforma.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Cloud/DevOps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v5; BL-10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RN-OPS-011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disponibilidad objetivo de plataforma es 99,9% mensual.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Servicios definidos como críticos.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error budget se utiliza para decisiones de cambio.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SRE/DevOps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BL-03; ARQ v5 §12.10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RN-OPS-012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La latencia objetivo p95 para APIs síncronas es ≤400 ms y p99 de checkout ≤800 ms.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Servicios críticos.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Desviaciones alimentan observabilidad y acciones correctivas.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SRE/DevOps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BL-03; ARQ v5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RN-OPS-013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El procesamiento asíncrono Pub/Sub tiene objetivo de 2 segundos para eventos operativos definidos.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OrderPaid/InventoryUpdated y equivalentes.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Backlog/DLQ se monitorean.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SRE/Event Backbone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BL-03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RN-OPS-014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Los gates de calidad, seguridad y contratos son bloqueantes cuando aplican.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CI/CD.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integra ni promueve si un gate obligatorio falla.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DevOps/QA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PIP-001..011; ARQ v5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RN-OPS-015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Todo cambio terminado deberá dejar documentación y evidencia de pruebas, despliegue, observabilidad y rollback.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Definition of Done.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No se considera completado sin evidencia.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DevOps/QA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b w:val="0"/>
                <w:sz w:val="15"/>
              </w:rPr>
              <w:t>ARQ Anexo C; Backlog</w:t>
            </w:r>
          </w:p>
        </w:tc>
      </w:tr>
    </w:tbl>
    <w:p/>
    <w:p>
      <w:pPr>
        <w:pStyle w:val="Heading1"/>
      </w:pPr>
      <w:r>
        <w:t>6. Modelos de estado gobernados por reglas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Entidad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Estados / transición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 principal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Emprendedor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BORRADOR → DOCUMENTOS_PENDIENTES → DOCUMENTOS_CARGADOS → EN_VALIDACION → ACTIVO / SUSPENDIDO / INACTIVO / RECHAZADO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Sólo ACTIVO permite operación comercial; toda transición es auditable.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Producto emprendedor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BORRADOR → PENDIENTE_AVAL → REQUIERE_AJUSTES / AVALADO → ACTIVO / INACTIVO / RECHAZADO → VENDIDO / RESERVADO / EN_DESPACHO / ENTREGADO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Disponibilidad comercial exige aval + estado ACTIVO.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Caso/Ticket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BORRADOR → RADICADO → ABIERTO → EN_ANALISIS → PENDIENTE_* → ESCALADO → EN_SOLUCION → RESUELTO → CERRADO; también REABIERTO/CANCELADO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Transiciones controladas y auditadas.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Garantía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EN_PROCESO → REQUIERE_INFORMACION / REQUIERE_REVISION → APROBADA / RECHAZADA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Complementa el estado del Caso/Ticket.</w:t>
            </w:r>
          </w:p>
        </w:tc>
      </w:tr>
      <w:tr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Oferta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BORRADOR → PROGRAMADA → ACTIVA → SUSPENDIDA/CANCELADA → FINALIZADA/VENCIDA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b w:val="0"/>
                <w:sz w:val="16"/>
              </w:rPr>
              <w:t>Nunca continúa activa después de su vencimiento.</w:t>
            </w:r>
          </w:p>
        </w:tc>
      </w:tr>
    </w:tbl>
    <w:p>
      <w:pPr>
        <w:pStyle w:val="Heading1"/>
      </w:pPr>
      <w:r>
        <w:t>7. Reglas paramétricas que no deben codificarse como constantes</w:t>
      </w:r>
    </w:p>
    <w:p>
      <w:r>
        <w:t>Las siguientes políticas tienen valores configurables en la línea base. El catálogo establece la regla, pero no debe convertir automáticamente cada valor en una constante de código.</w:t>
      </w:r>
    </w:p>
    <w:p>
      <w:pPr>
        <w:pStyle w:val="ListBullet"/>
      </w:pPr>
      <w:r>
        <w:t>Comisiones y condiciones comerciales por categoría/plan.</w:t>
      </w:r>
    </w:p>
    <w:p>
      <w:pPr>
        <w:pStyle w:val="ListBullet"/>
      </w:pPr>
      <w:r>
        <w:t>Retenciones e impuestos aplicables, sujetos a validación tributaria.</w:t>
      </w:r>
    </w:p>
    <w:p>
      <w:pPr>
        <w:pStyle w:val="ListBullet"/>
      </w:pPr>
      <w:r>
        <w:t>SLA/SLO y ventanas operativas.</w:t>
      </w:r>
    </w:p>
    <w:p>
      <w:pPr>
        <w:pStyle w:val="ListBullet"/>
      </w:pPr>
      <w:r>
        <w:t>minVolume y umbrales de calidad/reincidencia.</w:t>
      </w:r>
    </w:p>
    <w:p>
      <w:pPr>
        <w:pStyle w:val="ListBullet"/>
      </w:pPr>
      <w:r>
        <w:t>Vigencias y condiciones de ofertas.</w:t>
      </w:r>
    </w:p>
    <w:p>
      <w:pPr>
        <w:pStyle w:val="ListBullet"/>
      </w:pPr>
      <w:r>
        <w:t>Políticas de retención documental y legal hold.</w:t>
      </w:r>
    </w:p>
    <w:p>
      <w:pPr>
        <w:pStyle w:val="ListBullet"/>
      </w:pPr>
      <w:r>
        <w:t>Parámetros de almacenamiento/multimedia cuando sean objeto de evolución aprobada.</w:t>
      </w:r>
    </w:p>
    <w:p>
      <w:pPr>
        <w:pStyle w:val="Heading1"/>
      </w:pPr>
      <w:r>
        <w:t>8. Matriz de trazabilidad de reglas críticas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6"/>
              </w:rPr>
              <w:t>Área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6"/>
              </w:rPr>
              <w:t>Reglas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6"/>
              </w:rPr>
              <w:t>Requisitos/Casos</w:t>
            </w:r>
          </w:p>
        </w:tc>
        <w:tc>
          <w:tcPr>
            <w:tcW w:type="dxa" w:w="3564"/>
            <w:vAlign w:val="center"/>
            <w:shd w:fill="D9EAF7"/>
          </w:tcPr>
          <w:p>
            <w:r/>
            <w:r>
              <w:rPr>
                <w:b/>
                <w:sz w:val="16"/>
              </w:rPr>
              <w:t>Responsable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Pago y dispersión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RN-PAY-001..017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RF-PAY-001..013; CU-EM-006,015..018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Payments + Contabilidad + Emprendedor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Garantías y retracto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RN-GAR-001..006; RN-RET-001..002; RN-DEV-001; RN-REV-001..002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RF-GAR-001..014; CU-SGC-012..016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SGC + Logística + Payments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Calidad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RN-CAL-001..010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RF-CAL-001..010; CU-SGC-020..023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SGC/Quality Analytics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SLA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RN-SLA-001..008; RN-LG-002..005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RF-SLA-001..010; CU-SGC-009..011; CU-LG-003..006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SLA/Logística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Seguridad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RN-SEC-001..012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RF-SEC-001..010; CU-SEC-001..015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Identity/Security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Emprendedor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RN-EMP-001..015; RN-PROD-001..014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RF-EMP-001..021; CU-EM-001..020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Entrepreneur Domain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Integración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RN-INT-001..010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RI-COM-001..008; RF-DEV-001..006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API Gateway/Event Backbone</w:t>
            </w:r>
          </w:p>
        </w:tc>
      </w:tr>
      <w:tr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Operación Cloud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RN-OPS-001..015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RF-GCP-001..011; RF-DEV-007; CU-GCP/CU-DEV</w:t>
            </w:r>
          </w:p>
        </w:tc>
        <w:tc>
          <w:tcPr>
            <w:tcW w:type="dxa" w:w="3564"/>
            <w:vAlign w:val="center"/>
          </w:tcPr>
          <w:p>
            <w:r/>
            <w:r>
              <w:rPr>
                <w:b w:val="0"/>
                <w:sz w:val="16"/>
              </w:rPr>
              <w:t>DevOps/SRE</w:t>
            </w:r>
          </w:p>
        </w:tc>
      </w:tr>
    </w:tbl>
    <w:p>
      <w:pPr>
        <w:pStyle w:val="Heading1"/>
      </w:pPr>
      <w:r>
        <w:t>9. Controles de implementación y pruebas</w:t>
      </w:r>
    </w:p>
    <w:p>
      <w:pPr>
        <w:pStyle w:val="ListBullet"/>
      </w:pPr>
      <w:r>
        <w:t>Toda regla que restrinja una transición o una operación monetaria debe probarse con caso positivo y negativo.</w:t>
      </w:r>
    </w:p>
    <w:p>
      <w:pPr>
        <w:pStyle w:val="ListBullet"/>
      </w:pPr>
      <w:r>
        <w:t>Toda regla de aislamiento debe probarse con acceso permitido y acceso cruzado denegado.</w:t>
      </w:r>
    </w:p>
    <w:p>
      <w:pPr>
        <w:pStyle w:val="ListBullet"/>
      </w:pPr>
      <w:r>
        <w:t>Toda regla de idempotencia debe probarse repitiendo la misma solicitud/evento.</w:t>
      </w:r>
    </w:p>
    <w:p>
      <w:pPr>
        <w:pStyle w:val="ListBullet"/>
      </w:pPr>
      <w:r>
        <w:t>Toda regla de liquidación debe probarse con datos sintéticos y conciliación matemática.</w:t>
      </w:r>
    </w:p>
    <w:p>
      <w:pPr>
        <w:pStyle w:val="ListBullet"/>
      </w:pPr>
      <w:r>
        <w:t>Toda regla de garantía/retracto debe probarse en límites de fecha y excepciones.</w:t>
      </w:r>
    </w:p>
    <w:p>
      <w:pPr>
        <w:pStyle w:val="ListBullet"/>
      </w:pPr>
      <w:r>
        <w:t>Toda regla paramétrica debe probarse con cambio de configuración sin despliegue de código cuando aplique.</w:t>
      </w:r>
    </w:p>
    <w:p>
      <w:pPr>
        <w:pStyle w:val="ListBullet"/>
      </w:pPr>
      <w:r>
        <w:t>Toda regla de integración debe validarse mediante contrato OpenAPI/JSON Schema y pruebas de consumidor.</w:t>
      </w:r>
    </w:p>
    <w:p>
      <w:pPr>
        <w:pStyle w:val="ListBullet"/>
      </w:pPr>
      <w:r>
        <w:t>Toda regla de infraestructura debe validarse mediante Terraform plan/apply, health checks, smoke y rollback.</w:t>
      </w:r>
    </w:p>
    <w:p>
      <w:pPr>
        <w:pStyle w:val="ListBullet"/>
      </w:pPr>
      <w:r>
        <w:t>Toda acción tipo E debe dejar AuditEvent y correlación distribuida.</w:t>
      </w:r>
    </w:p>
    <w:p>
      <w:pPr>
        <w:pStyle w:val="Heading1"/>
      </w:pPr>
      <w:r>
        <w:t>10. Decisiones y puntos de control que permanecen abiertos</w:t>
      </w:r>
    </w:p>
    <w:p>
      <w:r>
        <w:t>El catálogo no inventa datos que las fuentes declaran TBD. Deben mantenerse como controles de cierre:</w:t>
      </w:r>
    </w:p>
    <w:p>
      <w:pPr>
        <w:pStyle w:val="ListBullet"/>
      </w:pPr>
      <w:r>
        <w:t>RTO/RPO numéricos finales de aceptación.</w:t>
      </w:r>
    </w:p>
    <w:p>
      <w:pPr>
        <w:pStyle w:val="ListBullet"/>
      </w:pPr>
      <w:r>
        <w:t>Runtime exacto contractual de aplicación.</w:t>
      </w:r>
    </w:p>
    <w:p>
      <w:pPr>
        <w:pStyle w:val="ListBullet"/>
      </w:pPr>
      <w:r>
        <w:t>Canal definitivo de notificaciones.</w:t>
      </w:r>
    </w:p>
    <w:p>
      <w:pPr>
        <w:pStyle w:val="ListBullet"/>
      </w:pPr>
      <w:r>
        <w:t>Contratos OpenAPI y JSON Schema completos de todos los endpoints/eventos.</w:t>
      </w:r>
    </w:p>
    <w:p>
      <w:pPr>
        <w:pStyle w:val="ListBullet"/>
      </w:pPr>
      <w:r>
        <w:t>Validación jurídica/tributaria final de retenciones, facturación y retención documental.</w:t>
      </w:r>
    </w:p>
    <w:p>
      <w:pPr>
        <w:pStyle w:val="ListBullet"/>
      </w:pPr>
      <w:r>
        <w:t>Frecuencia/alcance definitivo de DAST.</w:t>
      </w:r>
    </w:p>
    <w:p>
      <w:pPr>
        <w:pStyle w:val="ListBullet"/>
      </w:pPr>
      <w:r>
        <w:t>SLO de servicios secundarios.</w:t>
      </w:r>
    </w:p>
    <w:p>
      <w:pPr>
        <w:pStyle w:val="ListBullet"/>
      </w:pPr>
      <w:r>
        <w:t>Volúmenes y presupuesto Cloud.</w:t>
      </w:r>
    </w:p>
    <w:p>
      <w:pPr>
        <w:pStyle w:val="ListBullet"/>
      </w:pPr>
      <w:r>
        <w:t>Separación física futura de bases por dominio si escala/seguridad lo justifica.</w:t>
      </w:r>
    </w:p>
    <w:p>
      <w:pPr>
        <w:pStyle w:val="Heading1"/>
      </w:pPr>
      <w:r>
        <w:t>11. Nota de gobierno</w:t>
      </w:r>
    </w:p>
    <w:p>
      <w:r>
        <w:t>Este catálogo es un documento vivo. Una nueva regla deberá ingresar mediante requisito/decisión identificable, análisis de impacto, actualización del catálogo, trazabilidad hacia caso de uso y pruebas. Ninguna regla de este documento autoriza por sí sola una interpretación jurídica o tributaria distinta de la que corresponda.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CuchosTool.com — Catálogo de Reglas de Negocio y Gobierno Operacional v1.0 — Nicola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