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1: Group name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Disciplinary &amp; Asset Management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(M. Fowler, J. Childs, J. Reed-Smith, A. Szlaski)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2: Outline of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Responsibilities: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robust system that helps Ufix to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company assets (including rooms and laptops)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operational efficiency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Slide 3: Software We Will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 3: the scripting language we will use to create the application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SQLite: the database query language we will use to manage the assets database itself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GitHub: allows efficient collaboration between all team members on the project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Slack: allows instant communication between team members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Trello:  allows easy task creation and assignment to improve productivity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Slide 4: </w:t>
      </w:r>
      <w:commentRangeStart w:id="0"/>
      <w:r w:rsidDel="00000000" w:rsidR="00000000" w:rsidRPr="00000000">
        <w:rPr>
          <w:b w:val="1"/>
          <w:u w:val="single"/>
          <w:rtl w:val="0"/>
        </w:rPr>
        <w:t xml:space="preserve">Ethics Policies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u w:val="single"/>
          <w:rtl w:val="0"/>
        </w:rPr>
        <w:t xml:space="preserve">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Company Ethics Policy Summary: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Employees are expected to: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Comply with the law and act with honesty, fairness and integrity.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any ethical or legal concerns to your manager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company resources and assets must be properly documented and authorised by the asset management team.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Breach of policy will result in a stage 1 disciplinary, and repeat offences will result in higher tiers. Once a stage 3 disciplinary is reached, the company has the right suspend or </w:t>
      </w:r>
      <w:commentRangeStart w:id="1"/>
      <w:r w:rsidDel="00000000" w:rsidR="00000000" w:rsidRPr="00000000">
        <w:rPr>
          <w:rtl w:val="0"/>
        </w:rPr>
        <w:t xml:space="preserve">fire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the employee in question. Depending on the severity of the offence, the company may immediately issue a higher tier of disciplinary.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5: Types of Asset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Initial asset types: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phones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laptops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licenses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Room hire (see next slide)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Slide 6: Types of Room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Room categories: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room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Seminar room / auditorium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7: Database Table Properties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8: Database Linking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Josh’s diagram in the folder.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Fowler" w:id="0" w:date="2018-10-21T12:27:5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mimicked the policies of Domino Printing (https://www.domino-printing.com/en-gb/press-centre/ethics-policy.aspx)</w:t>
      </w:r>
    </w:p>
  </w:comment>
  <w:comment w:author="Matthew Fowler" w:id="1" w:date="2018-10-21T12:43:4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of the proper business-speak term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