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80"/>
        <w:jc w:val="center"/>
      </w:pPr>
      <w:r>
        <w:rPr>
          <w:rFonts w:ascii="Aptos Display" w:hAnsi="Aptos Display"/>
          <w:b/>
          <w:color w:val="17324D"/>
          <w:sz w:val="60"/>
        </w:rPr>
        <w:t>PROPERTY DEAL</w:t>
      </w:r>
    </w:p>
    <w:p>
      <w:pPr>
        <w:spacing w:after="240"/>
        <w:jc w:val="center"/>
      </w:pPr>
      <w:r>
        <w:rPr>
          <w:rFonts w:ascii="Aptos Display" w:hAnsi="Aptos Display"/>
          <w:b/>
          <w:color w:val="1E7A74"/>
          <w:sz w:val="60"/>
        </w:rPr>
        <w:t>REALITY CHECKER</w:t>
      </w:r>
    </w:p>
    <w:p>
      <w:pPr>
        <w:spacing w:after="520"/>
        <w:jc w:val="center"/>
      </w:pPr>
      <w:r>
        <w:rPr>
          <w:rFonts w:ascii="Aptos" w:hAnsi="Aptos"/>
          <w:color w:val="5F6B75"/>
          <w:sz w:val="30"/>
        </w:rPr>
        <w:t>iOS Product &amp; Technical Architectural Blueprint</w:t>
      </w:r>
    </w:p>
    <w:tbl>
      <w:tblPr>
        <w:tblW w:type="auto" w:w="0"/>
        <w:jc w:val="center"/>
        <w:tblLayout w:type="fixed"/>
        <w:tblLook w:firstColumn="1" w:firstRow="1" w:lastColumn="0" w:lastRow="0" w:noHBand="0" w:noVBand="1" w:val="04A0"/>
      </w:tblPr>
      <w:tblGrid>
        <w:gridCol w:w="9360"/>
      </w:tblGrid>
      <w:tr>
        <w:tc>
          <w:tcPr>
            <w:tcW w:type="dxa" w:w="9360"/>
            <w:shd w:fill="EEF3F6"/>
            <w:vAlign w:val="center"/>
            <w:tcMar>
              <w:top w:w="90" w:type="dxa"/>
              <w:start w:w="120" w:type="dxa"/>
              <w:bottom w:w="90" w:type="dxa"/>
              <w:end w:w="120" w:type="dxa"/>
            </w:tcMar>
          </w:tcPr>
          <w:p>
            <w:pPr>
              <w:spacing w:after="0" w:line="252" w:lineRule="auto"/>
              <w:jc w:val="left"/>
            </w:pPr>
            <w:r/>
            <w:r>
              <w:rPr>
                <w:rFonts w:ascii="Aptos" w:hAnsi="Aptos"/>
                <w:b w:val="0"/>
                <w:color w:val="17324D"/>
                <w:sz w:val="20"/>
              </w:rPr>
            </w:r>
            <w:r>
              <w:rPr>
                <w:b/>
                <w:color w:val="17324D"/>
              </w:rPr>
              <w:t xml:space="preserve">PRODUCT PROMISE  </w:t>
            </w:r>
            <w:r>
              <w:rPr>
                <w:color w:val="202A33"/>
              </w:rPr>
              <w:t>Turn a property listing and financing proposal into a transparent, scenario-tested investment decision—without hiding assumptions behind a single score.</w:t>
            </w:r>
          </w:p>
        </w:tc>
      </w:tr>
    </w:tbl>
    <w:p>
      <w:pPr>
        <w:spacing w:after="0"/>
      </w:pPr>
    </w:p>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Mar>
              <w:top w:w="90" w:type="dxa"/>
              <w:start w:w="120" w:type="dxa"/>
              <w:bottom w:w="90" w:type="dxa"/>
              <w:end w:w="120" w:type="dxa"/>
            </w:tcMar>
            <w:shd w:fill="1E7A74"/>
          </w:tcPr>
          <w:p>
            <w:pPr>
              <w:spacing w:after="0" w:line="252" w:lineRule="auto"/>
              <w:jc w:val="center"/>
            </w:pPr>
            <w:r/>
            <w:r>
              <w:rPr>
                <w:rFonts w:ascii="Aptos" w:hAnsi="Aptos"/>
                <w:b/>
                <w:color w:val="FFFFFF"/>
                <w:sz w:val="18"/>
              </w:rPr>
              <w:t>Blueprint area</w:t>
            </w:r>
          </w:p>
        </w:tc>
        <w:tc>
          <w:tcPr>
            <w:tcW w:type="dxa" w:w="7056"/>
            <w:vAlign w:val="center"/>
            <w:tcMar>
              <w:top w:w="90" w:type="dxa"/>
              <w:start w:w="120" w:type="dxa"/>
              <w:bottom w:w="90" w:type="dxa"/>
              <w:end w:w="120" w:type="dxa"/>
            </w:tcMar>
            <w:shd w:fill="1E7A74"/>
          </w:tcPr>
          <w:p>
            <w:pPr>
              <w:spacing w:after="0" w:line="252" w:lineRule="auto"/>
              <w:jc w:val="center"/>
            </w:pPr>
            <w:r/>
            <w:r>
              <w:rPr>
                <w:rFonts w:ascii="Aptos" w:hAnsi="Aptos"/>
                <w:b/>
                <w:color w:val="FFFFFF"/>
                <w:sz w:val="18"/>
              </w:rPr>
              <w:t>Defined outcome</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Customer</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Small investors evaluating 1–20 unit residential properties</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Platform</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Native iPhone first; iPad layout follows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Core value</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Fast underwriting, scenario comparison, risk detection, and plain-language reasoning</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Trust rule</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Every verdict is reproducible from visible inputs and versioned formulas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Initial release</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Manual entry, deterministic analysis, local storage, PDF/CSV export</w:t>
            </w:r>
          </w:p>
        </w:tc>
      </w:tr>
    </w:tbl>
    <w:p>
      <w:pPr>
        <w:spacing w:after="0"/>
      </w:pPr>
    </w:p>
    <w:p>
      <w:pPr>
        <w:spacing w:before="360"/>
        <w:jc w:val="center"/>
      </w:pPr>
      <w:r>
        <w:rPr>
          <w:i/>
          <w:color w:val="5F6B75"/>
          <w:sz w:val="20"/>
        </w:rPr>
        <w:t>Prepared as a build-ready working specification</w:t>
      </w:r>
    </w:p>
    <w:p>
      <w:r>
        <w:br w:type="page"/>
      </w:r>
    </w:p>
    <w:p>
      <w:pPr>
        <w:pStyle w:val="Heading1"/>
        <w:keepNext/>
      </w:pPr>
      <w:r>
        <w:t>1. Executive Product Definition</w:t>
      </w:r>
    </w:p>
    <w:p>
      <w:pPr>
        <w:spacing w:after="120" w:line="264" w:lineRule="auto"/>
      </w:pPr>
      <w:r>
        <w:rPr>
          <w:rFonts w:ascii="Aptos" w:hAnsi="Aptos"/>
          <w:color w:val="202A33"/>
        </w:rPr>
        <w:t>Property Deal Reality Checker is a decision-support app for investors who need to determine whether a deal remains viable after realistic financing, operating costs, vacancy, repairs, and exit assumptions are applied. The app does not predict appreciation or provide investment, tax, lending, appraisal, or legal advice. It exposes assumptions, performs deterministic calculations, and explains the result in plain language.</w:t>
      </w:r>
    </w:p>
    <w:tbl>
      <w:tblPr>
        <w:tblW w:type="auto" w:w="0"/>
        <w:jc w:val="center"/>
        <w:tblLayout w:type="fixed"/>
        <w:tblLook w:firstColumn="1" w:firstRow="1" w:lastColumn="0" w:lastRow="0" w:noHBand="0" w:noVBand="1" w:val="04A0"/>
      </w:tblPr>
      <w:tblGrid>
        <w:gridCol w:w="9360"/>
      </w:tblGrid>
      <w:tr>
        <w:tc>
          <w:tcPr>
            <w:tcW w:type="dxa" w:w="9360"/>
            <w:shd w:fill="EEF3F6"/>
            <w:vAlign w:val="center"/>
            <w:tcMar>
              <w:top w:w="90" w:type="dxa"/>
              <w:start w:w="120" w:type="dxa"/>
              <w:bottom w:w="90" w:type="dxa"/>
              <w:end w:w="120" w:type="dxa"/>
            </w:tcMar>
          </w:tcPr>
          <w:p>
            <w:pPr>
              <w:spacing w:after="0" w:line="252" w:lineRule="auto"/>
              <w:jc w:val="left"/>
            </w:pPr>
            <w:r/>
            <w:r>
              <w:rPr>
                <w:rFonts w:ascii="Aptos" w:hAnsi="Aptos"/>
                <w:b w:val="0"/>
                <w:color w:val="17324D"/>
                <w:sz w:val="20"/>
              </w:rPr>
            </w:r>
            <w:r>
              <w:rPr>
                <w:b/>
                <w:color w:val="17324D"/>
              </w:rPr>
              <w:t xml:space="preserve">NORTH-STAR OUTCOME  </w:t>
            </w:r>
            <w:r>
              <w:rPr>
                <w:color w:val="202A33"/>
              </w:rPr>
              <w:t>A user can enter a deal in under five minutes, understand the true monthly position, see the assumptions most likely to break the deal, and export a defensible underwriting snapshot.</w:t>
            </w:r>
          </w:p>
        </w:tc>
      </w:tr>
    </w:tbl>
    <w:p>
      <w:pPr>
        <w:spacing w:after="0"/>
      </w:pPr>
    </w:p>
    <w:p>
      <w:pPr>
        <w:pStyle w:val="Heading2"/>
        <w:keepNext/>
      </w:pPr>
      <w:r>
        <w:t>1.1 Target users and jobs to be done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Persona</w:t>
            </w:r>
          </w:p>
        </w:tc>
        <w:tc>
          <w:tcPr>
            <w:tcW w:type="dxa" w:w="324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Primary job</w:t>
            </w:r>
          </w:p>
        </w:tc>
        <w:tc>
          <w:tcPr>
            <w:tcW w:type="dxa" w:w="417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Pain addressed</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First-time rental investor</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Determine whether advertised cash flow is credible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Missed expenses, financing confusion, optimistic rent assumptions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Small portfolio owner</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Compare several deals consistently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Spreadsheet duplication and inconsistent formulas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BRRRR investor</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Model acquisition, rehab, refinance, and stabilized operations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Multiple capital phases and uncertain after-repair value</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Seller-finance buyer</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Evaluate balloon, interest-only, deferred, and subordinate debt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Nonstandard terms are difficult to compare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Advisor or partner</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Review and discuss a shared underwriting case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Assumptions get lost in screenshots and messages</w:t>
            </w:r>
          </w:p>
        </w:tc>
      </w:tr>
    </w:tbl>
    <w:p>
      <w:pPr>
        <w:spacing w:after="0"/>
      </w:pPr>
    </w:p>
    <w:p>
      <w:pPr>
        <w:pStyle w:val="Heading2"/>
        <w:keepNext/>
      </w:pPr>
      <w:r>
        <w:t>1.2 Product principles</w:t>
      </w:r>
    </w:p>
    <w:p>
      <w:pPr>
        <w:pStyle w:val="ListBullet"/>
        <w:spacing w:after="60" w:line="264" w:lineRule="auto"/>
      </w:pPr>
      <w:r>
        <w:rPr>
          <w:rFonts w:ascii="Aptos" w:hAnsi="Aptos"/>
          <w:color w:val="202A33"/>
        </w:rPr>
        <w:t>Transparent before persuasive: show inputs, formulas, and sensitivity before a verdict.</w:t>
      </w:r>
    </w:p>
    <w:p>
      <w:pPr>
        <w:pStyle w:val="ListBullet"/>
        <w:spacing w:after="60" w:line="264" w:lineRule="auto"/>
      </w:pPr>
      <w:r>
        <w:rPr>
          <w:rFonts w:ascii="Aptos" w:hAnsi="Aptos"/>
          <w:color w:val="202A33"/>
        </w:rPr>
        <w:t>Deterministic core: identical inputs and formula version always produce identical outputs.</w:t>
      </w:r>
    </w:p>
    <w:p>
      <w:pPr>
        <w:pStyle w:val="ListBullet"/>
        <w:spacing w:after="60" w:line="264" w:lineRule="auto"/>
      </w:pPr>
      <w:r>
        <w:rPr>
          <w:rFonts w:ascii="Aptos" w:hAnsi="Aptos"/>
          <w:color w:val="202A33"/>
        </w:rPr>
        <w:t>Conservative defaults: missing values are visibly flagged and never silently treated as zero.</w:t>
      </w:r>
    </w:p>
    <w:p>
      <w:pPr>
        <w:pStyle w:val="ListBullet"/>
        <w:spacing w:after="60" w:line="264" w:lineRule="auto"/>
      </w:pPr>
      <w:r>
        <w:rPr>
          <w:rFonts w:ascii="Aptos" w:hAnsi="Aptos"/>
          <w:color w:val="202A33"/>
        </w:rPr>
        <w:t>Local-first privacy: a user can underwrite without creating an account or uploading financial details.</w:t>
      </w:r>
    </w:p>
    <w:p>
      <w:pPr>
        <w:pStyle w:val="ListBullet"/>
        <w:spacing w:after="60" w:line="264" w:lineRule="auto"/>
      </w:pPr>
      <w:r>
        <w:rPr>
          <w:rFonts w:ascii="Aptos" w:hAnsi="Aptos"/>
          <w:color w:val="202A33"/>
        </w:rPr>
        <w:t>Decision support, not deal approval: use graded signals and explain uncertainty.</w:t>
      </w:r>
    </w:p>
    <w:p>
      <w:pPr>
        <w:pStyle w:val="ListBullet"/>
        <w:spacing w:after="60" w:line="264" w:lineRule="auto"/>
      </w:pPr>
      <w:r>
        <w:rPr>
          <w:rFonts w:ascii="Aptos" w:hAnsi="Aptos"/>
          <w:color w:val="202A33"/>
        </w:rPr>
        <w:t>Progressive disclosure: novices receive guidance; experienced investors can expose advanced terms.</w:t>
      </w:r>
    </w:p>
    <w:p>
      <w:pPr>
        <w:pStyle w:val="Heading1"/>
        <w:keepNext/>
      </w:pPr>
      <w:r>
        <w:t>2. Scope and Release Strategy</w:t>
      </w:r>
    </w:p>
    <w:p>
      <w:pPr>
        <w:pStyle w:val="Heading2"/>
        <w:keepNext/>
      </w:pPr>
      <w:r>
        <w:t>2.1 MVP scope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Capability</w:t>
            </w:r>
          </w:p>
        </w:tc>
        <w:tc>
          <w:tcPr>
            <w:tcW w:type="dxa" w:w="446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MVP behavior</w:t>
            </w:r>
          </w:p>
        </w:tc>
        <w:tc>
          <w:tcPr>
            <w:tcW w:type="dxa" w:w="316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Acceptance condition</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Deal intake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Manual property, rent, expense, rehab, and financing entry</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Complete a standard rental in ≤5 minutes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Financing</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Cash, amortizing loan, interest-only, seller financing, balloon, and second lien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Payment schedule and balloon are independently testable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Analysis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Cash flow, cap rate, cash-on-cash, DSCR, break-even occupancy, total cash required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Results reconcile to golden spreadsheet fixtures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Scenarios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Base, conservative, and optimistic; user-defined duplicate scenarios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Changing one input recalculates affected metrics immediately</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Risk flags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Rules identify incomplete, fragile, highly leveraged, or balloon-exposed deals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Each flag names trigger and remedy</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Verdict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Strong / Workable / Marginal / High Risk / Incomplete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Verdict includes confidence and reasons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Exports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Branded PDF summary and CSV assumptions/results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Export reproduces the saved calculation snapshot</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Storage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On-device SwiftData; optional iCloud later</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App functions fully offline</w:t>
            </w:r>
          </w:p>
        </w:tc>
      </w:tr>
    </w:tbl>
    <w:p>
      <w:pPr>
        <w:spacing w:after="0"/>
      </w:pPr>
    </w:p>
    <w:p>
      <w:pPr>
        <w:pStyle w:val="Heading2"/>
        <w:keepNext/>
      </w:pPr>
      <w:r>
        <w:t>2.2 Explicitly deferred</w:t>
      </w:r>
    </w:p>
    <w:p>
      <w:pPr>
        <w:pStyle w:val="ListBullet"/>
        <w:spacing w:after="60" w:line="264" w:lineRule="auto"/>
      </w:pPr>
      <w:r>
        <w:rPr>
          <w:rFonts w:ascii="Aptos" w:hAnsi="Aptos"/>
          <w:color w:val="202A33"/>
        </w:rPr>
        <w:t>Automated listing import, MLS access, automated valuation models, rent estimates, and lender quotes.</w:t>
      </w:r>
    </w:p>
    <w:p>
      <w:pPr>
        <w:pStyle w:val="ListBullet"/>
        <w:spacing w:after="60" w:line="264" w:lineRule="auto"/>
      </w:pPr>
      <w:r>
        <w:rPr>
          <w:rFonts w:ascii="Aptos" w:hAnsi="Aptos"/>
          <w:color w:val="202A33"/>
        </w:rPr>
        <w:t>Entity accounting, rent collection, property management, tax-return preparation, and bookkeeping.</w:t>
      </w:r>
    </w:p>
    <w:p>
      <w:pPr>
        <w:pStyle w:val="ListBullet"/>
        <w:spacing w:after="60" w:line="264" w:lineRule="auto"/>
      </w:pPr>
      <w:r>
        <w:rPr>
          <w:rFonts w:ascii="Aptos" w:hAnsi="Aptos"/>
          <w:color w:val="202A33"/>
        </w:rPr>
        <w:t>Multi-user collaboration, web dashboard, Android client, and public deal marketplace.</w:t>
      </w:r>
    </w:p>
    <w:p>
      <w:pPr>
        <w:pStyle w:val="ListBullet"/>
        <w:spacing w:after="60" w:line="264" w:lineRule="auto"/>
      </w:pPr>
      <w:r>
        <w:rPr>
          <w:rFonts w:ascii="Aptos" w:hAnsi="Aptos"/>
          <w:color w:val="202A33"/>
        </w:rPr>
        <w:t>Generative extraction from arbitrary closing packages until an audited human-confirmation workflow exists.</w:t>
      </w:r>
    </w:p>
    <w:p>
      <w:pPr>
        <w:pStyle w:val="Heading2"/>
        <w:keepNext/>
      </w:pPr>
      <w:r>
        <w:t>2.3 Release sequence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Phase</w:t>
            </w:r>
          </w:p>
        </w:tc>
        <w:tc>
          <w:tcPr>
            <w:tcW w:type="dxa" w:w="302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Objective</w:t>
            </w:r>
          </w:p>
        </w:tc>
        <w:tc>
          <w:tcPr>
            <w:tcW w:type="dxa" w:w="460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Increment</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0 — Prototype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Validate language and formulas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Clickable flow plus spreadsheet-backed test cases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1 — MVP</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Prove repeat underwriting use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Native app, local deals, scenarios, exports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2 — Trust &amp; retention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Make saved analyses durable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iCloud sync, audit history, templates, reminders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3 — Assisted intake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Reduce data-entry friction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Document/photo extraction with field confirmation</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4 — Portfolio</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Support ongoing decisions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Portfolio view, refinance alerts, cross-deal comparison</w:t>
            </w:r>
          </w:p>
        </w:tc>
      </w:tr>
    </w:tbl>
    <w:p>
      <w:pPr>
        <w:spacing w:after="0"/>
      </w:pPr>
    </w:p>
    <w:p>
      <w:pPr>
        <w:pStyle w:val="Heading1"/>
        <w:keepNext/>
      </w:pPr>
      <w:r>
        <w:t>3. Experience Architecture</w:t>
      </w:r>
    </w:p>
    <w:p>
      <w:pPr>
        <w:pStyle w:val="Heading2"/>
        <w:keepNext/>
      </w:pPr>
      <w:r>
        <w:t>3.1 Primary navigation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Tab</w:t>
            </w:r>
          </w:p>
        </w:tc>
        <w:tc>
          <w:tcPr>
            <w:tcW w:type="dxa" w:w="316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Purpose</w:t>
            </w:r>
          </w:p>
        </w:tc>
        <w:tc>
          <w:tcPr>
            <w:tcW w:type="dxa" w:w="446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Key screens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Deals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Resume and compare saved opportunities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Deal list, filters, comparison tray</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New Check</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Guided underwriting intake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Property → income → expenses → financing → review</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Insights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Scenario and sensitivity analysis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Dashboard, charts, risk flags, assumptions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Settings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Defaults, methodology, exports, privacy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Market defaults, formula version, subscription</w:t>
            </w:r>
          </w:p>
        </w:tc>
      </w:tr>
    </w:tbl>
    <w:p>
      <w:pPr>
        <w:spacing w:after="0"/>
      </w:pPr>
    </w:p>
    <w:p>
      <w:pPr>
        <w:pStyle w:val="Heading2"/>
        <w:keepNext/>
      </w:pPr>
      <w:r>
        <w:t>3.2 Golden path</w:t>
      </w:r>
    </w:p>
    <w:p>
      <w:pPr>
        <w:spacing w:after="80" w:line="264" w:lineRule="auto"/>
        <w:ind w:left="461" w:hanging="317"/>
      </w:pPr>
      <w:r>
        <w:rPr>
          <w:rFonts w:ascii="Aptos" w:hAnsi="Aptos"/>
          <w:color w:val="202A33"/>
        </w:rPr>
        <w:t>1.  Start a blank deal or choose a template such as Long-Term Rental, BRRRR, or Seller Finance.</w:t>
      </w:r>
    </w:p>
    <w:p>
      <w:pPr>
        <w:spacing w:after="80" w:line="264" w:lineRule="auto"/>
        <w:ind w:left="461" w:hanging="317"/>
      </w:pPr>
      <w:r>
        <w:rPr>
          <w:rFonts w:ascii="Aptos" w:hAnsi="Aptos"/>
          <w:color w:val="202A33"/>
        </w:rPr>
        <w:t>2.  Enter property identity, price, units, current/market rents, rehab, and closing assumptions.</w:t>
      </w:r>
    </w:p>
    <w:p>
      <w:pPr>
        <w:spacing w:after="80" w:line="264" w:lineRule="auto"/>
        <w:ind w:left="461" w:hanging="317"/>
      </w:pPr>
      <w:r>
        <w:rPr>
          <w:rFonts w:ascii="Aptos" w:hAnsi="Aptos"/>
          <w:color w:val="202A33"/>
        </w:rPr>
        <w:t>3.  Choose a financing structure and enter each debt layer.</w:t>
      </w:r>
    </w:p>
    <w:p>
      <w:pPr>
        <w:spacing w:after="80" w:line="264" w:lineRule="auto"/>
        <w:ind w:left="461" w:hanging="317"/>
      </w:pPr>
      <w:r>
        <w:rPr>
          <w:rFonts w:ascii="Aptos" w:hAnsi="Aptos"/>
          <w:color w:val="202A33"/>
        </w:rPr>
        <w:t>4.  Review detected omissions and confirm assumptions.</w:t>
      </w:r>
    </w:p>
    <w:p>
      <w:pPr>
        <w:spacing w:after="80" w:line="264" w:lineRule="auto"/>
        <w:ind w:left="461" w:hanging="317"/>
      </w:pPr>
      <w:r>
        <w:rPr>
          <w:rFonts w:ascii="Aptos" w:hAnsi="Aptos"/>
          <w:color w:val="202A33"/>
        </w:rPr>
        <w:t>5.  Receive the deal dashboard, verdict, confidence level, and top three drivers.</w:t>
      </w:r>
    </w:p>
    <w:p>
      <w:pPr>
        <w:spacing w:after="80" w:line="264" w:lineRule="auto"/>
        <w:ind w:left="461" w:hanging="317"/>
      </w:pPr>
      <w:r>
        <w:rPr>
          <w:rFonts w:ascii="Aptos" w:hAnsi="Aptos"/>
          <w:color w:val="202A33"/>
        </w:rPr>
        <w:t>6.  Adjust scenarios or run sensitivity controls for rent, vacancy, repairs, rate, price, and exit value.</w:t>
      </w:r>
    </w:p>
    <w:p>
      <w:pPr>
        <w:spacing w:after="80" w:line="264" w:lineRule="auto"/>
        <w:ind w:left="461" w:hanging="317"/>
      </w:pPr>
      <w:r>
        <w:rPr>
          <w:rFonts w:ascii="Aptos" w:hAnsi="Aptos"/>
          <w:color w:val="202A33"/>
        </w:rPr>
        <w:t>7.  Save a versioned snapshot or export/share a report.</w:t>
      </w:r>
    </w:p>
    <w:p>
      <w:pPr>
        <w:pStyle w:val="Heading2"/>
        <w:keepNext/>
      </w:pPr>
      <w:r>
        <w:t>3.3 Dashboard hierarchy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Layer</w:t>
            </w:r>
          </w:p>
        </w:tc>
        <w:tc>
          <w:tcPr>
            <w:tcW w:type="dxa" w:w="453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What the user sees</w:t>
            </w:r>
          </w:p>
        </w:tc>
        <w:tc>
          <w:tcPr>
            <w:tcW w:type="dxa" w:w="309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Design rule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Decision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Verdict, confidence, monthly cash flow, cash required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Visible without scrolling</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Reason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Three strongest positives and three primary risks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Every statement links to its input or formula</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Economics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NOI, cap rate, CoC, DSCR, debt yield, break-even occupancy</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Use definitions and tap-to-expand math</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Stress test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Rent/vacancy matrix, repair shock, rate shock, balloon timeline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Highlight threshold crossings, not decorative charts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Audit</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Assumptions, source labels, overrides, formula version, timestamp</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Export exactly what was calculated</w:t>
            </w:r>
          </w:p>
        </w:tc>
      </w:tr>
    </w:tbl>
    <w:p>
      <w:pPr>
        <w:spacing w:after="0"/>
      </w:pPr>
    </w:p>
    <w:p>
      <w:pPr>
        <w:pStyle w:val="Heading1"/>
        <w:keepNext/>
      </w:pPr>
      <w:r>
        <w:t>4. Underwriting and Calculation Engine</w:t>
      </w:r>
    </w:p>
    <w:tbl>
      <w:tblPr>
        <w:tblW w:type="auto" w:w="0"/>
        <w:jc w:val="center"/>
        <w:tblLayout w:type="fixed"/>
        <w:tblLook w:firstColumn="1" w:firstRow="1" w:lastColumn="0" w:lastRow="0" w:noHBand="0" w:noVBand="1" w:val="04A0"/>
      </w:tblPr>
      <w:tblGrid>
        <w:gridCol w:w="9360"/>
      </w:tblGrid>
      <w:tr>
        <w:tc>
          <w:tcPr>
            <w:tcW w:type="dxa" w:w="9360"/>
            <w:shd w:fill="EEF3F6"/>
            <w:vAlign w:val="center"/>
            <w:tcMar>
              <w:top w:w="90" w:type="dxa"/>
              <w:start w:w="120" w:type="dxa"/>
              <w:bottom w:w="90" w:type="dxa"/>
              <w:end w:w="120" w:type="dxa"/>
            </w:tcMar>
          </w:tcPr>
          <w:p>
            <w:pPr>
              <w:spacing w:after="0" w:line="252" w:lineRule="auto"/>
              <w:jc w:val="left"/>
            </w:pPr>
            <w:r/>
            <w:r>
              <w:rPr>
                <w:rFonts w:ascii="Aptos" w:hAnsi="Aptos"/>
                <w:b w:val="0"/>
                <w:color w:val="17324D"/>
                <w:sz w:val="20"/>
              </w:rPr>
            </w:r>
            <w:r>
              <w:rPr>
                <w:b/>
                <w:color w:val="17324D"/>
              </w:rPr>
              <w:t xml:space="preserve">ARCHITECTURE RULE  </w:t>
            </w:r>
            <w:r>
              <w:rPr>
                <w:color w:val="202A33"/>
              </w:rPr>
              <w:t>Calculations live in a standalone pure Swift package with no UI, database, network, AI, locale, or device dependencies. Decimal arithmetic and explicit rounding policies are mandatory.</w:t>
            </w:r>
          </w:p>
        </w:tc>
      </w:tr>
    </w:tbl>
    <w:p>
      <w:pPr>
        <w:spacing w:after="0"/>
      </w:pPr>
    </w:p>
    <w:p>
      <w:pPr>
        <w:pStyle w:val="Heading2"/>
        <w:keepNext/>
      </w:pPr>
      <w:r>
        <w:t>4.1 Canonical calculation pipeline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44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Stage</w:t>
            </w:r>
          </w:p>
        </w:tc>
        <w:tc>
          <w:tcPr>
            <w:tcW w:type="dxa" w:w="3672"/>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Input</w:t>
            </w:r>
          </w:p>
        </w:tc>
        <w:tc>
          <w:tcPr>
            <w:tcW w:type="dxa" w:w="424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Output</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Normalize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User-entered money, rates, terms, units, dates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Canonical Decimal values and monthly/annual units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Validate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Canonical deal</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Errors, warnings, missing data, admissible ranges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Finance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Debt layers and timeline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Payments, interest, principal, balance, balloon exposure</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Operate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Income and operating assumptions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EGI, expenses, NOI</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Return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NOI, debt, cash invested, sale assumptions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Cash flow, cap rate, CoC, DSCR, IRR/equity multiple when enabled</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Stress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Named variable ranges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Sensitivity grid and threshold crossings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Score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Metrics, completeness, and risk rules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Verdict, confidence, reason codes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Explain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Reason codes plus numeric evidence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Templated narrative; optional AI refinement</w:t>
            </w:r>
          </w:p>
        </w:tc>
      </w:tr>
    </w:tbl>
    <w:p>
      <w:pPr>
        <w:spacing w:after="0"/>
      </w:pPr>
    </w:p>
    <w:p>
      <w:pPr>
        <w:pStyle w:val="Heading2"/>
        <w:keepNext/>
      </w:pPr>
      <w:r>
        <w:t>4.2 Core equations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Metric</w:t>
            </w:r>
          </w:p>
        </w:tc>
        <w:tc>
          <w:tcPr>
            <w:tcW w:type="dxa" w:w="482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Canonical definition</w:t>
            </w:r>
          </w:p>
        </w:tc>
        <w:tc>
          <w:tcPr>
            <w:tcW w:type="dxa" w:w="2592"/>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Key caution</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Gross scheduled income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Σ monthly contractual/market rent × 12 + other scheduled income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Track current and market rent separately</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Effective gross income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Gross scheduled income − vacancy/credit loss + collectible other income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Vacancy is never assumed to be zero silently</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NOI</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Effective gross income − operating expenses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Exclude debt service, depreciation, income tax, and capital improvements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Cap rate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Annual NOI ÷ acquisition basis selected by methodology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Display whether denominator is purchase price or total project basis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Debt service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Σ scheduled payments across debt layers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Keep balloon principal separate from periodic debt service</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DSCR</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Annual NOI ÷ annual debt service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Define lender convention; app default excludes balloon payoff</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Cash flow</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NOI − debt service − owner-paid reserves/capital items not included in NOI</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Show pre-tax and methodology notes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Cash-on-cash</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Annual pre-tax cash flow ÷ initial cash invested</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Initial cash includes down payment, closing, rehab, and financing costs less credits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Break-even occupancy</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(Operating expenses + debt service − non-rent income) ÷ gross potential rent</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Clamp only for presentation, never for calculation</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Loan-to-cost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Total acquisition debt ÷ total project cost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Different from loan-to-value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Debt yield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NOI ÷ total debt</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Useful independent of interest rate</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Balloon burden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Balloon due ÷ estimated liquid/refinance capacity at due date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Capacity assumption must be explicit</w:t>
            </w:r>
          </w:p>
        </w:tc>
      </w:tr>
    </w:tbl>
    <w:p>
      <w:pPr>
        <w:spacing w:after="0"/>
      </w:pPr>
    </w:p>
    <w:p>
      <w:pPr>
        <w:pStyle w:val="Heading2"/>
        <w:keepNext/>
      </w:pPr>
      <w:r>
        <w:t>4.3 Financing models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Model</w:t>
            </w:r>
          </w:p>
        </w:tc>
        <w:tc>
          <w:tcPr>
            <w:tcW w:type="dxa" w:w="381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Required inputs</w:t>
            </w:r>
          </w:p>
        </w:tc>
        <w:tc>
          <w:tcPr>
            <w:tcW w:type="dxa" w:w="360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Engine behavior</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Cash</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Price, closing, rehab</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 debt service; cash invested equals funded uses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Amortizing</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Principal, APR, amortization, term, payment frequency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Standard schedule with remaining balance at term</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Interest-only</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Principal, APR, IO term, maturity</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Interest payment during IO; explicit maturity balance</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Balloon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Amortization longer than contractual term</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Compute scheduled payment and remaining principal due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Seller financing</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Price allocation, down payment, APR, term, amortization, fees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Separate debt layer; disclose lien position and deferred payments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Subordinate lien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Principal, payment rule, accrual, maturity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Supports paid, deferred, or accrued interest; separate payoff</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Rehab/refinance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Draws, carrying period, refinance LTV/rate/costs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Phase-based sources/uses; deferred until advanced release</w:t>
            </w:r>
          </w:p>
        </w:tc>
      </w:tr>
    </w:tbl>
    <w:p>
      <w:pPr>
        <w:spacing w:after="0"/>
      </w:pPr>
    </w:p>
    <w:p>
      <w:pPr>
        <w:pStyle w:val="Heading2"/>
        <w:keepNext/>
      </w:pPr>
      <w:r>
        <w:t>4.4 Verdict and confidence model</w:t>
      </w:r>
    </w:p>
    <w:p>
      <w:pPr>
        <w:spacing w:after="120" w:line="264" w:lineRule="auto"/>
      </w:pPr>
      <w:r>
        <w:rPr>
          <w:rFonts w:ascii="Aptos" w:hAnsi="Aptos"/>
          <w:color w:val="202A33"/>
        </w:rPr>
        <w:t>The verdict must be rule-based and market-configurable. The score is not a promise of performance. It summarizes the selected strategy against the user’s thresholds and the completeness of the evidence.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12"/>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Verdict</w:t>
            </w:r>
          </w:p>
        </w:tc>
        <w:tc>
          <w:tcPr>
            <w:tcW w:type="dxa" w:w="525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Illustrative condition</w:t>
            </w:r>
          </w:p>
        </w:tc>
        <w:tc>
          <w:tcPr>
            <w:tcW w:type="dxa" w:w="2592"/>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Presentation</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Strong</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All hard thresholds pass; positive stress margin; no severe flags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Green; “survives selected stress case”</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Workable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Core thresholds pass but one material weakness exists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Blue; state tradeoff</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Marginal</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One core threshold narrowly fails or stress case turns materially negative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Gold; identify required change</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High Risk</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Severe leverage, negative base cash flow, unresolved balloon, or multiple failures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Red; no celebratory language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Incomplete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Missing required assumptions or validation errors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Gray; analysis withheld where unreliable</w:t>
            </w:r>
          </w:p>
        </w:tc>
      </w:tr>
    </w:tbl>
    <w:p>
      <w:pPr>
        <w:spacing w:after="0"/>
      </w:pPr>
    </w:p>
    <w:p>
      <w:pPr>
        <w:spacing w:after="120" w:line="264" w:lineRule="auto"/>
      </w:pPr>
      <w:r>
        <w:rPr>
          <w:rFonts w:ascii="Aptos" w:hAnsi="Aptos"/>
          <w:color w:val="202A33"/>
        </w:rPr>
        <w:t>Confidence is computed separately from attractiveness. It falls when the user relies on unknown values, broad estimates, unsupported rents, stale data, or internally inconsistent assumptions. A deal can be “Strong / Low confidence” or “Marginal / High confidence.”</w:t>
      </w:r>
    </w:p>
    <w:p>
      <w:pPr>
        <w:pStyle w:val="Heading2"/>
        <w:keepNext/>
      </w:pPr>
      <w:r>
        <w:t>4.5 Risk rule catalog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44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Rule code</w:t>
            </w:r>
          </w:p>
        </w:tc>
        <w:tc>
          <w:tcPr>
            <w:tcW w:type="dxa" w:w="381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Trigger example</w:t>
            </w:r>
          </w:p>
        </w:tc>
        <w:tc>
          <w:tcPr>
            <w:tcW w:type="dxa" w:w="410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Message behavior</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DATA-001</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Taxes, insurance, vacancy, maintenance, or closing costs missing</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Mark incomplete; propose a visible placeholder only after consent</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FIN-002</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Balloon due within 36 months without refinance or payoff capacity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Show date, amount, and required refinance proceeds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LEV-003</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LTC or LTV exceeds user threshold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Explain leverage and price/down-payment correction</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CASH-004</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Base monthly cash flow ≤ 0</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Name the expense/debt drivers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DSCR-005</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DSCR below target</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Show NOI or debt-service change required to pass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RENT-006</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Rent assumption exceeds source evidence or user’s cap</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Request source/label as “unverified”</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REHAB-007</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 contingency or contingency below configured minimum</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Show dollar shortfall</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EXIT-008</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Projected return depends primarily on appreciation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Separate operating return from appreciation return</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RATE-009</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Deal fails selected rate shock</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Show maximum viable rate or price</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CONC-010</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Single large unit/tenant drives most income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Flag concentration and vacancy impact</w:t>
            </w:r>
          </w:p>
        </w:tc>
      </w:tr>
    </w:tbl>
    <w:p>
      <w:pPr>
        <w:spacing w:after="0"/>
      </w:pPr>
    </w:p>
    <w:p>
      <w:pPr>
        <w:pStyle w:val="Heading1"/>
        <w:keepNext/>
      </w:pPr>
      <w:r>
        <w:t>5. System Architecture</w:t>
      </w:r>
    </w:p>
    <w:p>
      <w:pPr>
        <w:pStyle w:val="Heading2"/>
        <w:keepNext/>
      </w:pPr>
      <w:r>
        <w:t>5.1 Recommended native stack</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Layer</w:t>
            </w:r>
          </w:p>
        </w:tc>
        <w:tc>
          <w:tcPr>
            <w:tcW w:type="dxa" w:w="302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Technology</w:t>
            </w:r>
          </w:p>
        </w:tc>
        <w:tc>
          <w:tcPr>
            <w:tcW w:type="dxa" w:w="453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Responsibility</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Presentation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SwiftUI</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Adaptive iPhone/iPad views, navigation, forms, accessibility</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State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Observation + feature-scoped view models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Edit buffers, validation state, asynchronous tasks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Domain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Pure Swift package: DealCore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Entities, value types, rules, formula orchestration</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Math</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Decimal-based CalculationKit module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Amortization, operating metrics, returns, stress grids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Persistence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SwiftData repository abstraction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Local deal graphs, scenarios, snapshots, migrations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Sync — Phase 2</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CloudKit-backed synchronization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Private user data across Apple devices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Charts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Swift Charts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Sensitivity, equity, payoff, and cash-flow visualizations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Purchase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StoreKit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Entitlements and subscription presentation</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Export</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PDFKit/Core Graphics + CSV encoder</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Versioned underwriting packet</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Assisted explanation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Foundation Models where available; deterministic fallback</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Rewrite reason codes only; never invent or recalculate values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Diagnostics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OSLog + privacy-safe opt-in analytics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Errors and product events without raw financial payloads</w:t>
            </w:r>
          </w:p>
        </w:tc>
      </w:tr>
    </w:tbl>
    <w:p>
      <w:pPr>
        <w:spacing w:after="0"/>
      </w:pPr>
    </w:p>
    <w:p>
      <w:pPr>
        <w:pStyle w:val="Heading2"/>
        <w:keepNext/>
      </w:pPr>
      <w:r>
        <w:t>5.2 Dependency boundaries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Module</w:t>
            </w:r>
          </w:p>
        </w:tc>
        <w:tc>
          <w:tcPr>
            <w:tcW w:type="dxa" w:w="345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May depend on</w:t>
            </w:r>
          </w:p>
        </w:tc>
        <w:tc>
          <w:tcPr>
            <w:tcW w:type="dxa" w:w="396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Must not depend on</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DealCore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Foundation, CalculationKit</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SwiftUI, SwiftData, network, AI</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CalculationKit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Foundation Decimal</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UI, persistence, locale, clock</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PersistenceKit</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SwiftData, DealCore mapping</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Views or formula implementations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Feature modules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DealCore protocols, design system</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Concrete persistence where mockable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ExplanationKit</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Reason-code DTOs, optional model adapter</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Mutable deal state or direct calculation</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ExportKit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Immutable CalculationSnapshot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Live UI state or unversioned formulas</w:t>
            </w:r>
          </w:p>
        </w:tc>
      </w:tr>
    </w:tbl>
    <w:p>
      <w:pPr>
        <w:spacing w:after="0"/>
      </w:pPr>
    </w:p>
    <w:p>
      <w:pPr>
        <w:pStyle w:val="Heading2"/>
        <w:keepNext/>
      </w:pPr>
      <w:r>
        <w:t>5.3 Suggested Xcode package structure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7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Target</w:t>
            </w:r>
          </w:p>
        </w:tc>
        <w:tc>
          <w:tcPr>
            <w:tcW w:type="dxa" w:w="698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Representative contents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RealityCheckerApp</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App entry, dependency container, navigation shell</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DealCore</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Deal, Scenario, DebtLayer, Assumption, ValidationIssue, Verdict</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CalculationKit</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OperatingCalculator, AmortizationCalculator, ReturnCalculator, SensitivityEngine</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PersistenceKit</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SwiftData models, repositories, migration plans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FeatureDealEntry</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Guided input workflow and reusable field components</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FeatureDashboard</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Verdict, metric cards, drivers, risk details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FeatureScenarios</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Scenario duplication, diffs, sensitivity controls</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ExplanationKit</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Templates, reason renderer, optional Foundation Models adapter</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ExportKit</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Report DTO, PDF builder, CSV encoder</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DesignSystem</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Tokens, cards, forms, charts, accessibility helpers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TestFixtures</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Golden deals, expected schedules, edge cases</w:t>
            </w:r>
          </w:p>
        </w:tc>
      </w:tr>
    </w:tbl>
    <w:p>
      <w:pPr>
        <w:spacing w:after="0"/>
      </w:pPr>
    </w:p>
    <w:p>
      <w:pPr>
        <w:pStyle w:val="Heading2"/>
        <w:keepNext/>
      </w:pPr>
      <w:r>
        <w:t>5.4 Data flow</w:t>
      </w:r>
    </w:p>
    <w:p>
      <w:pPr>
        <w:spacing w:after="80" w:line="264" w:lineRule="auto"/>
        <w:ind w:left="461" w:hanging="317"/>
      </w:pPr>
      <w:r>
        <w:rPr>
          <w:rFonts w:ascii="Aptos" w:hAnsi="Aptos"/>
          <w:color w:val="202A33"/>
        </w:rPr>
        <w:t>1.  The UI edits a DraftDeal value rather than mutating the saved object field-by-field.</w:t>
      </w:r>
    </w:p>
    <w:p>
      <w:pPr>
        <w:spacing w:after="80" w:line="264" w:lineRule="auto"/>
        <w:ind w:left="461" w:hanging="317"/>
      </w:pPr>
      <w:r>
        <w:rPr>
          <w:rFonts w:ascii="Aptos" w:hAnsi="Aptos"/>
          <w:color w:val="202A33"/>
        </w:rPr>
        <w:t>2.  Validation runs continuously but calculations execute only when minimum required inputs are valid.</w:t>
      </w:r>
    </w:p>
    <w:p>
      <w:pPr>
        <w:spacing w:after="80" w:line="264" w:lineRule="auto"/>
        <w:ind w:left="461" w:hanging="317"/>
      </w:pPr>
      <w:r>
        <w:rPr>
          <w:rFonts w:ascii="Aptos" w:hAnsi="Aptos"/>
          <w:color w:val="202A33"/>
        </w:rPr>
        <w:t>3.  The orchestrator converts DraftDeal to CanonicalDeal and invokes the pure calculation pipeline.</w:t>
      </w:r>
    </w:p>
    <w:p>
      <w:pPr>
        <w:spacing w:after="80" w:line="264" w:lineRule="auto"/>
        <w:ind w:left="461" w:hanging="317"/>
      </w:pPr>
      <w:r>
        <w:rPr>
          <w:rFonts w:ascii="Aptos" w:hAnsi="Aptos"/>
          <w:color w:val="202A33"/>
        </w:rPr>
        <w:t>4.  Results return as an immutable CalculationSnapshot containing inputs, outputs, reason codes, formula version, and timestamp.</w:t>
      </w:r>
    </w:p>
    <w:p>
      <w:pPr>
        <w:spacing w:after="80" w:line="264" w:lineRule="auto"/>
        <w:ind w:left="461" w:hanging="317"/>
      </w:pPr>
      <w:r>
        <w:rPr>
          <w:rFonts w:ascii="Aptos" w:hAnsi="Aptos"/>
          <w:color w:val="202A33"/>
        </w:rPr>
        <w:t>5.  The repository saves the deal and snapshot atomically. Exports consume the saved snapshot—not transient UI values.</w:t>
      </w:r>
    </w:p>
    <w:p>
      <w:pPr>
        <w:pStyle w:val="Heading1"/>
        <w:keepNext/>
      </w:pPr>
      <w:r>
        <w:t>6. Domain and Data Model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Entity/value</w:t>
            </w:r>
          </w:p>
        </w:tc>
        <w:tc>
          <w:tcPr>
            <w:tcW w:type="dxa" w:w="424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Key fields</w:t>
            </w:r>
          </w:p>
        </w:tc>
        <w:tc>
          <w:tcPr>
            <w:tcW w:type="dxa" w:w="316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Lifecycle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Deal</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id, name, address, strategy, status, created/updated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Long-lived aggregate root</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Property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type, units, beds/baths, sqft, year, occupancy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Owned by Deal</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Scenario</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name, assumptionSet, financingPlan, selected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Many per Deal</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Assumption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key, Decimal value, unit, sourceType, confidence, note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Versioned within Scenario</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IncomeLine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category, amount, frequency, unit/tenant, collection factor</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Scenario component</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ExpenseLine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category, amount, frequency, inclusionInNOI, escalation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Scenario component</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DebtLayer</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type, lien position, principal, rate, amortization, term, payment rule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Scenario component</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ProjectPhase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acquisition, rehab, lease-up, refinance, operation, exit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Advanced strategies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CalculationSnapshot</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input hash, formula version, metrics, flags, verdict</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Immutable audit record</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SourceRecord</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manual, listing, document, estimate, verified; date and note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Evidence metadata, not raw document by default</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ExportRecord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snapshot id, format, creation date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Optional local history</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UserDefaultsProfile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market defaults, thresholds, rounding, methodology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Reusable settings</w:t>
            </w:r>
          </w:p>
        </w:tc>
      </w:tr>
    </w:tbl>
    <w:p>
      <w:pPr>
        <w:spacing w:after="0"/>
      </w:pPr>
    </w:p>
    <w:p>
      <w:pPr>
        <w:pStyle w:val="Heading2"/>
        <w:keepNext/>
      </w:pPr>
      <w:r>
        <w:t>6.1 Money, rates, and time</w:t>
      </w:r>
    </w:p>
    <w:p>
      <w:pPr>
        <w:pStyle w:val="ListBullet"/>
        <w:spacing w:after="60" w:line="264" w:lineRule="auto"/>
      </w:pPr>
      <w:r>
        <w:rPr>
          <w:rFonts w:ascii="Aptos" w:hAnsi="Aptos"/>
          <w:color w:val="202A33"/>
        </w:rPr>
        <w:t>Use Decimal for all monetary, rate, and percentage calculations; never Double in the domain engine.</w:t>
      </w:r>
    </w:p>
    <w:p>
      <w:pPr>
        <w:pStyle w:val="ListBullet"/>
        <w:spacing w:after="60" w:line="264" w:lineRule="auto"/>
      </w:pPr>
      <w:r>
        <w:rPr>
          <w:rFonts w:ascii="Aptos" w:hAnsi="Aptos"/>
          <w:color w:val="202A33"/>
        </w:rPr>
        <w:t>Store currency as ISO 4217 code with amount. MVP supports USD but the model remains currency-aware.</w:t>
      </w:r>
    </w:p>
    <w:p>
      <w:pPr>
        <w:pStyle w:val="ListBullet"/>
        <w:spacing w:after="60" w:line="264" w:lineRule="auto"/>
      </w:pPr>
      <w:r>
        <w:rPr>
          <w:rFonts w:ascii="Aptos" w:hAnsi="Aptos"/>
          <w:color w:val="202A33"/>
        </w:rPr>
        <w:t>Store rates canonically as decimal fractions (7% = 0.07) and convert only at input/output boundaries.</w:t>
      </w:r>
    </w:p>
    <w:p>
      <w:pPr>
        <w:pStyle w:val="ListBullet"/>
        <w:spacing w:after="60" w:line="264" w:lineRule="auto"/>
      </w:pPr>
      <w:r>
        <w:rPr>
          <w:rFonts w:ascii="Aptos" w:hAnsi="Aptos"/>
          <w:color w:val="202A33"/>
        </w:rPr>
        <w:t>Persist both contractual dates and derived period counts when maturity timing matters.</w:t>
      </w:r>
    </w:p>
    <w:p>
      <w:pPr>
        <w:pStyle w:val="ListBullet"/>
        <w:spacing w:after="60" w:line="264" w:lineRule="auto"/>
      </w:pPr>
      <w:r>
        <w:rPr>
          <w:rFonts w:ascii="Aptos" w:hAnsi="Aptos"/>
          <w:color w:val="202A33"/>
        </w:rPr>
        <w:t>Rounding policy is explicit: retain precision internally, round currency at presentation, and define payment-schedule rounding in formula metadata.</w:t>
      </w:r>
    </w:p>
    <w:p>
      <w:pPr>
        <w:pStyle w:val="Heading2"/>
        <w:keepNext/>
      </w:pPr>
      <w:r>
        <w:t>6.2 Snapshot contract</w:t>
      </w:r>
    </w:p>
    <w:p>
      <w:pPr>
        <w:spacing w:after="120" w:line="264" w:lineRule="auto"/>
      </w:pPr>
      <w:r>
        <w:rPr>
          <w:rFonts w:ascii="Aptos" w:hAnsi="Aptos"/>
          <w:color w:val="202A33"/>
        </w:rPr>
        <w:t>Every displayed or exported conclusion must be traceable to a CalculationSnapshot with: snapshot ID; deal/scenario IDs; normalized inputs; assumption sources and confidence; validation issues; formula and rule-set versions; outputs before display rounding; verdict and reason codes; stress ranges; creation time; and an input-content hash. Snapshots are append-only.</w:t>
      </w:r>
    </w:p>
    <w:p>
      <w:pPr>
        <w:pStyle w:val="Heading1"/>
        <w:keepNext/>
      </w:pPr>
      <w:r>
        <w:t>7. API and Backend Strategy</w:t>
      </w:r>
    </w:p>
    <w:tbl>
      <w:tblPr>
        <w:tblW w:type="auto" w:w="0"/>
        <w:jc w:val="center"/>
        <w:tblLayout w:type="fixed"/>
        <w:tblLook w:firstColumn="1" w:firstRow="1" w:lastColumn="0" w:lastRow="0" w:noHBand="0" w:noVBand="1" w:val="04A0"/>
      </w:tblPr>
      <w:tblGrid>
        <w:gridCol w:w="9360"/>
      </w:tblGrid>
      <w:tr>
        <w:tc>
          <w:tcPr>
            <w:tcW w:type="dxa" w:w="9360"/>
            <w:shd w:fill="EEF3F6"/>
            <w:vAlign w:val="center"/>
            <w:tcMar>
              <w:top w:w="90" w:type="dxa"/>
              <w:start w:w="120" w:type="dxa"/>
              <w:bottom w:w="90" w:type="dxa"/>
              <w:end w:w="120" w:type="dxa"/>
            </w:tcMar>
          </w:tcPr>
          <w:p>
            <w:pPr>
              <w:spacing w:after="0" w:line="252" w:lineRule="auto"/>
              <w:jc w:val="left"/>
            </w:pPr>
            <w:r/>
            <w:r>
              <w:rPr>
                <w:rFonts w:ascii="Aptos" w:hAnsi="Aptos"/>
                <w:b w:val="0"/>
                <w:color w:val="17324D"/>
                <w:sz w:val="20"/>
              </w:rPr>
            </w:r>
            <w:r>
              <w:rPr>
                <w:b/>
                <w:color w:val="17324D"/>
              </w:rPr>
              <w:t xml:space="preserve">MVP DECISION  </w:t>
            </w:r>
            <w:r>
              <w:rPr>
                <w:color w:val="202A33"/>
              </w:rPr>
              <w:t>No custom backend is required. Local-first operation reduces cost, privacy exposure, authentication friction, and failure modes. Add a server only when a validated feature needs it.</w:t>
            </w:r>
          </w:p>
        </w:tc>
      </w:tr>
    </w:tbl>
    <w:p>
      <w:pPr>
        <w:spacing w:after="0"/>
      </w:pPr>
    </w:p>
    <w:p>
      <w:pPr>
        <w:pStyle w:val="Heading2"/>
        <w:keepNext/>
      </w:pPr>
      <w:r>
        <w:t>7.1 Backend introduction triggers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0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Trigger</w:t>
            </w:r>
          </w:p>
        </w:tc>
        <w:tc>
          <w:tcPr>
            <w:tcW w:type="dxa" w:w="374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Backend capability</w:t>
            </w:r>
          </w:p>
        </w:tc>
        <w:tc>
          <w:tcPr>
            <w:tcW w:type="dxa" w:w="3312"/>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Constraint</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Cross-platform collaboration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Accounts, teams, sharing, conflict handling</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Requires explicit user consent and tenant isolation</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External property data</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Proxy, provider credentials, rate limits, provenance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Never silently overwrite user assumptions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Document extraction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Secure upload, OCR/vision pipeline, retention controls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Require field-by-field confirmation</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Server-generated reports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Job queue and durable artifact store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Snapshot remains canonical input</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Portfolio monitoring</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Scheduled data refresh and notifications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Opt-in; disclose source freshness and limitations</w:t>
            </w:r>
          </w:p>
        </w:tc>
      </w:tr>
    </w:tbl>
    <w:p>
      <w:pPr>
        <w:spacing w:after="0"/>
      </w:pPr>
    </w:p>
    <w:p>
      <w:pPr>
        <w:pStyle w:val="Heading2"/>
        <w:keepNext/>
      </w:pPr>
      <w:r>
        <w:t>7.2 Future service boundaries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Service</w:t>
            </w:r>
          </w:p>
        </w:tc>
        <w:tc>
          <w:tcPr>
            <w:tcW w:type="dxa" w:w="712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Example endpoints/events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Identity</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Sign in with Apple; user and organization claims</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Deal Sync</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GET/POST deal envelopes; optimistic version guard</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Property Data</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Search, taxes, estimates, source and observed date</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Document Intake</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Upload session, extraction job, candidate fields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Report</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Create report from immutable snapshot</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Entitlement</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Receipt/server notification reconciliation if needed</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Event</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deal.created, snapshot.calculated, report.generated</w:t>
            </w:r>
          </w:p>
        </w:tc>
      </w:tr>
    </w:tbl>
    <w:p>
      <w:pPr>
        <w:spacing w:after="0"/>
      </w:pPr>
    </w:p>
    <w:p>
      <w:pPr>
        <w:pStyle w:val="Heading1"/>
        <w:keepNext/>
      </w:pPr>
      <w:r>
        <w:t>8. Privacy, Security, and Compliance</w:t>
      </w:r>
    </w:p>
    <w:p>
      <w:pPr>
        <w:pStyle w:val="Heading2"/>
        <w:keepNext/>
      </w:pPr>
      <w:r>
        <w:t>8.1 Data classification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Class</w:t>
            </w:r>
          </w:p>
        </w:tc>
        <w:tc>
          <w:tcPr>
            <w:tcW w:type="dxa" w:w="345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Examples</w:t>
            </w:r>
          </w:p>
        </w:tc>
        <w:tc>
          <w:tcPr>
            <w:tcW w:type="dxa" w:w="388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Default protection</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Public/low sensitivity</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Generic methodology and definitions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Bundled content</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User confidential</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Addresses, purchase prices, loan terms, cash position</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On-device storage; protected files; no logs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Derived confidential</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Verdicts, returns, risk flags, reports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Same as inputs; explicit share action</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Credentials/secrets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Provider tokens or backend secrets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Keychain; never embedded in app binary</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Telemetry</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Feature events and crash metadata</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Minimized, opt-in where practical, no raw deal fields</w:t>
            </w:r>
          </w:p>
        </w:tc>
      </w:tr>
    </w:tbl>
    <w:p>
      <w:pPr>
        <w:spacing w:after="0"/>
      </w:pPr>
    </w:p>
    <w:p>
      <w:pPr>
        <w:pStyle w:val="Heading2"/>
        <w:keepNext/>
      </w:pPr>
      <w:r>
        <w:t>8.2 Security controls</w:t>
      </w:r>
    </w:p>
    <w:p>
      <w:pPr>
        <w:pStyle w:val="ListBullet"/>
        <w:spacing w:after="60" w:line="264" w:lineRule="auto"/>
      </w:pPr>
      <w:r>
        <w:rPr>
          <w:rFonts w:ascii="Aptos" w:hAnsi="Aptos"/>
          <w:color w:val="202A33"/>
        </w:rPr>
        <w:t>Use iOS Data Protection and Keychain; prevent sensitive values from entering OSLog.</w:t>
      </w:r>
    </w:p>
    <w:p>
      <w:pPr>
        <w:pStyle w:val="ListBullet"/>
        <w:spacing w:after="60" w:line="264" w:lineRule="auto"/>
      </w:pPr>
      <w:r>
        <w:rPr>
          <w:rFonts w:ascii="Aptos" w:hAnsi="Aptos"/>
          <w:color w:val="202A33"/>
        </w:rPr>
        <w:t>Support optional Face ID/Touch ID app lock without inventing a second encryption scheme.</w:t>
      </w:r>
    </w:p>
    <w:p>
      <w:pPr>
        <w:pStyle w:val="ListBullet"/>
        <w:spacing w:after="60" w:line="264" w:lineRule="auto"/>
      </w:pPr>
      <w:r>
        <w:rPr>
          <w:rFonts w:ascii="Aptos" w:hAnsi="Aptos"/>
          <w:color w:val="202A33"/>
        </w:rPr>
        <w:t>Use ephemeral export files and clear them after share completion when safe.</w:t>
      </w:r>
    </w:p>
    <w:p>
      <w:pPr>
        <w:pStyle w:val="ListBullet"/>
        <w:spacing w:after="60" w:line="264" w:lineRule="auto"/>
      </w:pPr>
      <w:r>
        <w:rPr>
          <w:rFonts w:ascii="Aptos" w:hAnsi="Aptos"/>
          <w:color w:val="202A33"/>
        </w:rPr>
        <w:t>Apply least privilege to photo, camera, files, notification, and network permissions.</w:t>
      </w:r>
    </w:p>
    <w:p>
      <w:pPr>
        <w:pStyle w:val="ListBullet"/>
        <w:spacing w:after="60" w:line="264" w:lineRule="auto"/>
      </w:pPr>
      <w:r>
        <w:rPr>
          <w:rFonts w:ascii="Aptos" w:hAnsi="Aptos"/>
          <w:color w:val="202A33"/>
        </w:rPr>
        <w:t>Pin calculation snapshots to formula versions; migrations never rewrite historical results.</w:t>
      </w:r>
    </w:p>
    <w:p>
      <w:pPr>
        <w:pStyle w:val="ListBullet"/>
        <w:spacing w:after="60" w:line="264" w:lineRule="auto"/>
      </w:pPr>
      <w:r>
        <w:rPr>
          <w:rFonts w:ascii="Aptos" w:hAnsi="Aptos"/>
          <w:color w:val="202A33"/>
        </w:rPr>
        <w:t>Threat-model malicious documents before assisted intake; constrain file size/type and isolate parsing.</w:t>
      </w:r>
    </w:p>
    <w:p>
      <w:pPr>
        <w:pStyle w:val="ListBullet"/>
        <w:spacing w:after="60" w:line="264" w:lineRule="auto"/>
      </w:pPr>
      <w:r>
        <w:rPr>
          <w:rFonts w:ascii="Aptos" w:hAnsi="Aptos"/>
          <w:color w:val="202A33"/>
        </w:rPr>
        <w:t>Provide data export and delete controls; explain iCloud implications if sync is enabled.</w:t>
      </w:r>
    </w:p>
    <w:p>
      <w:pPr>
        <w:pStyle w:val="Heading2"/>
        <w:keepNext/>
      </w:pPr>
      <w:r>
        <w:t>8.3 Claims and disclosures</w:t>
      </w:r>
    </w:p>
    <w:p>
      <w:pPr>
        <w:spacing w:after="120" w:line="264" w:lineRule="auto"/>
      </w:pPr>
      <w:r>
        <w:rPr>
          <w:rFonts w:ascii="Aptos" w:hAnsi="Aptos"/>
          <w:color w:val="202A33"/>
        </w:rPr>
        <w:t>The onboarding, methodology, report footer, and App Store description should state that the app provides educational calculation and organizational tools; values depend on user assumptions; estimates are not appraisals or lending decisions; taxes and legal consequences require qualified professionals; and no result guarantees profitability or financing availability.</w:t>
      </w:r>
    </w:p>
    <w:p>
      <w:pPr>
        <w:pStyle w:val="Heading1"/>
        <w:keepNext/>
      </w:pPr>
      <w:r>
        <w:t>9. AI and Assisted Intelligence</w:t>
      </w:r>
    </w:p>
    <w:tbl>
      <w:tblPr>
        <w:tblW w:type="auto" w:w="0"/>
        <w:jc w:val="center"/>
        <w:tblLayout w:type="fixed"/>
        <w:tblLook w:firstColumn="1" w:firstRow="1" w:lastColumn="0" w:lastRow="0" w:noHBand="0" w:noVBand="1" w:val="04A0"/>
      </w:tblPr>
      <w:tblGrid>
        <w:gridCol w:w="9360"/>
      </w:tblGrid>
      <w:tr>
        <w:tc>
          <w:tcPr>
            <w:tcW w:type="dxa" w:w="9360"/>
            <w:shd w:fill="EEF3F6"/>
            <w:vAlign w:val="center"/>
            <w:tcMar>
              <w:top w:w="90" w:type="dxa"/>
              <w:start w:w="120" w:type="dxa"/>
              <w:bottom w:w="90" w:type="dxa"/>
              <w:end w:w="120" w:type="dxa"/>
            </w:tcMar>
          </w:tcPr>
          <w:p>
            <w:pPr>
              <w:spacing w:after="0" w:line="252" w:lineRule="auto"/>
              <w:jc w:val="left"/>
            </w:pPr>
            <w:r/>
            <w:r>
              <w:rPr>
                <w:rFonts w:ascii="Aptos" w:hAnsi="Aptos"/>
                <w:b w:val="0"/>
                <w:color w:val="17324D"/>
                <w:sz w:val="20"/>
              </w:rPr>
            </w:r>
            <w:r>
              <w:rPr>
                <w:b/>
                <w:color w:val="17324D"/>
              </w:rPr>
              <w:t xml:space="preserve">HARD BOUNDARY  </w:t>
            </w:r>
            <w:r>
              <w:rPr>
                <w:color w:val="202A33"/>
              </w:rPr>
              <w:t>AI may restate, classify, or extract candidate values. It may not become the source of record for formulas, silently supply missing assumptions, alter saved numbers, or issue a deal verdict independently.</w:t>
            </w:r>
          </w:p>
        </w:tc>
      </w:tr>
    </w:tbl>
    <w:p>
      <w:pPr>
        <w:spacing w:after="0"/>
      </w:pPr>
    </w:p>
    <w:p>
      <w:pPr>
        <w:pStyle w:val="Heading2"/>
        <w:keepNext/>
      </w:pPr>
      <w:r>
        <w:t>9.1 Approved AI use cases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Use case</w:t>
            </w:r>
          </w:p>
        </w:tc>
        <w:tc>
          <w:tcPr>
            <w:tcW w:type="dxa" w:w="338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Input</w:t>
            </w:r>
          </w:p>
        </w:tc>
        <w:tc>
          <w:tcPr>
            <w:tcW w:type="dxa" w:w="388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Guardrail</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Plain-language explanation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Reason codes and numeric evidence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Generated text validated against structured facts; template fallback</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Field help</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Selected term and user context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No personalized investment direction</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Document candidate extraction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User-selected image/PDF</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Every candidate shows source region and requires confirmation</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Scenario suggestions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Deal type and incomplete categories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Suggestions are not applied automatically</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Natural-language command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“Increase vacancy to 10%”</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Preview exact mutation and request confirmation</w:t>
            </w:r>
          </w:p>
        </w:tc>
      </w:tr>
    </w:tbl>
    <w:p>
      <w:pPr>
        <w:spacing w:after="0"/>
      </w:pPr>
    </w:p>
    <w:p>
      <w:pPr>
        <w:pStyle w:val="Heading2"/>
        <w:keepNext/>
      </w:pPr>
      <w:r>
        <w:t>9.2 Explanation contract</w:t>
      </w:r>
    </w:p>
    <w:p>
      <w:pPr>
        <w:spacing w:after="80" w:line="264" w:lineRule="auto"/>
        <w:ind w:left="461" w:hanging="317"/>
      </w:pPr>
      <w:r>
        <w:rPr>
          <w:rFonts w:ascii="Aptos" w:hAnsi="Aptos"/>
          <w:color w:val="202A33"/>
        </w:rPr>
        <w:t>1.  The engine produces machine-readable reason codes with metric value, threshold, direction, and corrective delta.</w:t>
      </w:r>
    </w:p>
    <w:p>
      <w:pPr>
        <w:spacing w:after="80" w:line="264" w:lineRule="auto"/>
        <w:ind w:left="461" w:hanging="317"/>
      </w:pPr>
      <w:r>
        <w:rPr>
          <w:rFonts w:ascii="Aptos" w:hAnsi="Aptos"/>
          <w:color w:val="202A33"/>
        </w:rPr>
        <w:t>2.  A deterministic template generates a complete explanation on every supported device.</w:t>
      </w:r>
    </w:p>
    <w:p>
      <w:pPr>
        <w:spacing w:after="80" w:line="264" w:lineRule="auto"/>
        <w:ind w:left="461" w:hanging="317"/>
      </w:pPr>
      <w:r>
        <w:rPr>
          <w:rFonts w:ascii="Aptos" w:hAnsi="Aptos"/>
          <w:color w:val="202A33"/>
        </w:rPr>
        <w:t>3.  An on-device language model may improve phrasing using only the structured explanation DTO.</w:t>
      </w:r>
    </w:p>
    <w:p>
      <w:pPr>
        <w:spacing w:after="80" w:line="264" w:lineRule="auto"/>
        <w:ind w:left="461" w:hanging="317"/>
      </w:pPr>
      <w:r>
        <w:rPr>
          <w:rFonts w:ascii="Aptos" w:hAnsi="Aptos"/>
          <w:color w:val="202A33"/>
        </w:rPr>
        <w:t>4.  Post-generation checks reject unsupported numbers, claims, and absent variables.</w:t>
      </w:r>
    </w:p>
    <w:p>
      <w:pPr>
        <w:spacing w:after="80" w:line="264" w:lineRule="auto"/>
        <w:ind w:left="461" w:hanging="317"/>
      </w:pPr>
      <w:r>
        <w:rPr>
          <w:rFonts w:ascii="Aptos" w:hAnsi="Aptos"/>
          <w:color w:val="202A33"/>
        </w:rPr>
        <w:t>5.  The UI labels calculations and assumptions separately from generated commentary.</w:t>
      </w:r>
    </w:p>
    <w:p>
      <w:pPr>
        <w:pStyle w:val="Heading1"/>
        <w:keepNext/>
      </w:pPr>
      <w:r>
        <w:t>10. Testing and Quality Architecture</w:t>
      </w:r>
    </w:p>
    <w:p>
      <w:pPr>
        <w:pStyle w:val="Heading2"/>
        <w:keepNext/>
      </w:pPr>
      <w:r>
        <w:t>10.1 Test pyramid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Layer</w:t>
            </w:r>
          </w:p>
        </w:tc>
        <w:tc>
          <w:tcPr>
            <w:tcW w:type="dxa" w:w="4392"/>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Coverage</w:t>
            </w:r>
          </w:p>
        </w:tc>
        <w:tc>
          <w:tcPr>
            <w:tcW w:type="dxa" w:w="302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Release gate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Calculation unit tests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Every formula, boundary, rounding, debt schedule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100% of formula paths; no unexplained changes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Golden fixtures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Representative cash, conventional, IO, balloon, seller-finance, BRRRR cases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Outputs match independently reviewed fixtures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Property-based tests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Rate/term/value ranges and invariants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 negative balances or NaN; monotonic relationships hold</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Rule tests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Each risk trigger, suppression, priority, corrective delta</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Every reason code deterministic</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Repository tests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Create/update/snapshot/migration/rollback</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 snapshot mutation or data loss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UI tests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Golden path, validation, scenario switch, export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Critical flow passes on smallest supported iPhone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Accessibility tests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Dynamic Type, VoiceOver labels/order, contrast, reduce motion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 blocker; charts have text alternatives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Performance tests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Recalculation, large scenario grids, launch, export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Interactive recalculation target &lt;150 ms for standard deal</w:t>
            </w:r>
          </w:p>
        </w:tc>
      </w:tr>
    </w:tbl>
    <w:p>
      <w:pPr>
        <w:spacing w:after="0"/>
      </w:pPr>
    </w:p>
    <w:p>
      <w:pPr>
        <w:pStyle w:val="Heading2"/>
        <w:keepNext/>
      </w:pPr>
      <w:r>
        <w:t>10.2 Required golden deals</w:t>
      </w:r>
    </w:p>
    <w:p>
      <w:pPr>
        <w:pStyle w:val="ListBullet"/>
        <w:spacing w:after="60" w:line="264" w:lineRule="auto"/>
      </w:pPr>
      <w:r>
        <w:rPr>
          <w:rFonts w:ascii="Aptos" w:hAnsi="Aptos"/>
          <w:color w:val="202A33"/>
        </w:rPr>
        <w:t>Cash purchase with stable positive NOI.</w:t>
      </w:r>
    </w:p>
    <w:p>
      <w:pPr>
        <w:pStyle w:val="ListBullet"/>
        <w:spacing w:after="60" w:line="264" w:lineRule="auto"/>
      </w:pPr>
      <w:r>
        <w:rPr>
          <w:rFonts w:ascii="Aptos" w:hAnsi="Aptos"/>
          <w:color w:val="202A33"/>
        </w:rPr>
        <w:t>Thirty-year amortizing loan with taxes and insurance.</w:t>
      </w:r>
    </w:p>
    <w:p>
      <w:pPr>
        <w:pStyle w:val="ListBullet"/>
        <w:spacing w:after="60" w:line="264" w:lineRule="auto"/>
      </w:pPr>
      <w:r>
        <w:rPr>
          <w:rFonts w:ascii="Aptos" w:hAnsi="Aptos"/>
          <w:color w:val="202A33"/>
        </w:rPr>
        <w:t>Interest-only note with maturity balloon.</w:t>
      </w:r>
    </w:p>
    <w:p>
      <w:pPr>
        <w:pStyle w:val="ListBullet"/>
        <w:spacing w:after="60" w:line="264" w:lineRule="auto"/>
      </w:pPr>
      <w:r>
        <w:rPr>
          <w:rFonts w:ascii="Aptos" w:hAnsi="Aptos"/>
          <w:color w:val="202A33"/>
        </w:rPr>
        <w:t>Seller-financed first plus deferred subordinate lien.</w:t>
      </w:r>
    </w:p>
    <w:p>
      <w:pPr>
        <w:pStyle w:val="ListBullet"/>
        <w:spacing w:after="60" w:line="264" w:lineRule="auto"/>
      </w:pPr>
      <w:r>
        <w:rPr>
          <w:rFonts w:ascii="Aptos" w:hAnsi="Aptos"/>
          <w:color w:val="202A33"/>
        </w:rPr>
        <w:t>Negative cash-flow deal that appears profitable when repairs are omitted.</w:t>
      </w:r>
    </w:p>
    <w:p>
      <w:pPr>
        <w:pStyle w:val="ListBullet"/>
        <w:spacing w:after="60" w:line="264" w:lineRule="auto"/>
      </w:pPr>
      <w:r>
        <w:rPr>
          <w:rFonts w:ascii="Aptos" w:hAnsi="Aptos"/>
          <w:color w:val="202A33"/>
        </w:rPr>
        <w:t>Zero-vacancy and missing-expense validation cases.</w:t>
      </w:r>
    </w:p>
    <w:p>
      <w:pPr>
        <w:pStyle w:val="ListBullet"/>
        <w:spacing w:after="60" w:line="264" w:lineRule="auto"/>
      </w:pPr>
      <w:r>
        <w:rPr>
          <w:rFonts w:ascii="Aptos" w:hAnsi="Aptos"/>
          <w:color w:val="202A33"/>
        </w:rPr>
        <w:t>Multi-unit property with one vacant unit.</w:t>
      </w:r>
    </w:p>
    <w:p>
      <w:pPr>
        <w:pStyle w:val="ListBullet"/>
        <w:spacing w:after="60" w:line="264" w:lineRule="auto"/>
      </w:pPr>
      <w:r>
        <w:rPr>
          <w:rFonts w:ascii="Aptos" w:hAnsi="Aptos"/>
          <w:color w:val="202A33"/>
        </w:rPr>
        <w:t>Stress case crossing the DSCR threshold.</w:t>
      </w:r>
    </w:p>
    <w:p>
      <w:pPr>
        <w:pStyle w:val="ListBullet"/>
        <w:spacing w:after="60" w:line="264" w:lineRule="auto"/>
      </w:pPr>
      <w:r>
        <w:rPr>
          <w:rFonts w:ascii="Aptos" w:hAnsi="Aptos"/>
          <w:color w:val="202A33"/>
        </w:rPr>
        <w:t>BRRRR refinance that fails from appraisal haircut.</w:t>
      </w:r>
    </w:p>
    <w:p>
      <w:pPr>
        <w:pStyle w:val="Heading2"/>
        <w:keepNext/>
      </w:pPr>
      <w:r>
        <w:t>10.3 Invariants</w:t>
      </w:r>
    </w:p>
    <w:p>
      <w:pPr>
        <w:pStyle w:val="ListBullet"/>
        <w:spacing w:after="60" w:line="264" w:lineRule="auto"/>
      </w:pPr>
      <w:r>
        <w:rPr>
          <w:rFonts w:ascii="Aptos" w:hAnsi="Aptos"/>
          <w:color w:val="202A33"/>
        </w:rPr>
        <w:t>Increasing an expense cannot increase NOI.</w:t>
      </w:r>
    </w:p>
    <w:p>
      <w:pPr>
        <w:pStyle w:val="ListBullet"/>
        <w:spacing w:after="60" w:line="264" w:lineRule="auto"/>
      </w:pPr>
      <w:r>
        <w:rPr>
          <w:rFonts w:ascii="Aptos" w:hAnsi="Aptos"/>
          <w:color w:val="202A33"/>
        </w:rPr>
        <w:t>Increasing vacancy cannot increase effective gross income.</w:t>
      </w:r>
    </w:p>
    <w:p>
      <w:pPr>
        <w:pStyle w:val="ListBullet"/>
        <w:spacing w:after="60" w:line="264" w:lineRule="auto"/>
      </w:pPr>
      <w:r>
        <w:rPr>
          <w:rFonts w:ascii="Aptos" w:hAnsi="Aptos"/>
          <w:color w:val="202A33"/>
        </w:rPr>
        <w:t>For the same principal and term, increasing interest rate cannot reduce scheduled amortizing payment.</w:t>
      </w:r>
    </w:p>
    <w:p>
      <w:pPr>
        <w:pStyle w:val="ListBullet"/>
        <w:spacing w:after="60" w:line="264" w:lineRule="auto"/>
      </w:pPr>
      <w:r>
        <w:rPr>
          <w:rFonts w:ascii="Aptos" w:hAnsi="Aptos"/>
          <w:color w:val="202A33"/>
        </w:rPr>
        <w:t>Adding funded closing costs cannot reduce initial cash invested.</w:t>
      </w:r>
    </w:p>
    <w:p>
      <w:pPr>
        <w:pStyle w:val="ListBullet"/>
        <w:spacing w:after="60" w:line="264" w:lineRule="auto"/>
      </w:pPr>
      <w:r>
        <w:rPr>
          <w:rFonts w:ascii="Aptos" w:hAnsi="Aptos"/>
          <w:color w:val="202A33"/>
        </w:rPr>
        <w:t>A saved snapshot’s results never change when defaults or formulas are updated.</w:t>
      </w:r>
    </w:p>
    <w:p>
      <w:pPr>
        <w:pStyle w:val="ListBullet"/>
        <w:spacing w:after="60" w:line="264" w:lineRule="auto"/>
      </w:pPr>
      <w:r>
        <w:rPr>
          <w:rFonts w:ascii="Aptos" w:hAnsi="Aptos"/>
          <w:color w:val="202A33"/>
        </w:rPr>
        <w:t>An explanation cannot contain a numeric value absent from its explanation DTO.</w:t>
      </w:r>
    </w:p>
    <w:p>
      <w:pPr>
        <w:pStyle w:val="Heading1"/>
        <w:keepNext/>
      </w:pPr>
      <w:r>
        <w:t>11. Observability and Analytics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Event/metric</w:t>
            </w:r>
          </w:p>
        </w:tc>
        <w:tc>
          <w:tcPr>
            <w:tcW w:type="dxa" w:w="360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Purpose</w:t>
            </w:r>
          </w:p>
        </w:tc>
        <w:tc>
          <w:tcPr>
            <w:tcW w:type="dxa" w:w="410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Privacy rule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deal_started / completed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Measure onboarding funnel</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 address, price, rent, or loan values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validation_blocked</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Find confusing fields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Record field category and rule code only</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scenario_created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Measure advanced use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 scenario values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risk_opened</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Assess explanation usefulness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Reason code only</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export_completed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Measure retained value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Format and success only</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calculation_error</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Detect engine failures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Formula version, error code, anonymized fixture shape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crash/performance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Reliability</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Use platform tooling with data minimization</w:t>
            </w:r>
          </w:p>
        </w:tc>
      </w:tr>
    </w:tbl>
    <w:p>
      <w:pPr>
        <w:spacing w:after="0"/>
      </w:pPr>
    </w:p>
    <w:p>
      <w:pPr>
        <w:pStyle w:val="Heading1"/>
        <w:keepNext/>
      </w:pPr>
      <w:r>
        <w:t>12. Monetization Architecture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Tier</w:t>
            </w:r>
          </w:p>
        </w:tc>
        <w:tc>
          <w:tcPr>
            <w:tcW w:type="dxa" w:w="4392"/>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Suggested entitlement</w:t>
            </w:r>
          </w:p>
        </w:tc>
        <w:tc>
          <w:tcPr>
            <w:tcW w:type="dxa" w:w="288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Notes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Free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Up to 3 active deals; base scenario; core metrics; local storage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Enough value to prove trust</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Pro monthly/annual</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Unlimited deals/scenarios, advanced financing, sensitivity, PDF/CSV export, templates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StoreKit subscription; show annual value clearly</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Advisor — later</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Shared workspaces, branded reports, client notes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Requires backend and administrative controls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One-time founder offer</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Optional lifetime local feature set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Define future cloud/data costs separately</w:t>
            </w:r>
          </w:p>
        </w:tc>
      </w:tr>
    </w:tbl>
    <w:p>
      <w:pPr>
        <w:spacing w:after="0"/>
      </w:pPr>
    </w:p>
    <w:p>
      <w:pPr>
        <w:spacing w:after="120" w:line="264" w:lineRule="auto"/>
      </w:pPr>
      <w:r>
        <w:rPr>
          <w:rFonts w:ascii="Aptos" w:hAnsi="Aptos"/>
          <w:color w:val="202A33"/>
        </w:rPr>
        <w:t>Do not paywall methodology, formula definitions, data export needed for account closure, or the user’s ability to view previously saved calculations. Entitlements should gate productivity and scale—not comprehension of an existing verdict.</w:t>
      </w:r>
    </w:p>
    <w:p>
      <w:pPr>
        <w:pStyle w:val="Heading1"/>
        <w:keepNext/>
      </w:pPr>
      <w:r>
        <w:t>13. Delivery Plan and Team</w:t>
      </w:r>
    </w:p>
    <w:p>
      <w:pPr>
        <w:pStyle w:val="Heading2"/>
        <w:keepNext/>
      </w:pPr>
      <w:r>
        <w:t>13.1 Twelve-week MVP</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44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Sprint</w:t>
            </w:r>
          </w:p>
        </w:tc>
        <w:tc>
          <w:tcPr>
            <w:tcW w:type="dxa" w:w="4392"/>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Build focus</w:t>
            </w:r>
          </w:p>
        </w:tc>
        <w:tc>
          <w:tcPr>
            <w:tcW w:type="dxa" w:w="352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Exit evidence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1–2</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Domain schema, calculation package, formula spec, golden fixtures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Reviewed math contract and passing fixtures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3–4</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Deal entry, validation, local repository, design system</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Create/reopen standard rental</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5–6</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Debt layers, metrics dashboard, rule engine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Conventional, IO, and balloon cases pass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7–8</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Scenarios, sensitivity, charts, confidence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Threshold crossings and diffs work</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9–10</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Snapshots, exports, methodology, accessibility</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PDF/CSV reproduce snapshot; VoiceOver pass</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11</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StoreKit, privacy disclosures, analytics, polish</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Entitlements and privacy checks</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12</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TestFlight beta, defect burn-down, launch package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 severity-1/2 defects; launch decision</w:t>
            </w:r>
          </w:p>
        </w:tc>
      </w:tr>
    </w:tbl>
    <w:p>
      <w:pPr>
        <w:spacing w:after="0"/>
      </w:pPr>
    </w:p>
    <w:p>
      <w:pPr>
        <w:pStyle w:val="Heading2"/>
        <w:keepNext/>
      </w:pPr>
      <w:r>
        <w:t>13.2 Minimum team</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Role</w:t>
            </w:r>
          </w:p>
        </w:tc>
        <w:tc>
          <w:tcPr>
            <w:tcW w:type="dxa" w:w="648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Accountability</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Product owner / subject expert</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Requirements, underwriting conventions, acceptance, user research</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Senior iOS engineer</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Architecture, SwiftUI, SwiftData, StoreKit, release</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Calculation reviewer</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Independent formula and fixture verification</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Product designer</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Entry flow, dashboard hierarchy, accessibility</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QA — part-time</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Test strategy, device matrix, regression, exports</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Legal/privacy review — milestone</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Claims, disclosures, privacy policy, data handling</w:t>
            </w:r>
          </w:p>
        </w:tc>
      </w:tr>
    </w:tbl>
    <w:p>
      <w:pPr>
        <w:spacing w:after="0"/>
      </w:pPr>
    </w:p>
    <w:p>
      <w:pPr>
        <w:pStyle w:val="Heading2"/>
        <w:keepNext/>
      </w:pPr>
      <w:r>
        <w:t>13.3 Definition of done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936"/>
            <w:vAlign w:val="center"/>
            <w:tcMar>
              <w:top w:w="90" w:type="dxa"/>
              <w:start w:w="120" w:type="dxa"/>
              <w:bottom w:w="90" w:type="dxa"/>
              <w:end w:w="120" w:type="dxa"/>
            </w:tcMar>
            <w:shd w:fill="1E7A74"/>
          </w:tcPr>
          <w:p>
            <w:pPr>
              <w:spacing w:after="0" w:line="252" w:lineRule="auto"/>
              <w:jc w:val="center"/>
            </w:pPr>
            <w:r/>
            <w:r>
              <w:rPr>
                <w:rFonts w:ascii="Aptos" w:hAnsi="Aptos"/>
                <w:b/>
                <w:color w:val="FFFFFF"/>
                <w:sz w:val="18"/>
              </w:rPr>
              <w:t>Status</w:t>
            </w:r>
          </w:p>
        </w:tc>
        <w:tc>
          <w:tcPr>
            <w:tcW w:type="dxa" w:w="8424"/>
            <w:vAlign w:val="center"/>
            <w:tcMar>
              <w:top w:w="90" w:type="dxa"/>
              <w:start w:w="120" w:type="dxa"/>
              <w:bottom w:w="90" w:type="dxa"/>
              <w:end w:w="120" w:type="dxa"/>
            </w:tcMar>
            <w:shd w:fill="1E7A74"/>
          </w:tcPr>
          <w:p>
            <w:pPr>
              <w:spacing w:after="0" w:line="252" w:lineRule="auto"/>
              <w:jc w:val="center"/>
            </w:pPr>
            <w:r/>
            <w:r>
              <w:rPr>
                <w:rFonts w:ascii="Aptos" w:hAnsi="Aptos"/>
                <w:b/>
                <w:color w:val="FFFFFF"/>
                <w:sz w:val="18"/>
              </w:rPr>
              <w:t>Acceptance check</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All displayed metrics reconcile to reviewed golden fixtures.</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Every verdict reason links to visible evidence and threshold.</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Incomplete data cannot create a falsely precise verdict.</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The app completes its core flow offline and without an account.</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Exports identify inputs, assumptions, methodology, formula version, and disclaimers.</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Critical flows pass accessibility and smallest-device checks.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Historical snapshots remain unchanged across upgrade and migration tests.</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App Store privacy, purchase, support, and deletion paths are complete.</w:t>
            </w:r>
          </w:p>
        </w:tc>
      </w:tr>
    </w:tbl>
    <w:p>
      <w:pPr>
        <w:spacing w:after="0"/>
      </w:pPr>
    </w:p>
    <w:p>
      <w:pPr>
        <w:pStyle w:val="Heading1"/>
        <w:keepNext/>
      </w:pPr>
      <w:r>
        <w:t>14. Key Decisions and Open Questions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Decision</w:t>
            </w:r>
          </w:p>
        </w:tc>
        <w:tc>
          <w:tcPr>
            <w:tcW w:type="dxa" w:w="496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Recommendation</w:t>
            </w:r>
          </w:p>
        </w:tc>
        <w:tc>
          <w:tcPr>
            <w:tcW w:type="dxa" w:w="2016"/>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Owner / timing</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Minimum OS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Choose one stable baseline based on target-device research; isolate newer AI APIs behind availability checks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Engineering before implementation</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Cap-rate denominator</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Default to purchase price; offer total project cost as labeled alternate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Product + calculation reviewer</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DSCR convention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Default annual NOI / annual scheduled debt service excluding balloon; disclose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Calculation review</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Reserves in NOI</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Keep accounting NOI separate; show owner cash flow after reserves</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Product</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Verdict thresholds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User-configurable strategy profile with conservative defaults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Product research</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iCloud sync</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Defer until retention need is validated</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Post-MVP</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External data</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Require provenance, observed date, and user confirmation</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Post-MVP</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Subscription price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Test willingness to pay with prototype and landing page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Before StoreKit setup</w:t>
            </w:r>
          </w:p>
        </w:tc>
      </w:tr>
    </w:tbl>
    <w:p>
      <w:pPr>
        <w:spacing w:after="0"/>
      </w:pPr>
    </w:p>
    <w:p>
      <w:pPr>
        <w:pStyle w:val="Heading2"/>
        <w:keepNext/>
      </w:pPr>
      <w:r>
        <w:t>14.1 Questions to validate with users</w:t>
      </w:r>
    </w:p>
    <w:p>
      <w:pPr>
        <w:pStyle w:val="ListBullet"/>
        <w:spacing w:after="60" w:line="264" w:lineRule="auto"/>
      </w:pPr>
      <w:r>
        <w:rPr>
          <w:rFonts w:ascii="Aptos" w:hAnsi="Aptos"/>
          <w:color w:val="202A33"/>
        </w:rPr>
        <w:t>Which three numbers determine whether users pursue, renegotiate, or reject a deal?</w:t>
      </w:r>
    </w:p>
    <w:p>
      <w:pPr>
        <w:pStyle w:val="ListBullet"/>
        <w:spacing w:after="60" w:line="264" w:lineRule="auto"/>
      </w:pPr>
      <w:r>
        <w:rPr>
          <w:rFonts w:ascii="Aptos" w:hAnsi="Aptos"/>
          <w:color w:val="202A33"/>
        </w:rPr>
        <w:t>Which financing structures are common enough to deserve MVP support?</w:t>
      </w:r>
    </w:p>
    <w:p>
      <w:pPr>
        <w:pStyle w:val="ListBullet"/>
        <w:spacing w:after="60" w:line="264" w:lineRule="auto"/>
      </w:pPr>
      <w:r>
        <w:rPr>
          <w:rFonts w:ascii="Aptos" w:hAnsi="Aptos"/>
          <w:color w:val="202A33"/>
        </w:rPr>
        <w:t>Do users trust a verdict label, or prefer threshold-based pass/fail cards?</w:t>
      </w:r>
    </w:p>
    <w:p>
      <w:pPr>
        <w:pStyle w:val="ListBullet"/>
        <w:spacing w:after="60" w:line="264" w:lineRule="auto"/>
      </w:pPr>
      <w:r>
        <w:rPr>
          <w:rFonts w:ascii="Aptos" w:hAnsi="Aptos"/>
          <w:color w:val="202A33"/>
        </w:rPr>
        <w:t>Which expense assumptions are most often forgotten?</w:t>
      </w:r>
    </w:p>
    <w:p>
      <w:pPr>
        <w:pStyle w:val="ListBullet"/>
        <w:spacing w:after="60" w:line="264" w:lineRule="auto"/>
      </w:pPr>
      <w:r>
        <w:rPr>
          <w:rFonts w:ascii="Aptos" w:hAnsi="Aptos"/>
          <w:color w:val="202A33"/>
        </w:rPr>
        <w:t>What evidence must appear in an export before a partner or lender will review it?</w:t>
      </w:r>
    </w:p>
    <w:p>
      <w:pPr>
        <w:pStyle w:val="ListBullet"/>
        <w:spacing w:after="60" w:line="264" w:lineRule="auto"/>
      </w:pPr>
      <w:r>
        <w:rPr>
          <w:rFonts w:ascii="Aptos" w:hAnsi="Aptos"/>
          <w:color w:val="202A33"/>
        </w:rPr>
        <w:t>Will users pay for unlimited analyses, advanced financing, exports, or data enrichment?</w:t>
      </w:r>
    </w:p>
    <w:p>
      <w:pPr>
        <w:pStyle w:val="Heading1"/>
        <w:keepNext/>
      </w:pPr>
      <w:r>
        <w:t>15. Launch Acceptance Scorecard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Area</w:t>
            </w:r>
          </w:p>
        </w:tc>
        <w:tc>
          <w:tcPr>
            <w:tcW w:type="dxa" w:w="460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Launch threshold</w:t>
            </w:r>
          </w:p>
        </w:tc>
        <w:tc>
          <w:tcPr>
            <w:tcW w:type="dxa" w:w="3024"/>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Evidence</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Correctness</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All golden fixtures pass and are independently reviewed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Signed calculation review</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Reliability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Crash-free beta sessions ≥99.5%; no data-loss defect</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TestFlight and defect report</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Performance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Standard recalculation &lt;150 ms on baseline device</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Automated benchmark</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Usability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≥80% of target testers finish first deal without assistance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Moderated/usability test</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Trust</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≥80% can identify why verdict was assigned</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Comprehension test</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Accessibility</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Critical path supports VoiceOver and largest practical Dynamic Type</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Audit report</w:t>
            </w:r>
          </w:p>
        </w:tc>
      </w:tr>
      <w:tr>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Privacy</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 sensitive values in logs/analytics; disclosure matches behavior</w:t>
            </w:r>
          </w:p>
        </w:tc>
        <w:tc>
          <w:tcPr>
            <w:tcW w:type="dxa" w:w="3120"/>
            <w:vAlign w:val="center"/>
            <w:tcMar>
              <w:top w:w="90" w:type="dxa"/>
              <w:start w:w="120" w:type="dxa"/>
              <w:bottom w:w="90" w:type="dxa"/>
              <w:end w:w="120" w:type="dxa"/>
            </w:tcMar>
          </w:tcPr>
          <w:p>
            <w:pPr>
              <w:spacing w:after="0" w:line="252" w:lineRule="auto"/>
              <w:jc w:val="left"/>
            </w:pPr>
            <w:r/>
            <w:r>
              <w:rPr>
                <w:rFonts w:ascii="Aptos" w:hAnsi="Aptos"/>
                <w:b w:val="0"/>
                <w:color w:val="202A33"/>
                <w:sz w:val="18"/>
              </w:rPr>
              <w:t>Privacy checklist</w:t>
            </w:r>
          </w:p>
        </w:tc>
      </w:tr>
      <w:tr>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Commercial</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Paywall and restore-purchase paths tested</w:t>
            </w:r>
          </w:p>
        </w:tc>
        <w:tc>
          <w:tcPr>
            <w:tcW w:type="dxa" w:w="312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StoreKit test plan</w:t>
            </w:r>
          </w:p>
        </w:tc>
      </w:tr>
    </w:tbl>
    <w:p>
      <w:pPr>
        <w:spacing w:after="0"/>
      </w:pPr>
    </w:p>
    <w:p>
      <w:pPr>
        <w:pStyle w:val="Heading1"/>
        <w:keepNext/>
      </w:pPr>
      <w:r>
        <w:t>Appendix A — Formula Versioning Contract</w:t>
      </w:r>
    </w:p>
    <w:p>
      <w:pPr>
        <w:spacing w:after="120" w:line="264" w:lineRule="auto"/>
      </w:pPr>
      <w:r>
        <w:rPr>
          <w:rFonts w:ascii="Aptos" w:hAnsi="Aptos"/>
          <w:color w:val="202A33"/>
        </w:rPr>
        <w:t>Use semantic identifiers for calculation behavior, for example Engine 1.0.0 and RuleSet Rental-US-1.0. A patch may correct a defect without intentionally changing methodology; a minor version may add metrics or rules; a major version changes interpretation or formulas. Existing snapshots retain their version and output. Recalculation creates a new snapshot and presents a concise difference report.</w:t>
      </w:r>
    </w:p>
    <w:p>
      <w:pPr>
        <w:pStyle w:val="Heading1"/>
        <w:keepNext/>
      </w:pPr>
      <w:r>
        <w:t>Appendix B — Example Calculation Snapshot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Field</w:t>
            </w:r>
          </w:p>
        </w:tc>
        <w:tc>
          <w:tcPr>
            <w:tcW w:type="dxa" w:w="6480"/>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Example</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snapshotID</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UUID</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dealID / scenarioID</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UUID / UUID</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engineVersion</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1.0.0</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ruleSetVersion</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Rental-US-1.0</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createdAt</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ISO 8601 UTC timestamp</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inputHash</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SHA-256 of canonical encoded inputs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normalizedInputs</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Structured Decimal values and assumption metadata</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validation</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Errors and warnings with reason codes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metrics</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Raw precision values plus units</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verdict</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Category, confidence, reasons, corrective deltas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stressResults</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Ranges, cells, and threshold crossings</w:t>
            </w:r>
          </w:p>
        </w:tc>
      </w:tr>
    </w:tbl>
    <w:p>
      <w:pPr>
        <w:spacing w:after="0"/>
      </w:pPr>
    </w:p>
    <w:p>
      <w:pPr>
        <w:pStyle w:val="Heading1"/>
        <w:keepNext/>
      </w:pPr>
      <w:r>
        <w:t>Appendix C — Sources and Platform References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52"/>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Reference</w:t>
            </w:r>
          </w:p>
        </w:tc>
        <w:tc>
          <w:tcPr>
            <w:tcW w:type="dxa" w:w="6408"/>
            <w:vAlign w:val="center"/>
            <w:tcMar>
              <w:top w:w="90" w:type="dxa"/>
              <w:start w:w="120" w:type="dxa"/>
              <w:bottom w:w="90" w:type="dxa"/>
              <w:end w:w="120" w:type="dxa"/>
            </w:tcMar>
            <w:shd w:fill="17324D"/>
          </w:tcPr>
          <w:p>
            <w:pPr>
              <w:spacing w:after="0" w:line="252" w:lineRule="auto"/>
              <w:jc w:val="center"/>
            </w:pPr>
            <w:r/>
            <w:r>
              <w:rPr>
                <w:rFonts w:ascii="Aptos" w:hAnsi="Aptos"/>
                <w:b/>
                <w:color w:val="FFFFFF"/>
                <w:sz w:val="18"/>
              </w:rPr>
              <w:t>URL / relevance</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Apple — SwiftData</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https://developer.apple.com/documentation/swiftdata</w:t>
              <w:br/>
              <w:t>Model-layer framework used for the proposed local persistence abstraction.</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Apple — Swift Charts</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https://developer.apple.com/documentation/charts</w:t>
              <w:br/>
              <w:t>Native SwiftUI data-visualization framework proposed for sensitivity and timeline charts.</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Apple — StoreKit</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https://developer.apple.com/documentation/storekit</w:t>
              <w:br/>
              <w:t>Native commerce and subscription framework proposed for Pro entitlements.</w:t>
            </w:r>
          </w:p>
        </w:tc>
      </w:tr>
      <w:tr>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Apple — iOS &amp; iPadOS 26 Release Notes</w:t>
            </w:r>
          </w:p>
        </w:tc>
        <w:tc>
          <w:tcPr>
            <w:tcW w:type="dxa" w:w="4680"/>
            <w:vAlign w:val="center"/>
            <w:tcMar>
              <w:top w:w="90" w:type="dxa"/>
              <w:start w:w="120" w:type="dxa"/>
              <w:bottom w:w="90" w:type="dxa"/>
              <w:end w:w="120" w:type="dxa"/>
            </w:tcMar>
            <w:shd w:fill="F7F9FA"/>
          </w:tcPr>
          <w:p>
            <w:pPr>
              <w:spacing w:after="0" w:line="252" w:lineRule="auto"/>
              <w:jc w:val="left"/>
            </w:pPr>
            <w:r/>
            <w:r>
              <w:rPr>
                <w:rFonts w:ascii="Aptos" w:hAnsi="Aptos"/>
                <w:b w:val="0"/>
                <w:color w:val="202A33"/>
                <w:sz w:val="18"/>
              </w:rPr>
              <w:t>https://developer.apple.com/documentation/ios-ipados-release-notes/ios-ipados-26-release-notes</w:t>
              <w:br/>
              <w:t>Confirms availability of Apple’s Foundation Models framework; newer APIs remain availability-gated.</w:t>
            </w:r>
          </w:p>
        </w:tc>
      </w:tr>
      <w:tr>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Apple — Accessibility Nutrition Labels</w:t>
            </w:r>
          </w:p>
        </w:tc>
        <w:tc>
          <w:tcPr>
            <w:tcW w:type="dxa" w:w="4680"/>
            <w:vAlign w:val="center"/>
            <w:tcMar>
              <w:top w:w="90" w:type="dxa"/>
              <w:start w:w="120" w:type="dxa"/>
              <w:bottom w:w="90" w:type="dxa"/>
              <w:end w:w="120" w:type="dxa"/>
            </w:tcMar>
          </w:tcPr>
          <w:p>
            <w:pPr>
              <w:spacing w:after="0" w:line="252" w:lineRule="auto"/>
              <w:jc w:val="left"/>
            </w:pPr>
            <w:r/>
            <w:r>
              <w:rPr>
                <w:rFonts w:ascii="Aptos" w:hAnsi="Aptos"/>
                <w:b w:val="0"/>
                <w:color w:val="202A33"/>
                <w:sz w:val="18"/>
              </w:rPr>
              <w:t>https://developer.apple.com/help/app-store-connect/manage-app-accessibility/overview-of-accessibility-nutrition-labels/</w:t>
              <w:br/>
              <w:t>Supports planning and disclosure of accessible app capabilities.</w:t>
            </w:r>
          </w:p>
        </w:tc>
      </w:tr>
    </w:tbl>
    <w:p>
      <w:pPr>
        <w:spacing w:after="0"/>
      </w:pPr>
    </w:p>
    <w:p>
      <w:pPr>
        <w:spacing w:after="120" w:line="264" w:lineRule="auto"/>
      </w:pPr>
      <w:r>
        <w:rPr>
          <w:rFonts w:ascii="Aptos" w:hAnsi="Aptos"/>
          <w:color w:val="5F6B75"/>
        </w:rPr>
        <w:t>This blueprint intentionally separates stable product/domain architecture from OS-version-specific integrations. Confirm deployment targets and API availability in the current Xcode SDK before implementation.</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5"/>
        <w:sz w:val="16"/>
      </w:rPr>
      <w:t xml:space="preserve">Confidential working specification  •  July 31,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5"/>
        <w:sz w:val="16"/>
      </w:rPr>
      <w:t>PROPERTY DEAL REALITY CHECKER  |  PRODUCT &amp;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6B8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E7A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80" w:line="264"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Deal Reality Checker — Architectural Blueprint</dc:title>
  <dc:subject>iOS product and technical architecture</dc:subject>
  <dc:creator>Product Architecture Working Draft</dc:creator>
  <cp:keywords>iOS, real estate, underwriting, SwiftUI, architecture</cp:keywords>
  <dc:description>generated by python-docx</dc:description>
  <cp:lastModifiedBy/>
  <cp:revision>1</cp:revision>
  <dcterms:created xsi:type="dcterms:W3CDTF">2013-12-23T23:15:00Z</dcterms:created>
  <dcterms:modified xsi:type="dcterms:W3CDTF">2013-12-23T23:15:00Z</dcterms:modified>
  <cp:category/>
</cp:coreProperties>
</file>