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EFA" w:rsidRDefault="000A2E8A" w:rsidP="00E578BE">
      <w:pPr>
        <w:outlineLvl w:val="0"/>
        <w:rPr>
          <w:b/>
        </w:rPr>
      </w:pPr>
      <w:r>
        <w:rPr>
          <w:b/>
        </w:rPr>
        <w:t xml:space="preserve">The OCU family of data is very limited at this time making it insignificant to analyze unit-to-unit variability, 6 Sigma. The 6 Sigma </w:t>
      </w:r>
      <w:proofErr w:type="gramStart"/>
      <w:r>
        <w:rPr>
          <w:b/>
        </w:rPr>
        <w:t>ana</w:t>
      </w:r>
      <w:r w:rsidR="007B78E2">
        <w:rPr>
          <w:b/>
        </w:rPr>
        <w:t>lysis</w:t>
      </w:r>
      <w:proofErr w:type="gramEnd"/>
      <w:r w:rsidR="007B78E2">
        <w:rPr>
          <w:b/>
        </w:rPr>
        <w:t xml:space="preserve"> will not be completed until</w:t>
      </w:r>
      <w:r>
        <w:rPr>
          <w:b/>
        </w:rPr>
        <w:t xml:space="preserve"> there is </w:t>
      </w:r>
      <w:r w:rsidR="007B78E2">
        <w:rPr>
          <w:b/>
        </w:rPr>
        <w:t xml:space="preserve">a </w:t>
      </w:r>
      <w:r>
        <w:rPr>
          <w:b/>
        </w:rPr>
        <w:t xml:space="preserve">statistically significant body of data. 6 Sigma </w:t>
      </w:r>
      <w:proofErr w:type="gramStart"/>
      <w:r>
        <w:rPr>
          <w:b/>
        </w:rPr>
        <w:t>analysis</w:t>
      </w:r>
      <w:proofErr w:type="gramEnd"/>
      <w:r>
        <w:rPr>
          <w:b/>
        </w:rPr>
        <w:t xml:space="preserve"> wi</w:t>
      </w:r>
      <w:r w:rsidR="002E7FB1">
        <w:rPr>
          <w:b/>
        </w:rPr>
        <w:t>ll run on</w:t>
      </w:r>
      <w:r w:rsidR="007B78E2">
        <w:rPr>
          <w:b/>
        </w:rPr>
        <w:t>ce 20 units have completed IAT.</w:t>
      </w:r>
    </w:p>
    <w:p w:rsidR="00A75EFA" w:rsidRDefault="00A75EFA" w:rsidP="0031522B">
      <w:pPr>
        <w:rPr>
          <w:b/>
        </w:rPr>
      </w:pPr>
    </w:p>
    <w:p w:rsidR="00D11CFE" w:rsidRDefault="000A2E8A" w:rsidP="0031522B">
      <w:pPr>
        <w:rPr>
          <w:b/>
        </w:rPr>
      </w:pPr>
      <w:r>
        <w:rPr>
          <w:b/>
        </w:rPr>
        <w:t>The OCU analysis will utilize the automated trend software</w:t>
      </w:r>
      <w:r w:rsidR="00A75EFA">
        <w:rPr>
          <w:b/>
        </w:rPr>
        <w:t xml:space="preserve"> implemented to streamline the ORCA trend analysis approval process. A program was developed to interpret the trend analysis outputs. </w:t>
      </w:r>
      <w:r w:rsidR="00167837">
        <w:rPr>
          <w:b/>
        </w:rPr>
        <w:t xml:space="preserve">These trend outputs are then compared to </w:t>
      </w:r>
      <w:r w:rsidR="00670D95">
        <w:rPr>
          <w:b/>
        </w:rPr>
        <w:t xml:space="preserve">several pre-approved lists of acceptable criteria. What is on the lists will evolve over time (due to shifts in how the test stand acts, test set software changes, new </w:t>
      </w:r>
      <w:r w:rsidR="00745082">
        <w:rPr>
          <w:b/>
        </w:rPr>
        <w:t xml:space="preserve">piece part </w:t>
      </w:r>
      <w:r w:rsidR="00670D95">
        <w:rPr>
          <w:b/>
        </w:rPr>
        <w:t xml:space="preserve">LDC, etc.). Currently there are </w:t>
      </w:r>
      <w:r w:rsidR="00D11CFE">
        <w:rPr>
          <w:b/>
        </w:rPr>
        <w:t>4</w:t>
      </w:r>
      <w:r w:rsidR="00670D95">
        <w:rPr>
          <w:b/>
        </w:rPr>
        <w:t xml:space="preserve"> sets of comparisons</w:t>
      </w:r>
      <w:r w:rsidR="00512365">
        <w:rPr>
          <w:b/>
        </w:rPr>
        <w:t xml:space="preserve"> (</w:t>
      </w:r>
      <w:r w:rsidR="00745082">
        <w:rPr>
          <w:b/>
        </w:rPr>
        <w:t xml:space="preserve">expanded acceptability is </w:t>
      </w:r>
      <w:r w:rsidR="00512365">
        <w:rPr>
          <w:b/>
        </w:rPr>
        <w:t>determined by ULA)</w:t>
      </w:r>
      <w:r w:rsidR="00670D95">
        <w:rPr>
          <w:b/>
        </w:rPr>
        <w:t xml:space="preserve">. These are: </w:t>
      </w:r>
    </w:p>
    <w:p w:rsidR="00745082" w:rsidRDefault="00745082" w:rsidP="00745082">
      <w:pPr>
        <w:pStyle w:val="ListParagraph"/>
        <w:numPr>
          <w:ilvl w:val="0"/>
          <w:numId w:val="1"/>
        </w:numPr>
        <w:rPr>
          <w:b/>
        </w:rPr>
      </w:pPr>
      <w:r>
        <w:rPr>
          <w:b/>
        </w:rPr>
        <w:t>6 S</w:t>
      </w:r>
      <w:r w:rsidR="00670D95" w:rsidRPr="00745082">
        <w:rPr>
          <w:b/>
        </w:rPr>
        <w:t xml:space="preserve">igma </w:t>
      </w:r>
      <w:r>
        <w:rPr>
          <w:b/>
        </w:rPr>
        <w:t>A</w:t>
      </w:r>
      <w:r w:rsidR="00670D95" w:rsidRPr="00745082">
        <w:rPr>
          <w:b/>
        </w:rPr>
        <w:t>cceptability</w:t>
      </w:r>
    </w:p>
    <w:p w:rsidR="00745082" w:rsidRDefault="00745082" w:rsidP="00745082">
      <w:pPr>
        <w:pStyle w:val="ListParagraph"/>
        <w:numPr>
          <w:ilvl w:val="0"/>
          <w:numId w:val="1"/>
        </w:numPr>
        <w:rPr>
          <w:b/>
        </w:rPr>
      </w:pPr>
      <w:r>
        <w:rPr>
          <w:b/>
        </w:rPr>
        <w:t>Unit-to-Unit trend when comparing to the same unit (looking for shifts throughout IAT)</w:t>
      </w:r>
    </w:p>
    <w:p w:rsidR="00745082" w:rsidRDefault="00745082" w:rsidP="00745082">
      <w:pPr>
        <w:pStyle w:val="ListParagraph"/>
        <w:numPr>
          <w:ilvl w:val="0"/>
          <w:numId w:val="1"/>
        </w:numPr>
        <w:rPr>
          <w:b/>
        </w:rPr>
      </w:pPr>
      <w:r>
        <w:rPr>
          <w:b/>
        </w:rPr>
        <w:t>Unit-to-Unit trend when comparing different units</w:t>
      </w:r>
    </w:p>
    <w:p w:rsidR="00745082" w:rsidRDefault="00745082" w:rsidP="00745082">
      <w:pPr>
        <w:pStyle w:val="ListParagraph"/>
        <w:numPr>
          <w:ilvl w:val="0"/>
          <w:numId w:val="1"/>
        </w:numPr>
        <w:rPr>
          <w:b/>
        </w:rPr>
      </w:pPr>
      <w:r>
        <w:rPr>
          <w:b/>
        </w:rPr>
        <w:t>Unit-to-Unit trend when tests were run on different test sets</w:t>
      </w:r>
    </w:p>
    <w:p w:rsidR="00D11CFE" w:rsidRPr="00745082" w:rsidRDefault="009C66E2" w:rsidP="00745082">
      <w:pPr>
        <w:rPr>
          <w:b/>
        </w:rPr>
      </w:pPr>
      <w:r w:rsidRPr="00745082">
        <w:rPr>
          <w:b/>
        </w:rPr>
        <w:t xml:space="preserve"> </w:t>
      </w:r>
    </w:p>
    <w:p w:rsidR="00A75EFA" w:rsidRDefault="009C66E2" w:rsidP="00D11CFE">
      <w:pPr>
        <w:ind w:firstLine="720"/>
        <w:rPr>
          <w:b/>
        </w:rPr>
      </w:pPr>
      <w:r>
        <w:rPr>
          <w:b/>
        </w:rPr>
        <w:t xml:space="preserve">When different units are compared, the “same unit </w:t>
      </w:r>
      <w:r w:rsidR="00745082">
        <w:rPr>
          <w:b/>
        </w:rPr>
        <w:t>trend</w:t>
      </w:r>
      <w:r>
        <w:rPr>
          <w:b/>
        </w:rPr>
        <w:t xml:space="preserve">” rule list is applied first after which the “different unit </w:t>
      </w:r>
      <w:r w:rsidR="00745082">
        <w:rPr>
          <w:b/>
        </w:rPr>
        <w:t>trend</w:t>
      </w:r>
      <w:r>
        <w:rPr>
          <w:b/>
        </w:rPr>
        <w:t xml:space="preserve">” rule list is also applied. For the “different unit </w:t>
      </w:r>
      <w:r w:rsidR="001C1CC8">
        <w:rPr>
          <w:b/>
        </w:rPr>
        <w:t>trend</w:t>
      </w:r>
      <w:r>
        <w:rPr>
          <w:b/>
        </w:rPr>
        <w:t>” the acceptability thresholds tend to be wider to account for</w:t>
      </w:r>
      <w:r w:rsidR="00D11CFE">
        <w:rPr>
          <w:b/>
        </w:rPr>
        <w:t xml:space="preserve"> normal unit to unit variation. If the tests were performed on different test sets, that rule list is also applied.</w:t>
      </w:r>
    </w:p>
    <w:p w:rsidR="001C1CC8" w:rsidRDefault="001C1CC8" w:rsidP="00D11CFE">
      <w:pPr>
        <w:ind w:firstLine="720"/>
        <w:rPr>
          <w:b/>
        </w:rPr>
      </w:pPr>
    </w:p>
    <w:p w:rsidR="009C66E2" w:rsidRDefault="009C66E2" w:rsidP="0031522B">
      <w:pPr>
        <w:rPr>
          <w:b/>
        </w:rPr>
      </w:pPr>
      <w:r>
        <w:rPr>
          <w:b/>
        </w:rPr>
        <w:t xml:space="preserve">If a particular trend </w:t>
      </w:r>
      <w:r w:rsidR="00512365">
        <w:rPr>
          <w:b/>
        </w:rPr>
        <w:t xml:space="preserve">output falls within the acceptable criteria parameters, then the trend analysis is automatically approved (an email is still sent out). </w:t>
      </w:r>
      <w:r w:rsidR="00EB55CA">
        <w:rPr>
          <w:b/>
        </w:rPr>
        <w:t xml:space="preserve">If a particular trend doesn’t pass, an email is sent out stating that ULA approval is required prior to proceeding with test or other processing of the unit. A unit that doesn’t pass the approved criteria list is common and should not be construed to be a bad unit. </w:t>
      </w:r>
    </w:p>
    <w:p w:rsidR="00A75EFA" w:rsidRDefault="00A75EFA" w:rsidP="0031522B">
      <w:pPr>
        <w:rPr>
          <w:b/>
        </w:rPr>
      </w:pPr>
    </w:p>
    <w:p w:rsidR="00340820" w:rsidRDefault="00340820" w:rsidP="0031522B">
      <w:pPr>
        <w:rPr>
          <w:b/>
        </w:rPr>
      </w:pPr>
    </w:p>
    <w:p w:rsidR="0031522B" w:rsidRDefault="0031522B" w:rsidP="00E578BE">
      <w:pPr>
        <w:outlineLvl w:val="0"/>
        <w:rPr>
          <w:b/>
        </w:rPr>
      </w:pPr>
      <w:r>
        <w:rPr>
          <w:b/>
        </w:rPr>
        <w:t>General Notes on ORCA Trend Analysis</w:t>
      </w:r>
    </w:p>
    <w:p w:rsidR="0031522B" w:rsidRDefault="0031522B" w:rsidP="0031522B">
      <w:pPr>
        <w:rPr>
          <w:b/>
        </w:rPr>
      </w:pPr>
    </w:p>
    <w:p w:rsidR="0031522B" w:rsidRPr="00604D6A" w:rsidRDefault="0031522B" w:rsidP="00E578BE">
      <w:pPr>
        <w:outlineLvl w:val="0"/>
      </w:pPr>
      <w:r w:rsidRPr="00604D6A">
        <w:t xml:space="preserve">Initial </w:t>
      </w:r>
      <w:r w:rsidR="001C1CC8">
        <w:t>IAT functional, Pre-</w:t>
      </w:r>
      <w:proofErr w:type="spellStart"/>
      <w:r w:rsidR="001C1CC8">
        <w:t>BurnIn</w:t>
      </w:r>
      <w:proofErr w:type="spellEnd"/>
      <w:r w:rsidR="001C1CC8">
        <w:t>, are</w:t>
      </w:r>
      <w:r w:rsidRPr="00604D6A">
        <w:t xml:space="preserve"> trended against a different unit</w:t>
      </w:r>
      <w:r>
        <w:t xml:space="preserve"> (typically the </w:t>
      </w:r>
      <w:r w:rsidR="001C1CC8">
        <w:t>last completed</w:t>
      </w:r>
      <w:r>
        <w:t xml:space="preserve"> unit)</w:t>
      </w:r>
      <w:r w:rsidRPr="00604D6A">
        <w:t xml:space="preserve">. </w:t>
      </w:r>
    </w:p>
    <w:p w:rsidR="0031522B" w:rsidRDefault="0031522B" w:rsidP="0031522B">
      <w:r w:rsidRPr="00604D6A">
        <w:t xml:space="preserve">All </w:t>
      </w:r>
      <w:r w:rsidR="001C1CC8">
        <w:t>other</w:t>
      </w:r>
      <w:r w:rsidRPr="00604D6A">
        <w:t xml:space="preserve"> </w:t>
      </w:r>
      <w:r w:rsidR="001C1CC8">
        <w:t>functional throughout IAT</w:t>
      </w:r>
      <w:r w:rsidRPr="00604D6A">
        <w:t xml:space="preserve"> are trended against the first functional</w:t>
      </w:r>
      <w:r w:rsidR="001C1CC8">
        <w:t>, Pre-</w:t>
      </w:r>
      <w:proofErr w:type="spellStart"/>
      <w:r w:rsidR="001C1CC8">
        <w:t>BurnIn</w:t>
      </w:r>
      <w:proofErr w:type="spellEnd"/>
      <w:r w:rsidRPr="00604D6A">
        <w:t>.</w:t>
      </w:r>
    </w:p>
    <w:p w:rsidR="001C1CC8" w:rsidRPr="00604D6A" w:rsidRDefault="001C1CC8" w:rsidP="0031522B"/>
    <w:p w:rsidR="0031522B" w:rsidRDefault="0031522B" w:rsidP="0031522B">
      <w:r w:rsidRPr="00604D6A">
        <w:t>In both cases, the software looks for the differences between two of the same measurements and reports if there is a shift of more than 5% relative to the min/max measurement span.</w:t>
      </w:r>
    </w:p>
    <w:p w:rsidR="0031522B" w:rsidRDefault="0031522B" w:rsidP="0031522B"/>
    <w:p w:rsidR="0031522B" w:rsidRPr="00604D6A" w:rsidRDefault="0031522B" w:rsidP="0031522B">
      <w:r>
        <w:t xml:space="preserve">6 Sigma Trend Analysis compares the functional test to a family of other </w:t>
      </w:r>
      <w:r w:rsidR="00FF4A5A">
        <w:t xml:space="preserve">final functional. </w:t>
      </w:r>
      <w:r>
        <w:t xml:space="preserve">All measurements that are out by more than 3 standard deviations are reported. </w:t>
      </w:r>
      <w:r w:rsidR="00FF4A5A">
        <w:rPr>
          <w:b/>
        </w:rPr>
        <w:t>Note: 6 Sigma will not be run until at least 10 units have been through IAT</w:t>
      </w:r>
      <w:r w:rsidR="00340820" w:rsidRPr="00340820">
        <w:rPr>
          <w:b/>
        </w:rPr>
        <w:t>.</w:t>
      </w:r>
    </w:p>
    <w:p w:rsidR="0031522B" w:rsidRDefault="0031522B" w:rsidP="0031522B">
      <w:pPr>
        <w:rPr>
          <w:b/>
        </w:rPr>
      </w:pPr>
    </w:p>
    <w:p w:rsidR="00340820" w:rsidRDefault="00340820" w:rsidP="0031522B">
      <w:pPr>
        <w:rPr>
          <w:b/>
        </w:rPr>
      </w:pPr>
      <w:r>
        <w:rPr>
          <w:b/>
        </w:rPr>
        <w:t>The listing below is the original set of criteria that was used a</w:t>
      </w:r>
      <w:r w:rsidR="002E7FB1">
        <w:rPr>
          <w:b/>
        </w:rPr>
        <w:t>s a</w:t>
      </w:r>
      <w:r>
        <w:rPr>
          <w:b/>
        </w:rPr>
        <w:t xml:space="preserve"> guideline for approving the trend analysis. </w:t>
      </w:r>
      <w:r w:rsidR="00FF4A5A">
        <w:rPr>
          <w:b/>
        </w:rPr>
        <w:t xml:space="preserve">These criteria are based on the acceptance criteria used for ORCA which the OCU is very heavily based on. </w:t>
      </w:r>
    </w:p>
    <w:p w:rsidR="0031522B" w:rsidRDefault="0031522B" w:rsidP="0031522B">
      <w:pPr>
        <w:rPr>
          <w:b/>
        </w:rPr>
      </w:pPr>
    </w:p>
    <w:p w:rsidR="0031522B" w:rsidRPr="00340820" w:rsidRDefault="0031522B" w:rsidP="0031522B">
      <w:pPr>
        <w:rPr>
          <w:b/>
          <w:sz w:val="16"/>
        </w:rPr>
      </w:pPr>
      <w:r w:rsidRPr="00340820">
        <w:rPr>
          <w:b/>
          <w:sz w:val="16"/>
        </w:rPr>
        <w:lastRenderedPageBreak/>
        <w:t xml:space="preserve">The following is a list of signal that falls out during nearly each trend analysis and is considered normal deviation of the signals and measurement thereof. These are so common that a future revision of the trend analysis software will likely no longer report these ‘drop outs’ or only report when exceeding a less stringent threshold. </w:t>
      </w:r>
    </w:p>
    <w:p w:rsidR="0031522B" w:rsidRPr="00340820" w:rsidRDefault="00772E7F" w:rsidP="0031522B">
      <w:pPr>
        <w:ind w:left="2160" w:hanging="2160"/>
        <w:rPr>
          <w:sz w:val="16"/>
        </w:rPr>
      </w:pPr>
      <w:proofErr w:type="spellStart"/>
      <w:r>
        <w:rPr>
          <w:sz w:val="16"/>
        </w:rPr>
        <w:t>Time_Meas</w:t>
      </w:r>
      <w:proofErr w:type="spellEnd"/>
      <w:r>
        <w:rPr>
          <w:sz w:val="16"/>
        </w:rPr>
        <w:tab/>
      </w:r>
      <w:r w:rsidRPr="00340820">
        <w:rPr>
          <w:sz w:val="16"/>
        </w:rPr>
        <w:t>–</w:t>
      </w:r>
      <w:r>
        <w:rPr>
          <w:sz w:val="16"/>
        </w:rPr>
        <w:t xml:space="preserve"> </w:t>
      </w:r>
      <w:r w:rsidR="0031522B" w:rsidRPr="00340820">
        <w:rPr>
          <w:sz w:val="16"/>
        </w:rPr>
        <w:t>This is a measurement of the amount of time it takes for the 2</w:t>
      </w:r>
      <w:r w:rsidR="0031522B" w:rsidRPr="00340820">
        <w:rPr>
          <w:sz w:val="16"/>
          <w:vertAlign w:val="superscript"/>
        </w:rPr>
        <w:t>nd</w:t>
      </w:r>
      <w:r w:rsidR="0031522B" w:rsidRPr="00340820">
        <w:rPr>
          <w:sz w:val="16"/>
        </w:rPr>
        <w:t xml:space="preserve"> </w:t>
      </w:r>
      <w:proofErr w:type="gramStart"/>
      <w:r w:rsidR="0031522B" w:rsidRPr="00340820">
        <w:rPr>
          <w:sz w:val="16"/>
        </w:rPr>
        <w:t>inhibit  switch</w:t>
      </w:r>
      <w:proofErr w:type="gramEnd"/>
      <w:r w:rsidR="0031522B" w:rsidRPr="00340820">
        <w:rPr>
          <w:sz w:val="16"/>
        </w:rPr>
        <w:t xml:space="preserve"> to time out.</w:t>
      </w:r>
    </w:p>
    <w:p w:rsidR="0031522B" w:rsidRPr="00340820" w:rsidRDefault="0031522B" w:rsidP="0031522B">
      <w:pPr>
        <w:ind w:left="2160" w:hanging="2160"/>
        <w:rPr>
          <w:sz w:val="16"/>
        </w:rPr>
      </w:pPr>
      <w:proofErr w:type="spellStart"/>
      <w:r w:rsidRPr="00340820">
        <w:rPr>
          <w:sz w:val="16"/>
        </w:rPr>
        <w:t>RTD</w:t>
      </w:r>
      <w:proofErr w:type="spellEnd"/>
      <w:r w:rsidRPr="00340820">
        <w:rPr>
          <w:sz w:val="16"/>
        </w:rPr>
        <w:t xml:space="preserve"> </w:t>
      </w:r>
      <w:r w:rsidRPr="00340820">
        <w:rPr>
          <w:sz w:val="16"/>
        </w:rPr>
        <w:tab/>
        <w:t xml:space="preserve">– This is a temperature reading and is easily affected by differences in the room temperature and whether or not the temperature chamber door is left open or closed. </w:t>
      </w:r>
    </w:p>
    <w:p w:rsidR="0031522B" w:rsidRPr="00340820" w:rsidRDefault="0031522B" w:rsidP="0031522B">
      <w:pPr>
        <w:ind w:left="2160" w:hanging="2160"/>
        <w:rPr>
          <w:sz w:val="16"/>
        </w:rPr>
      </w:pPr>
      <w:r w:rsidRPr="00340820">
        <w:rPr>
          <w:sz w:val="16"/>
        </w:rPr>
        <w:t xml:space="preserve">PS1_Lct </w:t>
      </w:r>
      <w:r w:rsidRPr="00340820">
        <w:rPr>
          <w:sz w:val="16"/>
        </w:rPr>
        <w:tab/>
        <w:t xml:space="preserve">– This measurement typically varies on the order of 5 – 10% and thus drops out because of the 5% measurement shift reporting threshold currently used. </w:t>
      </w:r>
    </w:p>
    <w:p w:rsidR="0031522B" w:rsidRPr="00340820" w:rsidRDefault="0031522B" w:rsidP="0031522B">
      <w:pPr>
        <w:ind w:left="2160" w:hanging="2160"/>
        <w:rPr>
          <w:sz w:val="16"/>
        </w:rPr>
      </w:pPr>
      <w:proofErr w:type="spellStart"/>
      <w:r w:rsidRPr="00340820">
        <w:rPr>
          <w:sz w:val="16"/>
        </w:rPr>
        <w:t>Time_Meas_USEC</w:t>
      </w:r>
      <w:proofErr w:type="spellEnd"/>
      <w:r w:rsidRPr="00340820">
        <w:rPr>
          <w:sz w:val="16"/>
        </w:rPr>
        <w:t xml:space="preserve"> </w:t>
      </w:r>
      <w:r w:rsidRPr="00340820">
        <w:rPr>
          <w:sz w:val="16"/>
        </w:rPr>
        <w:tab/>
        <w:t>– This measurement is the amount of time from when a firing command is received to when voltage is measured on the pyro output. Percentage wise these measurements will vary significantly because the results are quantized into 10us blocks.</w:t>
      </w:r>
    </w:p>
    <w:p w:rsidR="0031522B" w:rsidRPr="00340820" w:rsidRDefault="0031522B" w:rsidP="0031522B">
      <w:pPr>
        <w:rPr>
          <w:b/>
          <w:sz w:val="16"/>
        </w:rPr>
      </w:pPr>
    </w:p>
    <w:p w:rsidR="0031522B" w:rsidRPr="00340820" w:rsidRDefault="0031522B" w:rsidP="0031522B">
      <w:pPr>
        <w:rPr>
          <w:b/>
          <w:sz w:val="16"/>
        </w:rPr>
      </w:pPr>
      <w:r w:rsidRPr="00340820">
        <w:rPr>
          <w:b/>
          <w:sz w:val="16"/>
        </w:rPr>
        <w:t>The following is a list of signals that typically fall out as a result of testing on different test stands (for same unit trend analysis) and causes a lot of repeat fall out:</w:t>
      </w:r>
    </w:p>
    <w:p w:rsidR="0031522B" w:rsidRPr="00340820" w:rsidRDefault="0031522B" w:rsidP="0031522B">
      <w:pPr>
        <w:ind w:left="2160" w:hanging="2160"/>
        <w:rPr>
          <w:sz w:val="16"/>
        </w:rPr>
      </w:pPr>
      <w:r w:rsidRPr="00340820">
        <w:rPr>
          <w:sz w:val="16"/>
        </w:rPr>
        <w:t>Cnt_Pwr1_In_Out</w:t>
      </w:r>
      <w:r w:rsidRPr="00340820">
        <w:rPr>
          <w:sz w:val="16"/>
        </w:rPr>
        <w:tab/>
        <w:t xml:space="preserve">- One of the power supplies used is typically about 100mV higher as measured at the sense point in on test stand </w:t>
      </w:r>
      <w:proofErr w:type="spellStart"/>
      <w:r w:rsidRPr="00340820">
        <w:rPr>
          <w:sz w:val="16"/>
        </w:rPr>
        <w:t>vs</w:t>
      </w:r>
      <w:proofErr w:type="spellEnd"/>
      <w:r w:rsidRPr="00340820">
        <w:rPr>
          <w:sz w:val="16"/>
        </w:rPr>
        <w:t xml:space="preserve"> the other which causes this fallout.</w:t>
      </w:r>
    </w:p>
    <w:p w:rsidR="0031522B" w:rsidRPr="00340820" w:rsidRDefault="0031522B" w:rsidP="0031522B">
      <w:pPr>
        <w:ind w:left="2160" w:hanging="2160"/>
        <w:rPr>
          <w:sz w:val="16"/>
        </w:rPr>
      </w:pPr>
      <w:r w:rsidRPr="00340820">
        <w:rPr>
          <w:sz w:val="16"/>
        </w:rPr>
        <w:t>Cnt_Pwr2_In_Out</w:t>
      </w:r>
      <w:r w:rsidRPr="00340820">
        <w:rPr>
          <w:sz w:val="16"/>
        </w:rPr>
        <w:tab/>
        <w:t xml:space="preserve">- One of the power supplies used is typically about 100mV higher as measured at the sense point in on test stand </w:t>
      </w:r>
      <w:proofErr w:type="spellStart"/>
      <w:r w:rsidRPr="00340820">
        <w:rPr>
          <w:sz w:val="16"/>
        </w:rPr>
        <w:t>vs</w:t>
      </w:r>
      <w:proofErr w:type="spellEnd"/>
      <w:r w:rsidRPr="00340820">
        <w:rPr>
          <w:sz w:val="16"/>
        </w:rPr>
        <w:t xml:space="preserve"> the other which causes this fallout.</w:t>
      </w:r>
    </w:p>
    <w:p w:rsidR="0031522B" w:rsidRPr="00340820" w:rsidRDefault="0031522B" w:rsidP="0031522B">
      <w:pPr>
        <w:ind w:left="2160" w:hanging="2160"/>
        <w:rPr>
          <w:rFonts w:ascii="Arial" w:hAnsi="Arial" w:cs="Arial"/>
          <w:sz w:val="12"/>
          <w:szCs w:val="20"/>
        </w:rPr>
      </w:pPr>
      <w:r w:rsidRPr="00340820">
        <w:rPr>
          <w:rFonts w:ascii="Arial" w:hAnsi="Arial" w:cs="Arial"/>
          <w:sz w:val="12"/>
          <w:szCs w:val="20"/>
        </w:rPr>
        <w:t>1ST_Arm_St</w:t>
      </w:r>
      <w:r w:rsidRPr="00340820">
        <w:rPr>
          <w:rFonts w:ascii="Arial" w:hAnsi="Arial" w:cs="Arial"/>
          <w:sz w:val="12"/>
          <w:szCs w:val="20"/>
        </w:rPr>
        <w:tab/>
      </w:r>
      <w:r w:rsidRPr="00340820">
        <w:rPr>
          <w:sz w:val="16"/>
        </w:rPr>
        <w:t xml:space="preserve">- One of the power supplies used is typically about 100mV higher as measured at the sense point in on test stand </w:t>
      </w:r>
      <w:proofErr w:type="spellStart"/>
      <w:r w:rsidRPr="00340820">
        <w:rPr>
          <w:sz w:val="16"/>
        </w:rPr>
        <w:t>vs</w:t>
      </w:r>
      <w:proofErr w:type="spellEnd"/>
      <w:r w:rsidRPr="00340820">
        <w:rPr>
          <w:sz w:val="16"/>
        </w:rPr>
        <w:t xml:space="preserve"> the other which causes this fallout.</w:t>
      </w:r>
    </w:p>
    <w:p w:rsidR="0031522B" w:rsidRPr="00340820" w:rsidRDefault="0031522B" w:rsidP="0031522B">
      <w:pPr>
        <w:ind w:left="2160" w:hanging="2160"/>
        <w:rPr>
          <w:rFonts w:ascii="Arial" w:hAnsi="Arial" w:cs="Arial"/>
          <w:sz w:val="12"/>
          <w:szCs w:val="20"/>
        </w:rPr>
      </w:pPr>
      <w:r w:rsidRPr="00340820">
        <w:rPr>
          <w:rFonts w:ascii="Arial" w:hAnsi="Arial" w:cs="Arial"/>
          <w:sz w:val="12"/>
          <w:szCs w:val="20"/>
        </w:rPr>
        <w:t>Ps1_Hct</w:t>
      </w:r>
      <w:r w:rsidRPr="00340820">
        <w:rPr>
          <w:rFonts w:ascii="Arial" w:hAnsi="Arial" w:cs="Arial"/>
          <w:sz w:val="12"/>
          <w:szCs w:val="20"/>
        </w:rPr>
        <w:tab/>
        <w:t>- This is the total firing current in which variances can be seen due to slight test stand loading differences. This measurement occasionally also falls out on the same test stand.</w:t>
      </w:r>
    </w:p>
    <w:p w:rsidR="0031522B" w:rsidRPr="00340820" w:rsidRDefault="0031522B" w:rsidP="0031522B">
      <w:pPr>
        <w:ind w:left="2160" w:hanging="2160"/>
        <w:rPr>
          <w:rFonts w:ascii="Arial" w:hAnsi="Arial" w:cs="Arial"/>
          <w:sz w:val="12"/>
          <w:szCs w:val="20"/>
        </w:rPr>
      </w:pPr>
      <w:r w:rsidRPr="00340820">
        <w:rPr>
          <w:rFonts w:ascii="Arial" w:hAnsi="Arial" w:cs="Arial"/>
          <w:sz w:val="12"/>
          <w:szCs w:val="20"/>
        </w:rPr>
        <w:t>Ps1_Lct</w:t>
      </w:r>
      <w:r w:rsidRPr="00340820">
        <w:rPr>
          <w:rFonts w:ascii="Arial" w:hAnsi="Arial" w:cs="Arial"/>
          <w:sz w:val="12"/>
          <w:szCs w:val="20"/>
        </w:rPr>
        <w:tab/>
        <w:t>- Although this falls out normally, it tends to fall out more frequently when changing test stands</w:t>
      </w:r>
    </w:p>
    <w:p w:rsidR="0031522B" w:rsidRPr="00340820" w:rsidRDefault="0031522B" w:rsidP="0031522B">
      <w:pPr>
        <w:rPr>
          <w:b/>
          <w:sz w:val="16"/>
        </w:rPr>
      </w:pPr>
    </w:p>
    <w:p w:rsidR="0031522B" w:rsidRPr="00340820" w:rsidRDefault="0031522B" w:rsidP="00E578BE">
      <w:pPr>
        <w:outlineLvl w:val="0"/>
        <w:rPr>
          <w:b/>
          <w:sz w:val="16"/>
        </w:rPr>
      </w:pPr>
      <w:r w:rsidRPr="00340820">
        <w:rPr>
          <w:b/>
          <w:sz w:val="16"/>
        </w:rPr>
        <w:t>The following is a list of signals that have been observed to fall out occasionally on same unit trend analysis.</w:t>
      </w:r>
    </w:p>
    <w:p w:rsidR="0031522B" w:rsidRPr="00340820" w:rsidRDefault="0031522B" w:rsidP="0031522B">
      <w:pPr>
        <w:ind w:left="2160" w:hanging="2160"/>
        <w:rPr>
          <w:sz w:val="16"/>
        </w:rPr>
      </w:pPr>
      <w:r w:rsidRPr="00340820">
        <w:rPr>
          <w:sz w:val="16"/>
        </w:rPr>
        <w:t>5VDC_TP</w:t>
      </w:r>
      <w:r w:rsidRPr="00340820">
        <w:rPr>
          <w:sz w:val="16"/>
        </w:rPr>
        <w:tab/>
        <w:t>- Examination of historical test data files reveals that small variances in this signal can occur</w:t>
      </w:r>
    </w:p>
    <w:p w:rsidR="0031522B" w:rsidRPr="00340820" w:rsidRDefault="0031522B" w:rsidP="0031522B">
      <w:pPr>
        <w:ind w:left="2160" w:hanging="2160"/>
        <w:rPr>
          <w:sz w:val="16"/>
        </w:rPr>
      </w:pPr>
      <w:proofErr w:type="spellStart"/>
      <w:r w:rsidRPr="00340820">
        <w:rPr>
          <w:sz w:val="16"/>
        </w:rPr>
        <w:t>Pyro_Out</w:t>
      </w:r>
      <w:proofErr w:type="spellEnd"/>
      <w:r w:rsidRPr="00340820">
        <w:rPr>
          <w:sz w:val="16"/>
        </w:rPr>
        <w:t xml:space="preserve"> </w:t>
      </w:r>
      <w:r w:rsidRPr="00340820">
        <w:rPr>
          <w:sz w:val="16"/>
        </w:rPr>
        <w:tab/>
        <w:t>– Further investigation reveals that there is also normal deviation in this signal due to the single sample acquisition method and the difficulty with taking this measurement at the exact same moment in relative time to the firing event for this cross talk measurement.</w:t>
      </w:r>
    </w:p>
    <w:p w:rsidR="0031522B" w:rsidRPr="00340820" w:rsidRDefault="0031522B" w:rsidP="0031522B">
      <w:pPr>
        <w:ind w:left="2160" w:hanging="2160"/>
        <w:rPr>
          <w:sz w:val="16"/>
        </w:rPr>
      </w:pPr>
      <w:proofErr w:type="spellStart"/>
      <w:r w:rsidRPr="00340820">
        <w:rPr>
          <w:sz w:val="16"/>
        </w:rPr>
        <w:t>Orca_Impedance</w:t>
      </w:r>
      <w:proofErr w:type="spellEnd"/>
      <w:r w:rsidRPr="00340820">
        <w:rPr>
          <w:sz w:val="16"/>
        </w:rPr>
        <w:tab/>
        <w:t xml:space="preserve"> – this calculated measurement falls out as a result of shifts in the firing current (ps1_lct)</w:t>
      </w:r>
    </w:p>
    <w:p w:rsidR="0031522B" w:rsidRPr="00340820" w:rsidRDefault="0031522B" w:rsidP="0031522B">
      <w:pPr>
        <w:ind w:left="2160" w:hanging="2160"/>
        <w:rPr>
          <w:b/>
          <w:sz w:val="16"/>
        </w:rPr>
      </w:pPr>
      <w:r w:rsidRPr="00340820">
        <w:rPr>
          <w:sz w:val="16"/>
        </w:rPr>
        <w:t>Ps1_Hct</w:t>
      </w:r>
      <w:r w:rsidRPr="00340820">
        <w:rPr>
          <w:sz w:val="16"/>
        </w:rPr>
        <w:tab/>
        <w:t xml:space="preserve">- This is the total firing current measured when firing multiple </w:t>
      </w:r>
      <w:proofErr w:type="spellStart"/>
      <w:r w:rsidRPr="00340820">
        <w:rPr>
          <w:sz w:val="16"/>
        </w:rPr>
        <w:t>EEDS</w:t>
      </w:r>
      <w:proofErr w:type="spellEnd"/>
      <w:r w:rsidRPr="00340820">
        <w:rPr>
          <w:sz w:val="16"/>
        </w:rPr>
        <w:t xml:space="preserve"> at once. Occasionally slight variances are observed in this measurement. </w:t>
      </w:r>
    </w:p>
    <w:p w:rsidR="0031522B" w:rsidRPr="00340820" w:rsidRDefault="0031522B" w:rsidP="0031522B">
      <w:pPr>
        <w:ind w:left="2160" w:hanging="2160"/>
        <w:rPr>
          <w:sz w:val="16"/>
        </w:rPr>
      </w:pPr>
      <w:r w:rsidRPr="00340820">
        <w:rPr>
          <w:sz w:val="16"/>
        </w:rPr>
        <w:t>RTD_1_2_Out</w:t>
      </w:r>
      <w:r w:rsidRPr="00340820">
        <w:rPr>
          <w:sz w:val="16"/>
        </w:rPr>
        <w:tab/>
        <w:t>- This value may also shift slightly as a result of differences in the unit temperature</w:t>
      </w:r>
    </w:p>
    <w:p w:rsidR="0031522B" w:rsidRPr="00340820" w:rsidRDefault="0031522B" w:rsidP="0031522B">
      <w:pPr>
        <w:ind w:left="2160" w:hanging="2160"/>
        <w:rPr>
          <w:sz w:val="16"/>
        </w:rPr>
      </w:pPr>
      <w:r w:rsidRPr="00340820">
        <w:rPr>
          <w:sz w:val="16"/>
        </w:rPr>
        <w:t>PTOR_B_0</w:t>
      </w:r>
      <w:r w:rsidRPr="00340820">
        <w:rPr>
          <w:sz w:val="16"/>
        </w:rPr>
        <w:tab/>
        <w:t>- Examination of historical test data files reveals that small variances in this signal can occur</w:t>
      </w:r>
    </w:p>
    <w:p w:rsidR="0031522B" w:rsidRDefault="0031522B" w:rsidP="00772E7F">
      <w:pPr>
        <w:ind w:left="2160" w:hanging="2160"/>
        <w:rPr>
          <w:sz w:val="16"/>
        </w:rPr>
      </w:pPr>
      <w:r w:rsidRPr="00340820">
        <w:rPr>
          <w:sz w:val="16"/>
        </w:rPr>
        <w:t>ARM_CMD_1</w:t>
      </w:r>
      <w:r w:rsidRPr="00340820">
        <w:rPr>
          <w:sz w:val="16"/>
          <w:vertAlign w:val="superscript"/>
        </w:rPr>
        <w:t>ST</w:t>
      </w:r>
      <w:r w:rsidR="00772E7F">
        <w:rPr>
          <w:sz w:val="16"/>
        </w:rPr>
        <w:t>_ARM_ST</w:t>
      </w:r>
      <w:r w:rsidR="00772E7F">
        <w:rPr>
          <w:sz w:val="16"/>
        </w:rPr>
        <w:tab/>
      </w:r>
      <w:r w:rsidRPr="00340820">
        <w:rPr>
          <w:sz w:val="16"/>
        </w:rPr>
        <w:t>-This measurement has been observed to fall out on three separate occasions on three separate units. In each case, the amount of time measured was towards the lower end of the test limit.</w:t>
      </w:r>
    </w:p>
    <w:p w:rsidR="00772E7F" w:rsidRDefault="00772E7F" w:rsidP="00772E7F">
      <w:pPr>
        <w:ind w:left="2160" w:hanging="2160"/>
        <w:rPr>
          <w:sz w:val="16"/>
        </w:rPr>
      </w:pPr>
      <w:r>
        <w:rPr>
          <w:sz w:val="16"/>
        </w:rPr>
        <w:t>1ST_IN_Safe</w:t>
      </w:r>
      <w:r>
        <w:rPr>
          <w:sz w:val="16"/>
        </w:rPr>
        <w:tab/>
        <w:t>-The resolution of this test causes measurements to vary up to 30%</w:t>
      </w:r>
    </w:p>
    <w:p w:rsidR="00772E7F" w:rsidRDefault="00772E7F" w:rsidP="00772E7F">
      <w:pPr>
        <w:ind w:left="2160" w:hanging="2160"/>
        <w:rPr>
          <w:sz w:val="16"/>
        </w:rPr>
      </w:pPr>
      <w:r>
        <w:rPr>
          <w:sz w:val="16"/>
        </w:rPr>
        <w:t>1</w:t>
      </w:r>
      <w:r w:rsidRPr="00772E7F">
        <w:rPr>
          <w:sz w:val="16"/>
        </w:rPr>
        <w:t>ST</w:t>
      </w:r>
      <w:r>
        <w:rPr>
          <w:sz w:val="16"/>
        </w:rPr>
        <w:t>_Safe_St</w:t>
      </w:r>
      <w:r>
        <w:rPr>
          <w:sz w:val="16"/>
        </w:rPr>
        <w:tab/>
        <w:t>-This measurement typically varies 5-10%</w:t>
      </w:r>
    </w:p>
    <w:p w:rsidR="00772E7F" w:rsidRPr="00340820" w:rsidRDefault="00772E7F" w:rsidP="00772E7F">
      <w:pPr>
        <w:ind w:left="2160" w:hanging="2160"/>
        <w:rPr>
          <w:sz w:val="16"/>
        </w:rPr>
      </w:pPr>
      <w:r>
        <w:rPr>
          <w:sz w:val="16"/>
        </w:rPr>
        <w:t>1</w:t>
      </w:r>
      <w:r w:rsidRPr="00772E7F">
        <w:rPr>
          <w:sz w:val="16"/>
        </w:rPr>
        <w:t>ST</w:t>
      </w:r>
      <w:r>
        <w:rPr>
          <w:sz w:val="16"/>
        </w:rPr>
        <w:t>_Arm_St</w:t>
      </w:r>
      <w:r>
        <w:rPr>
          <w:sz w:val="16"/>
        </w:rPr>
        <w:tab/>
        <w:t>-This measurement typically varies 5-10%</w:t>
      </w:r>
    </w:p>
    <w:p w:rsidR="0031522B" w:rsidRPr="00340820" w:rsidRDefault="0031522B" w:rsidP="00E578BE">
      <w:pPr>
        <w:outlineLvl w:val="0"/>
        <w:rPr>
          <w:b/>
          <w:sz w:val="16"/>
        </w:rPr>
      </w:pPr>
      <w:r w:rsidRPr="00340820">
        <w:rPr>
          <w:b/>
          <w:sz w:val="16"/>
        </w:rPr>
        <w:t>The following is a list of signals that commonly falls out during (multi unit) 6 Sigma Trend Analysis:</w:t>
      </w:r>
    </w:p>
    <w:p w:rsidR="0031522B" w:rsidRPr="00340820" w:rsidRDefault="0031522B" w:rsidP="0031522B">
      <w:pPr>
        <w:ind w:left="2160" w:hanging="2160"/>
        <w:rPr>
          <w:sz w:val="16"/>
        </w:rPr>
      </w:pPr>
      <w:proofErr w:type="spellStart"/>
      <w:r w:rsidRPr="00340820">
        <w:rPr>
          <w:sz w:val="16"/>
        </w:rPr>
        <w:t>Pyro_Out</w:t>
      </w:r>
      <w:proofErr w:type="spellEnd"/>
      <w:r w:rsidRPr="00340820">
        <w:rPr>
          <w:sz w:val="16"/>
        </w:rPr>
        <w:tab/>
        <w:t xml:space="preserve">- Generally this number will be zero (on average), however occasionally, due to the sampling method larger values will be observed </w:t>
      </w:r>
      <w:proofErr w:type="gramStart"/>
      <w:r w:rsidRPr="00340820">
        <w:rPr>
          <w:sz w:val="16"/>
        </w:rPr>
        <w:t>( up</w:t>
      </w:r>
      <w:proofErr w:type="gramEnd"/>
      <w:r w:rsidRPr="00340820">
        <w:rPr>
          <w:sz w:val="16"/>
        </w:rPr>
        <w:t xml:space="preserve"> to 250mV).</w:t>
      </w:r>
    </w:p>
    <w:p w:rsidR="0031522B" w:rsidRPr="00340820" w:rsidRDefault="0031522B" w:rsidP="0031522B">
      <w:pPr>
        <w:ind w:left="2160" w:hanging="2160"/>
        <w:rPr>
          <w:sz w:val="16"/>
        </w:rPr>
      </w:pPr>
      <w:proofErr w:type="spellStart"/>
      <w:r w:rsidRPr="00340820">
        <w:rPr>
          <w:sz w:val="16"/>
        </w:rPr>
        <w:t>Pyro_CmdX_Out</w:t>
      </w:r>
      <w:proofErr w:type="spellEnd"/>
      <w:r w:rsidRPr="00340820">
        <w:rPr>
          <w:sz w:val="16"/>
        </w:rPr>
        <w:tab/>
        <w:t>- Where X is a number of 1 through 30. This falls out because the majority of the time it registers on the DMM as 0.0001V, but sometimes it reads as 0.0002V.</w:t>
      </w:r>
    </w:p>
    <w:p w:rsidR="008019E8" w:rsidRPr="00E1067D" w:rsidRDefault="0031522B" w:rsidP="00E578BE">
      <w:pPr>
        <w:outlineLvl w:val="0"/>
        <w:rPr>
          <w:b/>
          <w:sz w:val="22"/>
          <w:szCs w:val="28"/>
        </w:rPr>
      </w:pPr>
      <w:r w:rsidRPr="00340820">
        <w:rPr>
          <w:sz w:val="16"/>
        </w:rPr>
        <w:br w:type="page"/>
      </w:r>
      <w:r w:rsidR="00772E7F">
        <w:rPr>
          <w:b/>
          <w:sz w:val="22"/>
          <w:szCs w:val="28"/>
        </w:rPr>
        <w:lastRenderedPageBreak/>
        <w:t>OCU SN00</w:t>
      </w:r>
      <w:r w:rsidR="00B61095">
        <w:rPr>
          <w:b/>
          <w:sz w:val="22"/>
          <w:szCs w:val="28"/>
        </w:rPr>
        <w:t>3</w:t>
      </w:r>
      <w:r w:rsidR="002D3423">
        <w:rPr>
          <w:b/>
          <w:sz w:val="22"/>
          <w:szCs w:val="28"/>
        </w:rPr>
        <w:t>4</w:t>
      </w:r>
      <w:r w:rsidR="00607551" w:rsidRPr="00E1067D">
        <w:rPr>
          <w:b/>
          <w:sz w:val="22"/>
          <w:szCs w:val="28"/>
        </w:rPr>
        <w:t xml:space="preserve"> </w:t>
      </w:r>
      <w:r w:rsidR="008019E8" w:rsidRPr="00E1067D">
        <w:rPr>
          <w:b/>
          <w:sz w:val="22"/>
          <w:szCs w:val="28"/>
        </w:rPr>
        <w:t>Trend Analysis Summary</w:t>
      </w:r>
    </w:p>
    <w:p w:rsidR="00F20725" w:rsidRPr="00572884" w:rsidRDefault="000A52AA" w:rsidP="00F20725">
      <w:pPr>
        <w:rPr>
          <w:b/>
          <w:sz w:val="18"/>
          <w:szCs w:val="28"/>
        </w:rPr>
      </w:pPr>
      <w:r w:rsidRPr="00E1067D">
        <w:rPr>
          <w:b/>
          <w:sz w:val="18"/>
          <w:szCs w:val="28"/>
        </w:rPr>
        <w:t>Listed below are trend fallout items that were not automatically approved.</w:t>
      </w:r>
      <w:r w:rsidR="00A95E37" w:rsidRPr="00E1067D">
        <w:rPr>
          <w:b/>
          <w:sz w:val="18"/>
          <w:szCs w:val="28"/>
        </w:rPr>
        <w:t xml:space="preserve"> For full trend fallout details, refer to the appropriate trend Excel file</w:t>
      </w:r>
      <w:r w:rsidR="0021028D" w:rsidRPr="00E1067D">
        <w:rPr>
          <w:b/>
          <w:sz w:val="18"/>
          <w:szCs w:val="28"/>
        </w:rPr>
        <w:t xml:space="preserve"> in the ADP</w:t>
      </w:r>
      <w:r w:rsidR="00A95E37" w:rsidRPr="00E1067D">
        <w:rPr>
          <w:b/>
          <w:sz w:val="18"/>
          <w:szCs w:val="28"/>
        </w:rPr>
        <w:t xml:space="preserve">. </w:t>
      </w:r>
    </w:p>
    <w:p w:rsidR="002A36D6" w:rsidRDefault="002A36D6" w:rsidP="002A36D6">
      <w:pPr>
        <w:outlineLvl w:val="0"/>
        <w:rPr>
          <w:b/>
          <w:sz w:val="20"/>
        </w:rPr>
      </w:pPr>
    </w:p>
    <w:tbl>
      <w:tblPr>
        <w:tblStyle w:val="TableGrid"/>
        <w:tblW w:w="11000" w:type="dxa"/>
        <w:jc w:val="center"/>
        <w:tblInd w:w="-1062" w:type="dxa"/>
        <w:tblLayout w:type="fixed"/>
        <w:tblLook w:val="04A0"/>
      </w:tblPr>
      <w:tblGrid>
        <w:gridCol w:w="1494"/>
        <w:gridCol w:w="2736"/>
        <w:gridCol w:w="2007"/>
        <w:gridCol w:w="2754"/>
        <w:gridCol w:w="2009"/>
      </w:tblGrid>
      <w:tr w:rsidR="008F3DF8" w:rsidTr="008F3DF8">
        <w:trPr>
          <w:jc w:val="center"/>
        </w:trPr>
        <w:tc>
          <w:tcPr>
            <w:tcW w:w="1494" w:type="dxa"/>
          </w:tcPr>
          <w:p w:rsidR="00772E7F" w:rsidRDefault="00772E7F" w:rsidP="002A36D6">
            <w:pPr>
              <w:outlineLvl w:val="0"/>
              <w:rPr>
                <w:b/>
                <w:sz w:val="20"/>
              </w:rPr>
            </w:pPr>
            <w:r>
              <w:rPr>
                <w:b/>
                <w:sz w:val="20"/>
              </w:rPr>
              <w:t>Test</w:t>
            </w:r>
          </w:p>
        </w:tc>
        <w:tc>
          <w:tcPr>
            <w:tcW w:w="4743" w:type="dxa"/>
            <w:gridSpan w:val="2"/>
          </w:tcPr>
          <w:p w:rsidR="00772E7F" w:rsidRDefault="00772E7F" w:rsidP="002A36D6">
            <w:pPr>
              <w:outlineLvl w:val="0"/>
              <w:rPr>
                <w:b/>
                <w:sz w:val="20"/>
              </w:rPr>
            </w:pPr>
            <w:r>
              <w:rPr>
                <w:b/>
                <w:sz w:val="20"/>
              </w:rPr>
              <w:t>Channel 1 Trend Fallout</w:t>
            </w:r>
          </w:p>
        </w:tc>
        <w:tc>
          <w:tcPr>
            <w:tcW w:w="4763" w:type="dxa"/>
            <w:gridSpan w:val="2"/>
          </w:tcPr>
          <w:p w:rsidR="00772E7F" w:rsidRDefault="00772E7F" w:rsidP="002A36D6">
            <w:pPr>
              <w:outlineLvl w:val="0"/>
              <w:rPr>
                <w:b/>
                <w:sz w:val="20"/>
              </w:rPr>
            </w:pPr>
            <w:r>
              <w:rPr>
                <w:b/>
                <w:sz w:val="20"/>
              </w:rPr>
              <w:t>Channel 2 Trend Fallout</w:t>
            </w:r>
          </w:p>
        </w:tc>
      </w:tr>
      <w:tr w:rsidR="004C2995" w:rsidTr="008F3DF8">
        <w:trPr>
          <w:jc w:val="center"/>
        </w:trPr>
        <w:tc>
          <w:tcPr>
            <w:tcW w:w="1494" w:type="dxa"/>
          </w:tcPr>
          <w:p w:rsidR="004C2995" w:rsidRDefault="004C2995" w:rsidP="00526B12">
            <w:pPr>
              <w:outlineLvl w:val="0"/>
              <w:rPr>
                <w:b/>
                <w:sz w:val="20"/>
              </w:rPr>
            </w:pPr>
            <w:r>
              <w:rPr>
                <w:b/>
                <w:sz w:val="20"/>
              </w:rPr>
              <w:t>Initial Ambient/</w:t>
            </w:r>
          </w:p>
          <w:p w:rsidR="004C2995" w:rsidRDefault="004C2995" w:rsidP="00397A82">
            <w:pPr>
              <w:outlineLvl w:val="0"/>
              <w:rPr>
                <w:b/>
                <w:sz w:val="20"/>
              </w:rPr>
            </w:pPr>
            <w:r>
              <w:rPr>
                <w:b/>
                <w:sz w:val="20"/>
              </w:rPr>
              <w:t>Pre-</w:t>
            </w:r>
            <w:r w:rsidR="00397A82">
              <w:rPr>
                <w:b/>
                <w:sz w:val="20"/>
              </w:rPr>
              <w:t>Thermal</w:t>
            </w:r>
          </w:p>
        </w:tc>
        <w:tc>
          <w:tcPr>
            <w:tcW w:w="2736" w:type="dxa"/>
          </w:tcPr>
          <w:p w:rsidR="003D64AD" w:rsidRDefault="003D64AD" w:rsidP="00B369B1">
            <w:pPr>
              <w:tabs>
                <w:tab w:val="right" w:pos="2358"/>
              </w:tabs>
              <w:outlineLvl w:val="0"/>
              <w:rPr>
                <w:b/>
                <w:sz w:val="20"/>
              </w:rPr>
            </w:pPr>
            <w:proofErr w:type="spellStart"/>
            <w:r w:rsidRPr="003D64AD">
              <w:rPr>
                <w:b/>
                <w:sz w:val="20"/>
              </w:rPr>
              <w:t>Pos_Bit_M_Tp_Out</w:t>
            </w:r>
            <w:proofErr w:type="spellEnd"/>
          </w:p>
          <w:p w:rsidR="003D64AD" w:rsidRDefault="003D64AD" w:rsidP="00B369B1">
            <w:pPr>
              <w:tabs>
                <w:tab w:val="right" w:pos="2358"/>
              </w:tabs>
              <w:outlineLvl w:val="0"/>
              <w:rPr>
                <w:b/>
                <w:sz w:val="20"/>
              </w:rPr>
            </w:pPr>
            <w:proofErr w:type="spellStart"/>
            <w:r w:rsidRPr="003D64AD">
              <w:rPr>
                <w:b/>
                <w:sz w:val="20"/>
              </w:rPr>
              <w:t>Neg_Bit_M_Tp_Out</w:t>
            </w:r>
            <w:proofErr w:type="spellEnd"/>
          </w:p>
          <w:p w:rsidR="003D64AD" w:rsidRDefault="003D64AD" w:rsidP="00B369B1">
            <w:pPr>
              <w:tabs>
                <w:tab w:val="right" w:pos="2358"/>
              </w:tabs>
              <w:outlineLvl w:val="0"/>
              <w:rPr>
                <w:b/>
                <w:sz w:val="20"/>
              </w:rPr>
            </w:pPr>
            <w:r w:rsidRPr="003D64AD">
              <w:rPr>
                <w:b/>
                <w:sz w:val="20"/>
              </w:rPr>
              <w:t>2Inh_Gd_Tp_Out</w:t>
            </w:r>
          </w:p>
          <w:p w:rsidR="003D64AD" w:rsidRDefault="003D64AD" w:rsidP="00B369B1">
            <w:pPr>
              <w:tabs>
                <w:tab w:val="right" w:pos="2358"/>
              </w:tabs>
              <w:outlineLvl w:val="0"/>
              <w:rPr>
                <w:b/>
                <w:sz w:val="20"/>
              </w:rPr>
            </w:pPr>
            <w:r w:rsidRPr="003D64AD">
              <w:rPr>
                <w:b/>
                <w:sz w:val="20"/>
              </w:rPr>
              <w:t>3Inh_Gd_Tp_Out</w:t>
            </w:r>
          </w:p>
          <w:p w:rsidR="004C2995" w:rsidRDefault="004C2995" w:rsidP="00B369B1">
            <w:pPr>
              <w:tabs>
                <w:tab w:val="right" w:pos="2358"/>
              </w:tabs>
              <w:outlineLvl w:val="0"/>
              <w:rPr>
                <w:b/>
                <w:sz w:val="20"/>
              </w:rPr>
            </w:pPr>
            <w:r w:rsidRPr="00B07D13">
              <w:rPr>
                <w:b/>
                <w:sz w:val="20"/>
              </w:rPr>
              <w:t>1ST_Safe_St</w:t>
            </w:r>
          </w:p>
        </w:tc>
        <w:tc>
          <w:tcPr>
            <w:tcW w:w="2007" w:type="dxa"/>
          </w:tcPr>
          <w:p w:rsidR="004C2995" w:rsidRDefault="004C2995" w:rsidP="002A36D6">
            <w:pPr>
              <w:outlineLvl w:val="0"/>
              <w:rPr>
                <w:b/>
                <w:sz w:val="20"/>
              </w:rPr>
            </w:pPr>
            <w:r>
              <w:rPr>
                <w:b/>
                <w:sz w:val="20"/>
              </w:rPr>
              <w:t>All normal fallout based on ORCA history or explained by test measurement variations</w:t>
            </w:r>
          </w:p>
        </w:tc>
        <w:tc>
          <w:tcPr>
            <w:tcW w:w="2754" w:type="dxa"/>
          </w:tcPr>
          <w:p w:rsidR="004C2995" w:rsidRDefault="004C2995" w:rsidP="00620EE4">
            <w:pPr>
              <w:tabs>
                <w:tab w:val="right" w:pos="2358"/>
              </w:tabs>
              <w:outlineLvl w:val="0"/>
              <w:rPr>
                <w:b/>
                <w:sz w:val="20"/>
              </w:rPr>
            </w:pPr>
            <w:r w:rsidRPr="00B07D13">
              <w:rPr>
                <w:b/>
                <w:sz w:val="20"/>
              </w:rPr>
              <w:t>1ST_Safe_St</w:t>
            </w:r>
          </w:p>
        </w:tc>
        <w:tc>
          <w:tcPr>
            <w:tcW w:w="2009" w:type="dxa"/>
          </w:tcPr>
          <w:p w:rsidR="004C2995" w:rsidRDefault="004C2995" w:rsidP="00620EE4">
            <w:pPr>
              <w:outlineLvl w:val="0"/>
              <w:rPr>
                <w:b/>
                <w:sz w:val="20"/>
              </w:rPr>
            </w:pPr>
            <w:r>
              <w:rPr>
                <w:b/>
                <w:sz w:val="20"/>
              </w:rPr>
              <w:t>All normal fallout based on ORCA history or explained by test measurement variations</w:t>
            </w:r>
          </w:p>
        </w:tc>
      </w:tr>
      <w:tr w:rsidR="003D64AD" w:rsidTr="008F3DF8">
        <w:trPr>
          <w:jc w:val="center"/>
        </w:trPr>
        <w:tc>
          <w:tcPr>
            <w:tcW w:w="1494" w:type="dxa"/>
          </w:tcPr>
          <w:p w:rsidR="003D64AD" w:rsidRDefault="003D64AD" w:rsidP="00875770">
            <w:pPr>
              <w:outlineLvl w:val="0"/>
              <w:rPr>
                <w:b/>
                <w:sz w:val="20"/>
              </w:rPr>
            </w:pPr>
            <w:r>
              <w:rPr>
                <w:b/>
                <w:sz w:val="20"/>
              </w:rPr>
              <w:t>Post-Thermal/</w:t>
            </w:r>
          </w:p>
          <w:p w:rsidR="003D64AD" w:rsidRDefault="003D64AD" w:rsidP="004C2995">
            <w:pPr>
              <w:outlineLvl w:val="0"/>
              <w:rPr>
                <w:b/>
                <w:sz w:val="20"/>
              </w:rPr>
            </w:pPr>
            <w:r>
              <w:rPr>
                <w:b/>
                <w:sz w:val="20"/>
              </w:rPr>
              <w:t>Pre-Vibe</w:t>
            </w:r>
          </w:p>
        </w:tc>
        <w:tc>
          <w:tcPr>
            <w:tcW w:w="2736" w:type="dxa"/>
          </w:tcPr>
          <w:p w:rsidR="003D64AD" w:rsidRPr="008F3DF8" w:rsidRDefault="003D64AD" w:rsidP="00B369B1">
            <w:pPr>
              <w:outlineLvl w:val="0"/>
              <w:rPr>
                <w:b/>
                <w:sz w:val="20"/>
              </w:rPr>
            </w:pPr>
            <w:r>
              <w:rPr>
                <w:b/>
                <w:sz w:val="20"/>
              </w:rPr>
              <w:t>None</w:t>
            </w:r>
          </w:p>
        </w:tc>
        <w:tc>
          <w:tcPr>
            <w:tcW w:w="2007" w:type="dxa"/>
          </w:tcPr>
          <w:p w:rsidR="003D64AD" w:rsidRDefault="003D64AD" w:rsidP="00620EE4">
            <w:pPr>
              <w:outlineLvl w:val="0"/>
              <w:rPr>
                <w:b/>
                <w:sz w:val="20"/>
              </w:rPr>
            </w:pPr>
            <w:r>
              <w:rPr>
                <w:b/>
                <w:sz w:val="20"/>
              </w:rPr>
              <w:t>All Approved</w:t>
            </w:r>
          </w:p>
        </w:tc>
        <w:tc>
          <w:tcPr>
            <w:tcW w:w="2754" w:type="dxa"/>
          </w:tcPr>
          <w:p w:rsidR="003D64AD" w:rsidRPr="008F3DF8" w:rsidRDefault="003D64AD" w:rsidP="007B2B3D">
            <w:pPr>
              <w:outlineLvl w:val="0"/>
              <w:rPr>
                <w:b/>
                <w:sz w:val="20"/>
              </w:rPr>
            </w:pPr>
            <w:r>
              <w:rPr>
                <w:b/>
                <w:sz w:val="20"/>
              </w:rPr>
              <w:t>None</w:t>
            </w:r>
          </w:p>
        </w:tc>
        <w:tc>
          <w:tcPr>
            <w:tcW w:w="2009" w:type="dxa"/>
          </w:tcPr>
          <w:p w:rsidR="003D64AD" w:rsidRDefault="003D64AD" w:rsidP="007B2B3D">
            <w:pPr>
              <w:outlineLvl w:val="0"/>
              <w:rPr>
                <w:b/>
                <w:sz w:val="20"/>
              </w:rPr>
            </w:pPr>
            <w:r>
              <w:rPr>
                <w:b/>
                <w:sz w:val="20"/>
              </w:rPr>
              <w:t>All Approved</w:t>
            </w:r>
          </w:p>
        </w:tc>
      </w:tr>
      <w:tr w:rsidR="00397A82" w:rsidTr="008F3DF8">
        <w:trPr>
          <w:jc w:val="center"/>
        </w:trPr>
        <w:tc>
          <w:tcPr>
            <w:tcW w:w="1494" w:type="dxa"/>
          </w:tcPr>
          <w:p w:rsidR="00397A82" w:rsidRDefault="00397A82" w:rsidP="00620EE4">
            <w:pPr>
              <w:outlineLvl w:val="0"/>
              <w:rPr>
                <w:b/>
                <w:sz w:val="20"/>
              </w:rPr>
            </w:pPr>
            <w:r>
              <w:rPr>
                <w:b/>
                <w:sz w:val="20"/>
              </w:rPr>
              <w:t>Post-Vibe/</w:t>
            </w:r>
          </w:p>
          <w:p w:rsidR="00397A82" w:rsidRDefault="00397A82" w:rsidP="00620EE4">
            <w:pPr>
              <w:outlineLvl w:val="0"/>
              <w:rPr>
                <w:b/>
                <w:sz w:val="20"/>
              </w:rPr>
            </w:pPr>
            <w:r>
              <w:rPr>
                <w:b/>
                <w:sz w:val="20"/>
              </w:rPr>
              <w:t>Pre-</w:t>
            </w:r>
            <w:proofErr w:type="spellStart"/>
            <w:r>
              <w:rPr>
                <w:b/>
                <w:sz w:val="20"/>
              </w:rPr>
              <w:t>BurnIn</w:t>
            </w:r>
            <w:proofErr w:type="spellEnd"/>
          </w:p>
        </w:tc>
        <w:tc>
          <w:tcPr>
            <w:tcW w:w="2736" w:type="dxa"/>
          </w:tcPr>
          <w:p w:rsidR="00397A82" w:rsidRPr="008F3DF8" w:rsidRDefault="003D64AD" w:rsidP="00DA7289">
            <w:pPr>
              <w:outlineLvl w:val="0"/>
              <w:rPr>
                <w:b/>
                <w:sz w:val="20"/>
              </w:rPr>
            </w:pPr>
            <w:r w:rsidRPr="00B07D13">
              <w:rPr>
                <w:b/>
                <w:sz w:val="20"/>
              </w:rPr>
              <w:t>1ST_Safe_St</w:t>
            </w:r>
          </w:p>
        </w:tc>
        <w:tc>
          <w:tcPr>
            <w:tcW w:w="2007" w:type="dxa"/>
          </w:tcPr>
          <w:p w:rsidR="00397A82" w:rsidRDefault="003D64AD" w:rsidP="00DA7289">
            <w:pPr>
              <w:outlineLvl w:val="0"/>
              <w:rPr>
                <w:b/>
                <w:sz w:val="20"/>
              </w:rPr>
            </w:pPr>
            <w:r>
              <w:rPr>
                <w:b/>
                <w:sz w:val="20"/>
              </w:rPr>
              <w:t>All Acceptable</w:t>
            </w:r>
          </w:p>
        </w:tc>
        <w:tc>
          <w:tcPr>
            <w:tcW w:w="2754" w:type="dxa"/>
          </w:tcPr>
          <w:p w:rsidR="00397A82" w:rsidRPr="008F3DF8" w:rsidRDefault="00397A82" w:rsidP="00397A82">
            <w:pPr>
              <w:outlineLvl w:val="0"/>
              <w:rPr>
                <w:b/>
                <w:sz w:val="20"/>
              </w:rPr>
            </w:pPr>
            <w:r w:rsidRPr="00B07D13">
              <w:rPr>
                <w:b/>
                <w:sz w:val="20"/>
              </w:rPr>
              <w:t>1ST_Safe_St</w:t>
            </w:r>
          </w:p>
        </w:tc>
        <w:tc>
          <w:tcPr>
            <w:tcW w:w="2009" w:type="dxa"/>
          </w:tcPr>
          <w:p w:rsidR="00397A82" w:rsidRDefault="00397A82" w:rsidP="00620EE4">
            <w:pPr>
              <w:outlineLvl w:val="0"/>
              <w:rPr>
                <w:b/>
                <w:sz w:val="20"/>
              </w:rPr>
            </w:pPr>
            <w:r>
              <w:rPr>
                <w:b/>
                <w:sz w:val="20"/>
              </w:rPr>
              <w:t>All Acceptable</w:t>
            </w:r>
          </w:p>
        </w:tc>
      </w:tr>
      <w:tr w:rsidR="003D64AD" w:rsidTr="008F3DF8">
        <w:trPr>
          <w:jc w:val="center"/>
        </w:trPr>
        <w:tc>
          <w:tcPr>
            <w:tcW w:w="1494" w:type="dxa"/>
          </w:tcPr>
          <w:p w:rsidR="003D64AD" w:rsidRDefault="003D64AD" w:rsidP="00875770">
            <w:pPr>
              <w:outlineLvl w:val="0"/>
              <w:rPr>
                <w:b/>
                <w:sz w:val="20"/>
              </w:rPr>
            </w:pPr>
            <w:r>
              <w:rPr>
                <w:b/>
                <w:sz w:val="20"/>
              </w:rPr>
              <w:t>Post-</w:t>
            </w:r>
            <w:proofErr w:type="spellStart"/>
            <w:r>
              <w:rPr>
                <w:b/>
                <w:sz w:val="20"/>
              </w:rPr>
              <w:t>BurnIn</w:t>
            </w:r>
            <w:proofErr w:type="spellEnd"/>
            <w:r>
              <w:rPr>
                <w:b/>
                <w:sz w:val="20"/>
              </w:rPr>
              <w:t>/</w:t>
            </w:r>
          </w:p>
          <w:p w:rsidR="003D64AD" w:rsidRDefault="003D64AD" w:rsidP="00CA5B8E">
            <w:pPr>
              <w:outlineLvl w:val="0"/>
              <w:rPr>
                <w:b/>
                <w:sz w:val="20"/>
              </w:rPr>
            </w:pPr>
            <w:r>
              <w:rPr>
                <w:b/>
                <w:sz w:val="20"/>
              </w:rPr>
              <w:t>Pre-Thermal</w:t>
            </w:r>
          </w:p>
        </w:tc>
        <w:tc>
          <w:tcPr>
            <w:tcW w:w="2736" w:type="dxa"/>
          </w:tcPr>
          <w:p w:rsidR="003D64AD" w:rsidRPr="008F3DF8" w:rsidRDefault="003D64AD" w:rsidP="007B2B3D">
            <w:pPr>
              <w:outlineLvl w:val="0"/>
              <w:rPr>
                <w:b/>
                <w:sz w:val="20"/>
              </w:rPr>
            </w:pPr>
            <w:r w:rsidRPr="00B07D13">
              <w:rPr>
                <w:b/>
                <w:sz w:val="20"/>
              </w:rPr>
              <w:t>1ST_Safe_St</w:t>
            </w:r>
          </w:p>
        </w:tc>
        <w:tc>
          <w:tcPr>
            <w:tcW w:w="2007" w:type="dxa"/>
          </w:tcPr>
          <w:p w:rsidR="003D64AD" w:rsidRDefault="003D64AD" w:rsidP="007B2B3D">
            <w:pPr>
              <w:outlineLvl w:val="0"/>
              <w:rPr>
                <w:b/>
                <w:sz w:val="20"/>
              </w:rPr>
            </w:pPr>
            <w:r>
              <w:rPr>
                <w:b/>
                <w:sz w:val="20"/>
              </w:rPr>
              <w:t>All Acceptable</w:t>
            </w:r>
          </w:p>
        </w:tc>
        <w:tc>
          <w:tcPr>
            <w:tcW w:w="2754" w:type="dxa"/>
          </w:tcPr>
          <w:p w:rsidR="003D64AD" w:rsidRPr="008F3DF8" w:rsidRDefault="003D64AD" w:rsidP="00620EE4">
            <w:pPr>
              <w:outlineLvl w:val="0"/>
              <w:rPr>
                <w:b/>
                <w:sz w:val="20"/>
              </w:rPr>
            </w:pPr>
            <w:r w:rsidRPr="00B07D13">
              <w:rPr>
                <w:b/>
                <w:sz w:val="20"/>
              </w:rPr>
              <w:t>1ST_Safe_St</w:t>
            </w:r>
          </w:p>
        </w:tc>
        <w:tc>
          <w:tcPr>
            <w:tcW w:w="2009" w:type="dxa"/>
          </w:tcPr>
          <w:p w:rsidR="003D64AD" w:rsidRDefault="003D64AD" w:rsidP="00620EE4">
            <w:pPr>
              <w:outlineLvl w:val="0"/>
              <w:rPr>
                <w:b/>
                <w:sz w:val="20"/>
              </w:rPr>
            </w:pPr>
            <w:r>
              <w:rPr>
                <w:b/>
                <w:sz w:val="20"/>
              </w:rPr>
              <w:t>All Acceptable</w:t>
            </w:r>
          </w:p>
        </w:tc>
      </w:tr>
      <w:tr w:rsidR="00562734" w:rsidTr="00620EE4">
        <w:trPr>
          <w:jc w:val="center"/>
        </w:trPr>
        <w:tc>
          <w:tcPr>
            <w:tcW w:w="1494" w:type="dxa"/>
          </w:tcPr>
          <w:p w:rsidR="00562734" w:rsidRDefault="00562734" w:rsidP="00332D07">
            <w:pPr>
              <w:outlineLvl w:val="0"/>
              <w:rPr>
                <w:b/>
                <w:sz w:val="20"/>
              </w:rPr>
            </w:pPr>
            <w:r>
              <w:rPr>
                <w:b/>
                <w:sz w:val="20"/>
              </w:rPr>
              <w:t>Final Ambient</w:t>
            </w:r>
          </w:p>
        </w:tc>
        <w:tc>
          <w:tcPr>
            <w:tcW w:w="2736" w:type="dxa"/>
          </w:tcPr>
          <w:p w:rsidR="00562734" w:rsidRPr="008F3DF8" w:rsidRDefault="00562734" w:rsidP="007B2B3D">
            <w:pPr>
              <w:outlineLvl w:val="0"/>
              <w:rPr>
                <w:b/>
                <w:sz w:val="20"/>
              </w:rPr>
            </w:pPr>
            <w:r w:rsidRPr="00B07D13">
              <w:rPr>
                <w:b/>
                <w:sz w:val="20"/>
              </w:rPr>
              <w:t>1ST_Safe_St</w:t>
            </w:r>
          </w:p>
        </w:tc>
        <w:tc>
          <w:tcPr>
            <w:tcW w:w="2007" w:type="dxa"/>
          </w:tcPr>
          <w:p w:rsidR="00562734" w:rsidRDefault="00562734" w:rsidP="007B2B3D">
            <w:pPr>
              <w:outlineLvl w:val="0"/>
              <w:rPr>
                <w:b/>
                <w:sz w:val="20"/>
              </w:rPr>
            </w:pPr>
            <w:r>
              <w:rPr>
                <w:b/>
                <w:sz w:val="20"/>
              </w:rPr>
              <w:t>All Acceptable</w:t>
            </w:r>
          </w:p>
        </w:tc>
        <w:tc>
          <w:tcPr>
            <w:tcW w:w="2754" w:type="dxa"/>
          </w:tcPr>
          <w:p w:rsidR="00562734" w:rsidRPr="008F3DF8" w:rsidRDefault="00562734" w:rsidP="00397A82">
            <w:pPr>
              <w:outlineLvl w:val="0"/>
              <w:rPr>
                <w:b/>
                <w:sz w:val="20"/>
              </w:rPr>
            </w:pPr>
            <w:r w:rsidRPr="00B07D13">
              <w:rPr>
                <w:b/>
                <w:sz w:val="20"/>
              </w:rPr>
              <w:t>1ST_Safe_St</w:t>
            </w:r>
          </w:p>
        </w:tc>
        <w:tc>
          <w:tcPr>
            <w:tcW w:w="2009" w:type="dxa"/>
          </w:tcPr>
          <w:p w:rsidR="00562734" w:rsidRDefault="00562734" w:rsidP="00620EE4">
            <w:pPr>
              <w:outlineLvl w:val="0"/>
              <w:rPr>
                <w:b/>
                <w:sz w:val="20"/>
              </w:rPr>
            </w:pPr>
            <w:r>
              <w:rPr>
                <w:b/>
                <w:sz w:val="20"/>
              </w:rPr>
              <w:t>All Acceptable</w:t>
            </w:r>
          </w:p>
        </w:tc>
      </w:tr>
    </w:tbl>
    <w:p w:rsidR="00772E7F" w:rsidRDefault="00772E7F" w:rsidP="002A36D6">
      <w:pPr>
        <w:outlineLvl w:val="0"/>
        <w:rPr>
          <w:b/>
          <w:sz w:val="20"/>
        </w:rPr>
      </w:pPr>
    </w:p>
    <w:p w:rsidR="00FC254D" w:rsidRDefault="00FC254D" w:rsidP="00E578BE">
      <w:pPr>
        <w:outlineLvl w:val="0"/>
        <w:rPr>
          <w:b/>
          <w:sz w:val="22"/>
        </w:rPr>
      </w:pPr>
      <w:r>
        <w:rPr>
          <w:b/>
          <w:sz w:val="22"/>
        </w:rPr>
        <w:t>OCU SN003</w:t>
      </w:r>
      <w:r w:rsidR="002D3423">
        <w:rPr>
          <w:b/>
          <w:sz w:val="22"/>
        </w:rPr>
        <w:t>4</w:t>
      </w:r>
      <w:r>
        <w:rPr>
          <w:b/>
          <w:sz w:val="22"/>
        </w:rPr>
        <w:t xml:space="preserve"> Six Sigma Analysis Summary</w:t>
      </w:r>
    </w:p>
    <w:p w:rsidR="00FC254D" w:rsidRDefault="00FC254D" w:rsidP="00E578BE">
      <w:pPr>
        <w:outlineLvl w:val="0"/>
        <w:rPr>
          <w:b/>
          <w:sz w:val="22"/>
        </w:rPr>
      </w:pPr>
    </w:p>
    <w:tbl>
      <w:tblPr>
        <w:tblStyle w:val="TableGrid"/>
        <w:tblW w:w="11000" w:type="dxa"/>
        <w:jc w:val="center"/>
        <w:tblInd w:w="-1062" w:type="dxa"/>
        <w:tblLayout w:type="fixed"/>
        <w:tblLook w:val="04A0"/>
      </w:tblPr>
      <w:tblGrid>
        <w:gridCol w:w="1494"/>
        <w:gridCol w:w="2736"/>
        <w:gridCol w:w="2007"/>
        <w:gridCol w:w="2754"/>
        <w:gridCol w:w="2009"/>
      </w:tblGrid>
      <w:tr w:rsidR="00FC254D" w:rsidTr="00E261DD">
        <w:trPr>
          <w:jc w:val="center"/>
        </w:trPr>
        <w:tc>
          <w:tcPr>
            <w:tcW w:w="1494" w:type="dxa"/>
          </w:tcPr>
          <w:p w:rsidR="00FC254D" w:rsidRDefault="00FC254D" w:rsidP="00E261DD">
            <w:pPr>
              <w:outlineLvl w:val="0"/>
              <w:rPr>
                <w:b/>
                <w:sz w:val="20"/>
              </w:rPr>
            </w:pPr>
            <w:r>
              <w:rPr>
                <w:b/>
                <w:sz w:val="20"/>
              </w:rPr>
              <w:t>Test</w:t>
            </w:r>
          </w:p>
        </w:tc>
        <w:tc>
          <w:tcPr>
            <w:tcW w:w="4743" w:type="dxa"/>
            <w:gridSpan w:val="2"/>
          </w:tcPr>
          <w:p w:rsidR="00FC254D" w:rsidRDefault="00FC254D" w:rsidP="00E261DD">
            <w:pPr>
              <w:outlineLvl w:val="0"/>
              <w:rPr>
                <w:b/>
                <w:sz w:val="20"/>
              </w:rPr>
            </w:pPr>
            <w:r>
              <w:rPr>
                <w:b/>
                <w:sz w:val="20"/>
              </w:rPr>
              <w:t>Channel 1 Trend Fallout</w:t>
            </w:r>
          </w:p>
        </w:tc>
        <w:tc>
          <w:tcPr>
            <w:tcW w:w="4763" w:type="dxa"/>
            <w:gridSpan w:val="2"/>
          </w:tcPr>
          <w:p w:rsidR="00FC254D" w:rsidRDefault="00FC254D" w:rsidP="00E261DD">
            <w:pPr>
              <w:outlineLvl w:val="0"/>
              <w:rPr>
                <w:b/>
                <w:sz w:val="20"/>
              </w:rPr>
            </w:pPr>
            <w:r>
              <w:rPr>
                <w:b/>
                <w:sz w:val="20"/>
              </w:rPr>
              <w:t>Channel 2 Trend Fallout</w:t>
            </w:r>
          </w:p>
        </w:tc>
      </w:tr>
      <w:tr w:rsidR="00397A82" w:rsidTr="00E261DD">
        <w:trPr>
          <w:jc w:val="center"/>
        </w:trPr>
        <w:tc>
          <w:tcPr>
            <w:tcW w:w="1494" w:type="dxa"/>
          </w:tcPr>
          <w:p w:rsidR="00397A82" w:rsidRDefault="00397A82" w:rsidP="00DA7289">
            <w:pPr>
              <w:outlineLvl w:val="0"/>
              <w:rPr>
                <w:b/>
                <w:sz w:val="20"/>
              </w:rPr>
            </w:pPr>
            <w:r>
              <w:rPr>
                <w:b/>
                <w:sz w:val="20"/>
              </w:rPr>
              <w:t>Initial Ambient/</w:t>
            </w:r>
          </w:p>
          <w:p w:rsidR="00397A82" w:rsidRDefault="00397A82" w:rsidP="00DA7289">
            <w:pPr>
              <w:outlineLvl w:val="0"/>
              <w:rPr>
                <w:b/>
                <w:sz w:val="20"/>
              </w:rPr>
            </w:pPr>
            <w:r>
              <w:rPr>
                <w:b/>
                <w:sz w:val="20"/>
              </w:rPr>
              <w:t>Pre-Thermal</w:t>
            </w:r>
          </w:p>
        </w:tc>
        <w:tc>
          <w:tcPr>
            <w:tcW w:w="2736" w:type="dxa"/>
          </w:tcPr>
          <w:p w:rsidR="00397A82" w:rsidRDefault="003D64AD" w:rsidP="002F5857">
            <w:pPr>
              <w:tabs>
                <w:tab w:val="right" w:pos="2358"/>
              </w:tabs>
              <w:outlineLvl w:val="0"/>
              <w:rPr>
                <w:b/>
                <w:sz w:val="20"/>
              </w:rPr>
            </w:pPr>
            <w:r>
              <w:rPr>
                <w:b/>
                <w:sz w:val="20"/>
              </w:rPr>
              <w:t>None</w:t>
            </w:r>
          </w:p>
        </w:tc>
        <w:tc>
          <w:tcPr>
            <w:tcW w:w="2007" w:type="dxa"/>
          </w:tcPr>
          <w:p w:rsidR="00397A82" w:rsidRDefault="00397A82" w:rsidP="00E261DD">
            <w:pPr>
              <w:outlineLvl w:val="0"/>
              <w:rPr>
                <w:b/>
                <w:sz w:val="20"/>
              </w:rPr>
            </w:pPr>
            <w:r>
              <w:rPr>
                <w:b/>
                <w:sz w:val="20"/>
              </w:rPr>
              <w:t>All normal fallout based on ORCA history or explained by test measurement variations</w:t>
            </w:r>
          </w:p>
        </w:tc>
        <w:tc>
          <w:tcPr>
            <w:tcW w:w="2754" w:type="dxa"/>
          </w:tcPr>
          <w:p w:rsidR="00397A82" w:rsidRDefault="00397A82" w:rsidP="00E261DD">
            <w:pPr>
              <w:tabs>
                <w:tab w:val="right" w:pos="2358"/>
              </w:tabs>
              <w:outlineLvl w:val="0"/>
              <w:rPr>
                <w:b/>
                <w:sz w:val="20"/>
              </w:rPr>
            </w:pPr>
            <w:r>
              <w:rPr>
                <w:b/>
                <w:sz w:val="20"/>
              </w:rPr>
              <w:t>None</w:t>
            </w:r>
          </w:p>
        </w:tc>
        <w:tc>
          <w:tcPr>
            <w:tcW w:w="2009" w:type="dxa"/>
          </w:tcPr>
          <w:p w:rsidR="00397A82" w:rsidRDefault="00397A82" w:rsidP="00E261DD">
            <w:pPr>
              <w:outlineLvl w:val="0"/>
              <w:rPr>
                <w:b/>
                <w:sz w:val="20"/>
              </w:rPr>
            </w:pPr>
            <w:r>
              <w:rPr>
                <w:b/>
                <w:sz w:val="20"/>
              </w:rPr>
              <w:t>All normal fallout based on ORCA history or explained by test measurement variations</w:t>
            </w:r>
          </w:p>
        </w:tc>
      </w:tr>
      <w:tr w:rsidR="00397A82" w:rsidTr="00E261DD">
        <w:trPr>
          <w:jc w:val="center"/>
        </w:trPr>
        <w:tc>
          <w:tcPr>
            <w:tcW w:w="1494" w:type="dxa"/>
          </w:tcPr>
          <w:p w:rsidR="00397A82" w:rsidRDefault="00397A82" w:rsidP="00DA7289">
            <w:pPr>
              <w:outlineLvl w:val="0"/>
              <w:rPr>
                <w:b/>
                <w:sz w:val="20"/>
              </w:rPr>
            </w:pPr>
            <w:r>
              <w:rPr>
                <w:b/>
                <w:sz w:val="20"/>
              </w:rPr>
              <w:t>Post-Thermal/</w:t>
            </w:r>
          </w:p>
          <w:p w:rsidR="00397A82" w:rsidRDefault="00397A82" w:rsidP="00DA7289">
            <w:pPr>
              <w:outlineLvl w:val="0"/>
              <w:rPr>
                <w:b/>
                <w:sz w:val="20"/>
              </w:rPr>
            </w:pPr>
            <w:r>
              <w:rPr>
                <w:b/>
                <w:sz w:val="20"/>
              </w:rPr>
              <w:t>Pre-Vibe</w:t>
            </w:r>
          </w:p>
        </w:tc>
        <w:tc>
          <w:tcPr>
            <w:tcW w:w="2736" w:type="dxa"/>
          </w:tcPr>
          <w:p w:rsidR="00397A82" w:rsidRDefault="003D64AD">
            <w:proofErr w:type="spellStart"/>
            <w:r w:rsidRPr="003D64AD">
              <w:rPr>
                <w:b/>
                <w:sz w:val="20"/>
              </w:rPr>
              <w:t>Pos_Bias_Tp_Out</w:t>
            </w:r>
            <w:proofErr w:type="spellEnd"/>
          </w:p>
        </w:tc>
        <w:tc>
          <w:tcPr>
            <w:tcW w:w="2007" w:type="dxa"/>
          </w:tcPr>
          <w:p w:rsidR="00397A82" w:rsidRDefault="00397A82" w:rsidP="00E261DD">
            <w:pPr>
              <w:outlineLvl w:val="0"/>
              <w:rPr>
                <w:b/>
                <w:sz w:val="20"/>
              </w:rPr>
            </w:pPr>
            <w:r>
              <w:rPr>
                <w:b/>
                <w:sz w:val="20"/>
              </w:rPr>
              <w:t>All Acceptable</w:t>
            </w:r>
          </w:p>
        </w:tc>
        <w:tc>
          <w:tcPr>
            <w:tcW w:w="2754" w:type="dxa"/>
          </w:tcPr>
          <w:p w:rsidR="00397A82" w:rsidRDefault="00397A82" w:rsidP="00397A82">
            <w:r>
              <w:rPr>
                <w:b/>
                <w:sz w:val="20"/>
              </w:rPr>
              <w:t>None</w:t>
            </w:r>
          </w:p>
        </w:tc>
        <w:tc>
          <w:tcPr>
            <w:tcW w:w="2009" w:type="dxa"/>
          </w:tcPr>
          <w:p w:rsidR="00397A82" w:rsidRDefault="00397A82" w:rsidP="00E261DD">
            <w:pPr>
              <w:outlineLvl w:val="0"/>
              <w:rPr>
                <w:b/>
                <w:sz w:val="20"/>
              </w:rPr>
            </w:pPr>
            <w:r>
              <w:rPr>
                <w:b/>
                <w:sz w:val="20"/>
              </w:rPr>
              <w:t>All Approved</w:t>
            </w:r>
          </w:p>
        </w:tc>
      </w:tr>
      <w:tr w:rsidR="00397A82" w:rsidTr="00E261DD">
        <w:trPr>
          <w:jc w:val="center"/>
        </w:trPr>
        <w:tc>
          <w:tcPr>
            <w:tcW w:w="1494" w:type="dxa"/>
          </w:tcPr>
          <w:p w:rsidR="00397A82" w:rsidRDefault="00397A82" w:rsidP="00DA7289">
            <w:pPr>
              <w:outlineLvl w:val="0"/>
              <w:rPr>
                <w:b/>
                <w:sz w:val="20"/>
              </w:rPr>
            </w:pPr>
            <w:r>
              <w:rPr>
                <w:b/>
                <w:sz w:val="20"/>
              </w:rPr>
              <w:t>Post-Vibe/</w:t>
            </w:r>
          </w:p>
          <w:p w:rsidR="00397A82" w:rsidRDefault="00397A82" w:rsidP="00DA7289">
            <w:pPr>
              <w:outlineLvl w:val="0"/>
              <w:rPr>
                <w:b/>
                <w:sz w:val="20"/>
              </w:rPr>
            </w:pPr>
            <w:r>
              <w:rPr>
                <w:b/>
                <w:sz w:val="20"/>
              </w:rPr>
              <w:t>Pre-</w:t>
            </w:r>
            <w:proofErr w:type="spellStart"/>
            <w:r>
              <w:rPr>
                <w:b/>
                <w:sz w:val="20"/>
              </w:rPr>
              <w:t>BurnIn</w:t>
            </w:r>
            <w:proofErr w:type="spellEnd"/>
          </w:p>
        </w:tc>
        <w:tc>
          <w:tcPr>
            <w:tcW w:w="2736" w:type="dxa"/>
          </w:tcPr>
          <w:p w:rsidR="00397A82" w:rsidRDefault="003D64AD">
            <w:proofErr w:type="spellStart"/>
            <w:r w:rsidRPr="003D64AD">
              <w:rPr>
                <w:b/>
                <w:sz w:val="20"/>
              </w:rPr>
              <w:t>P_Bat_Sig_Out</w:t>
            </w:r>
            <w:proofErr w:type="spellEnd"/>
          </w:p>
        </w:tc>
        <w:tc>
          <w:tcPr>
            <w:tcW w:w="2007" w:type="dxa"/>
          </w:tcPr>
          <w:p w:rsidR="00397A82" w:rsidRDefault="00397A82" w:rsidP="00E261DD">
            <w:pPr>
              <w:outlineLvl w:val="0"/>
              <w:rPr>
                <w:b/>
                <w:sz w:val="20"/>
              </w:rPr>
            </w:pPr>
            <w:r>
              <w:rPr>
                <w:b/>
                <w:sz w:val="20"/>
              </w:rPr>
              <w:t>All Acceptable</w:t>
            </w:r>
          </w:p>
        </w:tc>
        <w:tc>
          <w:tcPr>
            <w:tcW w:w="2754" w:type="dxa"/>
          </w:tcPr>
          <w:p w:rsidR="00397A82" w:rsidRDefault="00397A82" w:rsidP="00DA7289">
            <w:r>
              <w:rPr>
                <w:b/>
                <w:sz w:val="20"/>
              </w:rPr>
              <w:t>None</w:t>
            </w:r>
          </w:p>
        </w:tc>
        <w:tc>
          <w:tcPr>
            <w:tcW w:w="2009" w:type="dxa"/>
          </w:tcPr>
          <w:p w:rsidR="00397A82" w:rsidRDefault="00397A82" w:rsidP="00DA7289">
            <w:pPr>
              <w:outlineLvl w:val="0"/>
              <w:rPr>
                <w:b/>
                <w:sz w:val="20"/>
              </w:rPr>
            </w:pPr>
            <w:r>
              <w:rPr>
                <w:b/>
                <w:sz w:val="20"/>
              </w:rPr>
              <w:t>All Approved</w:t>
            </w:r>
          </w:p>
        </w:tc>
      </w:tr>
      <w:tr w:rsidR="00397A82" w:rsidTr="00E261DD">
        <w:trPr>
          <w:jc w:val="center"/>
        </w:trPr>
        <w:tc>
          <w:tcPr>
            <w:tcW w:w="1494" w:type="dxa"/>
          </w:tcPr>
          <w:p w:rsidR="00397A82" w:rsidRDefault="00397A82" w:rsidP="00DA7289">
            <w:pPr>
              <w:outlineLvl w:val="0"/>
              <w:rPr>
                <w:b/>
                <w:sz w:val="20"/>
              </w:rPr>
            </w:pPr>
            <w:r>
              <w:rPr>
                <w:b/>
                <w:sz w:val="20"/>
              </w:rPr>
              <w:t>Post-</w:t>
            </w:r>
            <w:proofErr w:type="spellStart"/>
            <w:r>
              <w:rPr>
                <w:b/>
                <w:sz w:val="20"/>
              </w:rPr>
              <w:t>BurnIn</w:t>
            </w:r>
            <w:proofErr w:type="spellEnd"/>
            <w:r>
              <w:rPr>
                <w:b/>
                <w:sz w:val="20"/>
              </w:rPr>
              <w:t>/</w:t>
            </w:r>
          </w:p>
          <w:p w:rsidR="00397A82" w:rsidRDefault="00397A82" w:rsidP="00DA7289">
            <w:pPr>
              <w:outlineLvl w:val="0"/>
              <w:rPr>
                <w:b/>
                <w:sz w:val="20"/>
              </w:rPr>
            </w:pPr>
            <w:r>
              <w:rPr>
                <w:b/>
                <w:sz w:val="20"/>
              </w:rPr>
              <w:t>Pre-Thermal</w:t>
            </w:r>
          </w:p>
        </w:tc>
        <w:tc>
          <w:tcPr>
            <w:tcW w:w="2736" w:type="dxa"/>
          </w:tcPr>
          <w:p w:rsidR="00397A82" w:rsidRDefault="003D64AD">
            <w:pPr>
              <w:rPr>
                <w:b/>
                <w:sz w:val="20"/>
              </w:rPr>
            </w:pPr>
            <w:proofErr w:type="spellStart"/>
            <w:r w:rsidRPr="003D64AD">
              <w:rPr>
                <w:b/>
                <w:sz w:val="20"/>
              </w:rPr>
              <w:t>P_Bat_Sig_Out</w:t>
            </w:r>
            <w:proofErr w:type="spellEnd"/>
          </w:p>
          <w:p w:rsidR="003D64AD" w:rsidRDefault="003D64AD">
            <w:proofErr w:type="spellStart"/>
            <w:r w:rsidRPr="00562734">
              <w:rPr>
                <w:b/>
                <w:sz w:val="20"/>
              </w:rPr>
              <w:t>Pos_Bias_Tp_Out</w:t>
            </w:r>
            <w:proofErr w:type="spellEnd"/>
          </w:p>
        </w:tc>
        <w:tc>
          <w:tcPr>
            <w:tcW w:w="2007" w:type="dxa"/>
          </w:tcPr>
          <w:p w:rsidR="00397A82" w:rsidRDefault="00397A82" w:rsidP="00E261DD">
            <w:pPr>
              <w:outlineLvl w:val="0"/>
              <w:rPr>
                <w:b/>
                <w:sz w:val="20"/>
              </w:rPr>
            </w:pPr>
            <w:r>
              <w:rPr>
                <w:b/>
                <w:sz w:val="20"/>
              </w:rPr>
              <w:t>All Approved</w:t>
            </w:r>
          </w:p>
        </w:tc>
        <w:tc>
          <w:tcPr>
            <w:tcW w:w="2754" w:type="dxa"/>
          </w:tcPr>
          <w:p w:rsidR="00397A82" w:rsidRDefault="00397A82" w:rsidP="00DA7289">
            <w:r>
              <w:rPr>
                <w:b/>
                <w:sz w:val="20"/>
              </w:rPr>
              <w:t>None</w:t>
            </w:r>
          </w:p>
        </w:tc>
        <w:tc>
          <w:tcPr>
            <w:tcW w:w="2009" w:type="dxa"/>
          </w:tcPr>
          <w:p w:rsidR="00397A82" w:rsidRDefault="00397A82" w:rsidP="00DA7289">
            <w:pPr>
              <w:outlineLvl w:val="0"/>
              <w:rPr>
                <w:b/>
                <w:sz w:val="20"/>
              </w:rPr>
            </w:pPr>
            <w:r>
              <w:rPr>
                <w:b/>
                <w:sz w:val="20"/>
              </w:rPr>
              <w:t>All Approved</w:t>
            </w:r>
          </w:p>
        </w:tc>
      </w:tr>
      <w:tr w:rsidR="008A3FF4" w:rsidTr="00E261DD">
        <w:trPr>
          <w:jc w:val="center"/>
        </w:trPr>
        <w:tc>
          <w:tcPr>
            <w:tcW w:w="1494" w:type="dxa"/>
          </w:tcPr>
          <w:p w:rsidR="008A3FF4" w:rsidRDefault="008A3FF4" w:rsidP="00DA7289">
            <w:pPr>
              <w:outlineLvl w:val="0"/>
              <w:rPr>
                <w:b/>
                <w:sz w:val="20"/>
              </w:rPr>
            </w:pPr>
            <w:r>
              <w:rPr>
                <w:b/>
                <w:sz w:val="20"/>
              </w:rPr>
              <w:t>Final Ambient</w:t>
            </w:r>
          </w:p>
        </w:tc>
        <w:tc>
          <w:tcPr>
            <w:tcW w:w="2736" w:type="dxa"/>
          </w:tcPr>
          <w:p w:rsidR="008A3FF4" w:rsidRDefault="008A3FF4" w:rsidP="007B2B3D">
            <w:pPr>
              <w:rPr>
                <w:b/>
                <w:sz w:val="20"/>
              </w:rPr>
            </w:pPr>
            <w:proofErr w:type="spellStart"/>
            <w:r w:rsidRPr="003D64AD">
              <w:rPr>
                <w:b/>
                <w:sz w:val="20"/>
              </w:rPr>
              <w:t>P_Bat_Sig_Out</w:t>
            </w:r>
            <w:proofErr w:type="spellEnd"/>
          </w:p>
          <w:p w:rsidR="008A3FF4" w:rsidRDefault="008A3FF4" w:rsidP="007B2B3D">
            <w:proofErr w:type="spellStart"/>
            <w:r w:rsidRPr="00562734">
              <w:rPr>
                <w:b/>
                <w:sz w:val="20"/>
              </w:rPr>
              <w:t>Pos_Bias_Tp_Out</w:t>
            </w:r>
            <w:proofErr w:type="spellEnd"/>
          </w:p>
        </w:tc>
        <w:tc>
          <w:tcPr>
            <w:tcW w:w="2007" w:type="dxa"/>
          </w:tcPr>
          <w:p w:rsidR="008A3FF4" w:rsidRDefault="008A3FF4" w:rsidP="007B2B3D">
            <w:pPr>
              <w:outlineLvl w:val="0"/>
              <w:rPr>
                <w:b/>
                <w:sz w:val="20"/>
              </w:rPr>
            </w:pPr>
            <w:r>
              <w:rPr>
                <w:b/>
                <w:sz w:val="20"/>
              </w:rPr>
              <w:t>All Approved</w:t>
            </w:r>
          </w:p>
        </w:tc>
        <w:tc>
          <w:tcPr>
            <w:tcW w:w="2754" w:type="dxa"/>
          </w:tcPr>
          <w:p w:rsidR="008A3FF4" w:rsidRDefault="008A3FF4" w:rsidP="00DA7289">
            <w:r>
              <w:rPr>
                <w:b/>
                <w:sz w:val="20"/>
              </w:rPr>
              <w:t>None</w:t>
            </w:r>
          </w:p>
        </w:tc>
        <w:tc>
          <w:tcPr>
            <w:tcW w:w="2009" w:type="dxa"/>
          </w:tcPr>
          <w:p w:rsidR="008A3FF4" w:rsidRDefault="008A3FF4" w:rsidP="00DA7289">
            <w:pPr>
              <w:outlineLvl w:val="0"/>
              <w:rPr>
                <w:b/>
                <w:sz w:val="20"/>
              </w:rPr>
            </w:pPr>
            <w:r>
              <w:rPr>
                <w:b/>
                <w:sz w:val="20"/>
              </w:rPr>
              <w:t>All Approved</w:t>
            </w:r>
          </w:p>
        </w:tc>
      </w:tr>
    </w:tbl>
    <w:p w:rsidR="00FC254D" w:rsidRDefault="00FC254D" w:rsidP="00E578BE">
      <w:pPr>
        <w:outlineLvl w:val="0"/>
        <w:rPr>
          <w:b/>
          <w:sz w:val="22"/>
        </w:rPr>
      </w:pPr>
    </w:p>
    <w:p w:rsidR="0032102C" w:rsidRDefault="00C8265A" w:rsidP="00E578BE">
      <w:pPr>
        <w:outlineLvl w:val="0"/>
        <w:rPr>
          <w:b/>
          <w:sz w:val="22"/>
        </w:rPr>
      </w:pPr>
      <w:r w:rsidRPr="00E1067D">
        <w:rPr>
          <w:b/>
          <w:sz w:val="22"/>
        </w:rPr>
        <w:t xml:space="preserve">Based on this trend analysis, </w:t>
      </w:r>
      <w:r w:rsidR="009E124D">
        <w:rPr>
          <w:b/>
          <w:sz w:val="22"/>
        </w:rPr>
        <w:t>OCU SN00</w:t>
      </w:r>
      <w:r w:rsidR="00B61095">
        <w:rPr>
          <w:b/>
          <w:sz w:val="22"/>
        </w:rPr>
        <w:t>3</w:t>
      </w:r>
      <w:r w:rsidR="002D3423">
        <w:rPr>
          <w:b/>
          <w:sz w:val="22"/>
        </w:rPr>
        <w:t>4</w:t>
      </w:r>
      <w:r w:rsidR="000204DD" w:rsidRPr="00E1067D">
        <w:rPr>
          <w:b/>
          <w:sz w:val="22"/>
        </w:rPr>
        <w:t xml:space="preserve"> </w:t>
      </w:r>
      <w:r w:rsidR="0032102C" w:rsidRPr="00E1067D">
        <w:rPr>
          <w:b/>
          <w:sz w:val="22"/>
        </w:rPr>
        <w:t xml:space="preserve">is </w:t>
      </w:r>
      <w:r w:rsidR="009E124D">
        <w:rPr>
          <w:b/>
          <w:sz w:val="22"/>
        </w:rPr>
        <w:t>acceptable for flight</w:t>
      </w:r>
      <w:r w:rsidR="00B4158E">
        <w:rPr>
          <w:b/>
          <w:sz w:val="22"/>
        </w:rPr>
        <w:t xml:space="preserve">. </w:t>
      </w:r>
    </w:p>
    <w:p w:rsidR="009E4844" w:rsidRDefault="009E4844" w:rsidP="00E578BE">
      <w:pPr>
        <w:outlineLvl w:val="0"/>
        <w:rPr>
          <w:b/>
          <w:sz w:val="22"/>
        </w:rPr>
      </w:pPr>
    </w:p>
    <w:p w:rsidR="006F39C1" w:rsidRPr="00E1067D" w:rsidRDefault="001C1CEA" w:rsidP="006F39C1">
      <w:pPr>
        <w:rPr>
          <w:noProof/>
          <w:sz w:val="20"/>
        </w:rPr>
      </w:pPr>
      <w:bookmarkStart w:id="0" w:name="_MailAutoSig"/>
      <w:r w:rsidRPr="00E1067D">
        <w:rPr>
          <w:rFonts w:ascii="Arial" w:hAnsi="Arial" w:cs="Arial"/>
          <w:noProof/>
          <w:color w:val="000080"/>
          <w:sz w:val="16"/>
          <w:szCs w:val="20"/>
        </w:rPr>
        <w:t xml:space="preserve">/s/ </w:t>
      </w:r>
      <w:r w:rsidR="003A2FAD">
        <w:rPr>
          <w:rFonts w:ascii="Arial" w:hAnsi="Arial" w:cs="Arial"/>
          <w:noProof/>
          <w:color w:val="000080"/>
          <w:sz w:val="16"/>
          <w:szCs w:val="20"/>
        </w:rPr>
        <w:t>Peter van der Hoop</w:t>
      </w:r>
      <w:r w:rsidR="00BA66B4" w:rsidRPr="00E1067D">
        <w:rPr>
          <w:rFonts w:ascii="Arial" w:hAnsi="Arial" w:cs="Arial"/>
          <w:noProof/>
          <w:color w:val="000080"/>
          <w:sz w:val="16"/>
          <w:szCs w:val="20"/>
        </w:rPr>
        <w:t xml:space="preserve">  on  </w:t>
      </w:r>
      <w:r w:rsidR="004A4F0C">
        <w:rPr>
          <w:rFonts w:ascii="Arial" w:hAnsi="Arial" w:cs="Arial"/>
          <w:noProof/>
          <w:color w:val="000080"/>
          <w:sz w:val="16"/>
          <w:szCs w:val="20"/>
        </w:rPr>
        <w:t>10</w:t>
      </w:r>
      <w:r w:rsidR="008668D6">
        <w:rPr>
          <w:rFonts w:ascii="Arial" w:hAnsi="Arial" w:cs="Arial"/>
          <w:noProof/>
          <w:color w:val="000080"/>
          <w:sz w:val="16"/>
          <w:szCs w:val="20"/>
        </w:rPr>
        <w:t>/</w:t>
      </w:r>
      <w:r w:rsidR="008A3FF4">
        <w:rPr>
          <w:rFonts w:ascii="Arial" w:hAnsi="Arial" w:cs="Arial"/>
          <w:noProof/>
          <w:color w:val="000080"/>
          <w:sz w:val="16"/>
          <w:szCs w:val="20"/>
        </w:rPr>
        <w:t>20</w:t>
      </w:r>
      <w:r w:rsidR="008668D6">
        <w:rPr>
          <w:rFonts w:ascii="Arial" w:hAnsi="Arial" w:cs="Arial"/>
          <w:noProof/>
          <w:color w:val="000080"/>
          <w:sz w:val="16"/>
          <w:szCs w:val="20"/>
        </w:rPr>
        <w:t>/2016</w:t>
      </w:r>
    </w:p>
    <w:p w:rsidR="006F39C1" w:rsidRPr="00E1067D" w:rsidRDefault="009E124D" w:rsidP="006F39C1">
      <w:pPr>
        <w:rPr>
          <w:noProof/>
          <w:sz w:val="20"/>
        </w:rPr>
      </w:pPr>
      <w:r>
        <w:rPr>
          <w:rFonts w:ascii="Arial" w:hAnsi="Arial" w:cs="Arial"/>
          <w:noProof/>
          <w:color w:val="000080"/>
          <w:sz w:val="16"/>
          <w:szCs w:val="20"/>
        </w:rPr>
        <w:t>OCU</w:t>
      </w:r>
      <w:r w:rsidR="006F39C1" w:rsidRPr="00E1067D">
        <w:rPr>
          <w:rFonts w:ascii="Arial" w:hAnsi="Arial" w:cs="Arial"/>
          <w:noProof/>
          <w:color w:val="000080"/>
          <w:sz w:val="16"/>
          <w:szCs w:val="20"/>
        </w:rPr>
        <w:t xml:space="preserve"> CRE</w:t>
      </w:r>
    </w:p>
    <w:p w:rsidR="009E4844" w:rsidRPr="00E1067D" w:rsidRDefault="009E4844" w:rsidP="009E4844">
      <w:pPr>
        <w:rPr>
          <w:noProof/>
          <w:sz w:val="20"/>
        </w:rPr>
      </w:pPr>
      <w:r w:rsidRPr="00E1067D">
        <w:rPr>
          <w:rFonts w:ascii="Arial" w:hAnsi="Arial" w:cs="Arial"/>
          <w:noProof/>
          <w:color w:val="000080"/>
          <w:sz w:val="16"/>
          <w:szCs w:val="20"/>
        </w:rPr>
        <w:t xml:space="preserve">Avionics </w:t>
      </w:r>
      <w:r>
        <w:rPr>
          <w:rFonts w:ascii="Arial" w:hAnsi="Arial" w:cs="Arial"/>
          <w:noProof/>
          <w:color w:val="000080"/>
          <w:sz w:val="16"/>
          <w:szCs w:val="20"/>
        </w:rPr>
        <w:t>Actuators and Control Hardware</w:t>
      </w:r>
    </w:p>
    <w:p w:rsidR="006F39C1" w:rsidRPr="00E1067D" w:rsidRDefault="006F39C1" w:rsidP="006F39C1">
      <w:pPr>
        <w:rPr>
          <w:noProof/>
          <w:sz w:val="20"/>
        </w:rPr>
      </w:pPr>
      <w:r w:rsidRPr="00E1067D">
        <w:rPr>
          <w:rFonts w:ascii="Arial" w:hAnsi="Arial" w:cs="Arial"/>
          <w:noProof/>
          <w:color w:val="000080"/>
          <w:sz w:val="16"/>
          <w:szCs w:val="20"/>
        </w:rPr>
        <w:t>United Launch Alliance</w:t>
      </w:r>
    </w:p>
    <w:p w:rsidR="002E0FDB" w:rsidRPr="00D87D29" w:rsidRDefault="006F39C1">
      <w:pPr>
        <w:rPr>
          <w:sz w:val="20"/>
        </w:rPr>
      </w:pPr>
      <w:r w:rsidRPr="00E1067D">
        <w:rPr>
          <w:rFonts w:ascii="Arial" w:hAnsi="Arial" w:cs="Arial"/>
          <w:noProof/>
          <w:color w:val="000080"/>
          <w:sz w:val="16"/>
          <w:szCs w:val="20"/>
        </w:rPr>
        <w:t>Phone: 303-</w:t>
      </w:r>
      <w:r w:rsidR="00117984" w:rsidRPr="00E1067D">
        <w:rPr>
          <w:rFonts w:ascii="Arial" w:hAnsi="Arial" w:cs="Arial"/>
          <w:noProof/>
          <w:color w:val="000080"/>
          <w:sz w:val="16"/>
          <w:szCs w:val="20"/>
        </w:rPr>
        <w:t>269</w:t>
      </w:r>
      <w:r w:rsidRPr="00E1067D">
        <w:rPr>
          <w:rFonts w:ascii="Arial" w:hAnsi="Arial" w:cs="Arial"/>
          <w:noProof/>
          <w:color w:val="000080"/>
          <w:sz w:val="16"/>
          <w:szCs w:val="20"/>
        </w:rPr>
        <w:t>-</w:t>
      </w:r>
      <w:bookmarkEnd w:id="0"/>
      <w:r w:rsidR="0065731A" w:rsidRPr="00E1067D">
        <w:rPr>
          <w:rFonts w:ascii="Arial" w:hAnsi="Arial" w:cs="Arial"/>
          <w:noProof/>
          <w:color w:val="000080"/>
          <w:sz w:val="16"/>
          <w:szCs w:val="20"/>
        </w:rPr>
        <w:t>72</w:t>
      </w:r>
      <w:r w:rsidR="003A2FAD">
        <w:rPr>
          <w:rFonts w:ascii="Arial" w:hAnsi="Arial" w:cs="Arial"/>
          <w:noProof/>
          <w:color w:val="000080"/>
          <w:sz w:val="16"/>
          <w:szCs w:val="20"/>
        </w:rPr>
        <w:t>81</w:t>
      </w:r>
    </w:p>
    <w:sectPr w:rsidR="002E0FDB" w:rsidRPr="00D87D29" w:rsidSect="008F3DF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411A" w:rsidRDefault="0046411A">
      <w:r>
        <w:separator/>
      </w:r>
    </w:p>
  </w:endnote>
  <w:endnote w:type="continuationSeparator" w:id="0">
    <w:p w:rsidR="0046411A" w:rsidRDefault="004641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0EE4" w:rsidRDefault="00620EE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0EE4" w:rsidRDefault="00620EE4" w:rsidP="00A801B1">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0EE4" w:rsidRDefault="00620EE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411A" w:rsidRDefault="0046411A">
      <w:r>
        <w:separator/>
      </w:r>
    </w:p>
  </w:footnote>
  <w:footnote w:type="continuationSeparator" w:id="0">
    <w:p w:rsidR="0046411A" w:rsidRDefault="0046411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0EE4" w:rsidRDefault="00620EE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0EE4" w:rsidRPr="0021028D" w:rsidRDefault="00620EE4" w:rsidP="0021028D">
    <w:pPr>
      <w:rPr>
        <w:b/>
      </w:rPr>
    </w:pPr>
    <w:r>
      <w:t xml:space="preserve">United Launch </w:t>
    </w:r>
    <w:smartTag w:uri="urn:schemas-microsoft-com:office:smarttags" w:element="City">
      <w:smartTag w:uri="urn:schemas-microsoft-com:office:smarttags" w:element="place">
        <w:r>
          <w:t>Alliance</w:t>
        </w:r>
      </w:smartTag>
    </w:smartTag>
    <w:r>
      <w:t xml:space="preserve"> Proprietary Information / Export Controlled Information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0EE4" w:rsidRDefault="00620EE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E94D4A"/>
    <w:multiLevelType w:val="hybridMultilevel"/>
    <w:tmpl w:val="90B29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3F01"/>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31522B"/>
    <w:rsid w:val="0000085E"/>
    <w:rsid w:val="00007746"/>
    <w:rsid w:val="00007D0F"/>
    <w:rsid w:val="00010D36"/>
    <w:rsid w:val="000204DD"/>
    <w:rsid w:val="00022DEF"/>
    <w:rsid w:val="00025098"/>
    <w:rsid w:val="000255B7"/>
    <w:rsid w:val="000268DF"/>
    <w:rsid w:val="00026BDD"/>
    <w:rsid w:val="00033870"/>
    <w:rsid w:val="0004153E"/>
    <w:rsid w:val="00043785"/>
    <w:rsid w:val="00043E9B"/>
    <w:rsid w:val="000466D6"/>
    <w:rsid w:val="000544CE"/>
    <w:rsid w:val="00062133"/>
    <w:rsid w:val="00064A41"/>
    <w:rsid w:val="000651E0"/>
    <w:rsid w:val="000673F5"/>
    <w:rsid w:val="00070ED2"/>
    <w:rsid w:val="00072070"/>
    <w:rsid w:val="000722F3"/>
    <w:rsid w:val="000754A8"/>
    <w:rsid w:val="00084493"/>
    <w:rsid w:val="000A0107"/>
    <w:rsid w:val="000A2E8A"/>
    <w:rsid w:val="000A40D2"/>
    <w:rsid w:val="000A52AA"/>
    <w:rsid w:val="000B156F"/>
    <w:rsid w:val="000B3F40"/>
    <w:rsid w:val="000C1567"/>
    <w:rsid w:val="000C532F"/>
    <w:rsid w:val="000C6D66"/>
    <w:rsid w:val="000D3314"/>
    <w:rsid w:val="000D3E7D"/>
    <w:rsid w:val="000D3F79"/>
    <w:rsid w:val="000D50D8"/>
    <w:rsid w:val="000D5AC9"/>
    <w:rsid w:val="000D5EAE"/>
    <w:rsid w:val="000D6BAF"/>
    <w:rsid w:val="000E03CD"/>
    <w:rsid w:val="000E0553"/>
    <w:rsid w:val="000E2550"/>
    <w:rsid w:val="000E27D0"/>
    <w:rsid w:val="000E3A6C"/>
    <w:rsid w:val="000E6CEA"/>
    <w:rsid w:val="000E7637"/>
    <w:rsid w:val="000E7796"/>
    <w:rsid w:val="000F1A5F"/>
    <w:rsid w:val="000F1F99"/>
    <w:rsid w:val="000F32D7"/>
    <w:rsid w:val="000F7C66"/>
    <w:rsid w:val="00103F0F"/>
    <w:rsid w:val="00105AD3"/>
    <w:rsid w:val="00106C4A"/>
    <w:rsid w:val="00107B46"/>
    <w:rsid w:val="00107BC6"/>
    <w:rsid w:val="001114E3"/>
    <w:rsid w:val="001115E7"/>
    <w:rsid w:val="00117984"/>
    <w:rsid w:val="00123024"/>
    <w:rsid w:val="00125618"/>
    <w:rsid w:val="00127B3B"/>
    <w:rsid w:val="001312A5"/>
    <w:rsid w:val="001320BC"/>
    <w:rsid w:val="00137E3B"/>
    <w:rsid w:val="00141061"/>
    <w:rsid w:val="001547BB"/>
    <w:rsid w:val="00161D2A"/>
    <w:rsid w:val="00164981"/>
    <w:rsid w:val="00167837"/>
    <w:rsid w:val="00172F5E"/>
    <w:rsid w:val="00174DA0"/>
    <w:rsid w:val="0017604A"/>
    <w:rsid w:val="001A7C9B"/>
    <w:rsid w:val="001B308F"/>
    <w:rsid w:val="001B4F98"/>
    <w:rsid w:val="001B6C5C"/>
    <w:rsid w:val="001C1873"/>
    <w:rsid w:val="001C1CC8"/>
    <w:rsid w:val="001C1CEA"/>
    <w:rsid w:val="001D2EC8"/>
    <w:rsid w:val="001E41BC"/>
    <w:rsid w:val="001E5807"/>
    <w:rsid w:val="001F3D89"/>
    <w:rsid w:val="00204FEB"/>
    <w:rsid w:val="00205950"/>
    <w:rsid w:val="0021028D"/>
    <w:rsid w:val="002123BF"/>
    <w:rsid w:val="0021715A"/>
    <w:rsid w:val="002201A1"/>
    <w:rsid w:val="002209B5"/>
    <w:rsid w:val="00225630"/>
    <w:rsid w:val="00227D7F"/>
    <w:rsid w:val="00233EDB"/>
    <w:rsid w:val="00236BAA"/>
    <w:rsid w:val="00243DAD"/>
    <w:rsid w:val="002517DD"/>
    <w:rsid w:val="00252DD9"/>
    <w:rsid w:val="00256DC7"/>
    <w:rsid w:val="00257656"/>
    <w:rsid w:val="002603CF"/>
    <w:rsid w:val="00262AB8"/>
    <w:rsid w:val="00263710"/>
    <w:rsid w:val="0026608D"/>
    <w:rsid w:val="00266FCF"/>
    <w:rsid w:val="002671FD"/>
    <w:rsid w:val="00270856"/>
    <w:rsid w:val="00270B5E"/>
    <w:rsid w:val="00270CD0"/>
    <w:rsid w:val="00270D04"/>
    <w:rsid w:val="00273CD7"/>
    <w:rsid w:val="002761D3"/>
    <w:rsid w:val="00280A31"/>
    <w:rsid w:val="00286FF3"/>
    <w:rsid w:val="00295A1E"/>
    <w:rsid w:val="002A1BA8"/>
    <w:rsid w:val="002A36D6"/>
    <w:rsid w:val="002A394C"/>
    <w:rsid w:val="002A7056"/>
    <w:rsid w:val="002C4668"/>
    <w:rsid w:val="002D2BC3"/>
    <w:rsid w:val="002D3423"/>
    <w:rsid w:val="002E0FDB"/>
    <w:rsid w:val="002E7FB1"/>
    <w:rsid w:val="002F3BD8"/>
    <w:rsid w:val="002F3DFA"/>
    <w:rsid w:val="002F5857"/>
    <w:rsid w:val="002F6542"/>
    <w:rsid w:val="002F7678"/>
    <w:rsid w:val="003019D0"/>
    <w:rsid w:val="003101D5"/>
    <w:rsid w:val="0031522B"/>
    <w:rsid w:val="003156A2"/>
    <w:rsid w:val="0032102C"/>
    <w:rsid w:val="003232EF"/>
    <w:rsid w:val="003273FF"/>
    <w:rsid w:val="00332D07"/>
    <w:rsid w:val="0033381A"/>
    <w:rsid w:val="00337E86"/>
    <w:rsid w:val="00340820"/>
    <w:rsid w:val="00342026"/>
    <w:rsid w:val="00346A11"/>
    <w:rsid w:val="00346AF3"/>
    <w:rsid w:val="0035294E"/>
    <w:rsid w:val="00355425"/>
    <w:rsid w:val="00360B27"/>
    <w:rsid w:val="00361FFC"/>
    <w:rsid w:val="003626BC"/>
    <w:rsid w:val="003642E4"/>
    <w:rsid w:val="00364C4D"/>
    <w:rsid w:val="0039101B"/>
    <w:rsid w:val="00397A82"/>
    <w:rsid w:val="003A2FAD"/>
    <w:rsid w:val="003A3613"/>
    <w:rsid w:val="003B0AB6"/>
    <w:rsid w:val="003B48AC"/>
    <w:rsid w:val="003B70A4"/>
    <w:rsid w:val="003C09F9"/>
    <w:rsid w:val="003C1E24"/>
    <w:rsid w:val="003C4CED"/>
    <w:rsid w:val="003C71BA"/>
    <w:rsid w:val="003D64AD"/>
    <w:rsid w:val="003E10DE"/>
    <w:rsid w:val="003E669B"/>
    <w:rsid w:val="003E7636"/>
    <w:rsid w:val="003F24BB"/>
    <w:rsid w:val="003F335C"/>
    <w:rsid w:val="003F59F6"/>
    <w:rsid w:val="004027F3"/>
    <w:rsid w:val="00403AB3"/>
    <w:rsid w:val="00405FBD"/>
    <w:rsid w:val="00413F9D"/>
    <w:rsid w:val="00415EFE"/>
    <w:rsid w:val="0041779E"/>
    <w:rsid w:val="00417B31"/>
    <w:rsid w:val="00417D44"/>
    <w:rsid w:val="00433106"/>
    <w:rsid w:val="00433D78"/>
    <w:rsid w:val="004367B1"/>
    <w:rsid w:val="00445F18"/>
    <w:rsid w:val="00451DC7"/>
    <w:rsid w:val="004637A2"/>
    <w:rsid w:val="0046411A"/>
    <w:rsid w:val="00464BE5"/>
    <w:rsid w:val="004662AA"/>
    <w:rsid w:val="004679A2"/>
    <w:rsid w:val="004741A3"/>
    <w:rsid w:val="00483C42"/>
    <w:rsid w:val="00491881"/>
    <w:rsid w:val="00495F35"/>
    <w:rsid w:val="00496603"/>
    <w:rsid w:val="004A4F0C"/>
    <w:rsid w:val="004A783E"/>
    <w:rsid w:val="004B1B8E"/>
    <w:rsid w:val="004B40A6"/>
    <w:rsid w:val="004C2995"/>
    <w:rsid w:val="004D4140"/>
    <w:rsid w:val="004E00E7"/>
    <w:rsid w:val="004E2028"/>
    <w:rsid w:val="004E7ABF"/>
    <w:rsid w:val="004F42D6"/>
    <w:rsid w:val="004F5CEA"/>
    <w:rsid w:val="0050677C"/>
    <w:rsid w:val="00510B95"/>
    <w:rsid w:val="00511957"/>
    <w:rsid w:val="00512365"/>
    <w:rsid w:val="0051499F"/>
    <w:rsid w:val="005235B0"/>
    <w:rsid w:val="00526088"/>
    <w:rsid w:val="0052630A"/>
    <w:rsid w:val="00526B12"/>
    <w:rsid w:val="00532FCF"/>
    <w:rsid w:val="005361C8"/>
    <w:rsid w:val="005371E6"/>
    <w:rsid w:val="005509D0"/>
    <w:rsid w:val="00551750"/>
    <w:rsid w:val="00553677"/>
    <w:rsid w:val="005564EC"/>
    <w:rsid w:val="00556F7F"/>
    <w:rsid w:val="00562734"/>
    <w:rsid w:val="00564070"/>
    <w:rsid w:val="00570D7D"/>
    <w:rsid w:val="00572884"/>
    <w:rsid w:val="00573631"/>
    <w:rsid w:val="0057612E"/>
    <w:rsid w:val="00577D79"/>
    <w:rsid w:val="00584406"/>
    <w:rsid w:val="00584CD5"/>
    <w:rsid w:val="00584FCD"/>
    <w:rsid w:val="00585141"/>
    <w:rsid w:val="0059030A"/>
    <w:rsid w:val="0059413F"/>
    <w:rsid w:val="005B0CB5"/>
    <w:rsid w:val="005C3048"/>
    <w:rsid w:val="005D4C7F"/>
    <w:rsid w:val="005D7A88"/>
    <w:rsid w:val="005E235F"/>
    <w:rsid w:val="005E43B3"/>
    <w:rsid w:val="005F0C8D"/>
    <w:rsid w:val="005F4229"/>
    <w:rsid w:val="005F4273"/>
    <w:rsid w:val="005F4644"/>
    <w:rsid w:val="0060166E"/>
    <w:rsid w:val="00601DDF"/>
    <w:rsid w:val="00602AF1"/>
    <w:rsid w:val="00607551"/>
    <w:rsid w:val="00607805"/>
    <w:rsid w:val="00611055"/>
    <w:rsid w:val="006139FF"/>
    <w:rsid w:val="00615BD2"/>
    <w:rsid w:val="006204AA"/>
    <w:rsid w:val="00620EE4"/>
    <w:rsid w:val="00624244"/>
    <w:rsid w:val="0062533B"/>
    <w:rsid w:val="00627A39"/>
    <w:rsid w:val="006303B1"/>
    <w:rsid w:val="0063242F"/>
    <w:rsid w:val="006325A5"/>
    <w:rsid w:val="0063635B"/>
    <w:rsid w:val="00641B7E"/>
    <w:rsid w:val="00643DBC"/>
    <w:rsid w:val="00645C33"/>
    <w:rsid w:val="0065585E"/>
    <w:rsid w:val="0065731A"/>
    <w:rsid w:val="00662D27"/>
    <w:rsid w:val="00670163"/>
    <w:rsid w:val="00670D95"/>
    <w:rsid w:val="006718CA"/>
    <w:rsid w:val="006733FB"/>
    <w:rsid w:val="0067350A"/>
    <w:rsid w:val="00674941"/>
    <w:rsid w:val="006807D9"/>
    <w:rsid w:val="0068313C"/>
    <w:rsid w:val="00685EDA"/>
    <w:rsid w:val="00690D2F"/>
    <w:rsid w:val="0069425E"/>
    <w:rsid w:val="00694DDE"/>
    <w:rsid w:val="00695DB3"/>
    <w:rsid w:val="006A0165"/>
    <w:rsid w:val="006A1187"/>
    <w:rsid w:val="006A26E9"/>
    <w:rsid w:val="006A44FE"/>
    <w:rsid w:val="006A5343"/>
    <w:rsid w:val="006A5BA9"/>
    <w:rsid w:val="006A675B"/>
    <w:rsid w:val="006A6D05"/>
    <w:rsid w:val="006A71A3"/>
    <w:rsid w:val="006C330A"/>
    <w:rsid w:val="006C38BD"/>
    <w:rsid w:val="006C49BB"/>
    <w:rsid w:val="006D4556"/>
    <w:rsid w:val="006E2724"/>
    <w:rsid w:val="006E484A"/>
    <w:rsid w:val="006E48C0"/>
    <w:rsid w:val="006F0503"/>
    <w:rsid w:val="006F0729"/>
    <w:rsid w:val="006F39C1"/>
    <w:rsid w:val="00700371"/>
    <w:rsid w:val="00714ACA"/>
    <w:rsid w:val="007165F4"/>
    <w:rsid w:val="00720DB7"/>
    <w:rsid w:val="00721190"/>
    <w:rsid w:val="00721EE5"/>
    <w:rsid w:val="0072717A"/>
    <w:rsid w:val="007272EF"/>
    <w:rsid w:val="007311A7"/>
    <w:rsid w:val="00741600"/>
    <w:rsid w:val="00745082"/>
    <w:rsid w:val="00750510"/>
    <w:rsid w:val="00750620"/>
    <w:rsid w:val="00757C7E"/>
    <w:rsid w:val="00760727"/>
    <w:rsid w:val="00763113"/>
    <w:rsid w:val="00765563"/>
    <w:rsid w:val="00766C87"/>
    <w:rsid w:val="0076749C"/>
    <w:rsid w:val="007705FB"/>
    <w:rsid w:val="00772E7F"/>
    <w:rsid w:val="007768E1"/>
    <w:rsid w:val="00777F21"/>
    <w:rsid w:val="00780239"/>
    <w:rsid w:val="00780B01"/>
    <w:rsid w:val="007839E7"/>
    <w:rsid w:val="00795BBD"/>
    <w:rsid w:val="00795C76"/>
    <w:rsid w:val="007A618C"/>
    <w:rsid w:val="007A7588"/>
    <w:rsid w:val="007B24BF"/>
    <w:rsid w:val="007B6F47"/>
    <w:rsid w:val="007B78E2"/>
    <w:rsid w:val="007C2354"/>
    <w:rsid w:val="007C44E1"/>
    <w:rsid w:val="007C601F"/>
    <w:rsid w:val="007C700C"/>
    <w:rsid w:val="007D2EBE"/>
    <w:rsid w:val="007D6D0D"/>
    <w:rsid w:val="007E1F46"/>
    <w:rsid w:val="007F0FBB"/>
    <w:rsid w:val="007F288B"/>
    <w:rsid w:val="007F6FDB"/>
    <w:rsid w:val="00800C0A"/>
    <w:rsid w:val="00801388"/>
    <w:rsid w:val="00801656"/>
    <w:rsid w:val="008019E8"/>
    <w:rsid w:val="00803AD8"/>
    <w:rsid w:val="008047B0"/>
    <w:rsid w:val="008068E9"/>
    <w:rsid w:val="00806B0F"/>
    <w:rsid w:val="00814168"/>
    <w:rsid w:val="008161C5"/>
    <w:rsid w:val="00816C12"/>
    <w:rsid w:val="00826FFB"/>
    <w:rsid w:val="0082742E"/>
    <w:rsid w:val="00833AEB"/>
    <w:rsid w:val="00835B51"/>
    <w:rsid w:val="008373FD"/>
    <w:rsid w:val="00840C42"/>
    <w:rsid w:val="00845104"/>
    <w:rsid w:val="00850677"/>
    <w:rsid w:val="008605F3"/>
    <w:rsid w:val="008612E6"/>
    <w:rsid w:val="0086332C"/>
    <w:rsid w:val="00863F4A"/>
    <w:rsid w:val="008650DD"/>
    <w:rsid w:val="008668D6"/>
    <w:rsid w:val="00867549"/>
    <w:rsid w:val="008709B3"/>
    <w:rsid w:val="008720E9"/>
    <w:rsid w:val="008735F4"/>
    <w:rsid w:val="00875770"/>
    <w:rsid w:val="008803F6"/>
    <w:rsid w:val="00880BF4"/>
    <w:rsid w:val="0088443D"/>
    <w:rsid w:val="008868F2"/>
    <w:rsid w:val="008877F8"/>
    <w:rsid w:val="00897228"/>
    <w:rsid w:val="008A3FF4"/>
    <w:rsid w:val="008A5456"/>
    <w:rsid w:val="008B01F5"/>
    <w:rsid w:val="008B22FA"/>
    <w:rsid w:val="008C3570"/>
    <w:rsid w:val="008C562E"/>
    <w:rsid w:val="008C6C27"/>
    <w:rsid w:val="008C7352"/>
    <w:rsid w:val="008D10C2"/>
    <w:rsid w:val="008D44DF"/>
    <w:rsid w:val="008D6F68"/>
    <w:rsid w:val="008E1A9A"/>
    <w:rsid w:val="008E3B18"/>
    <w:rsid w:val="008E7322"/>
    <w:rsid w:val="008F36A6"/>
    <w:rsid w:val="008F3DF8"/>
    <w:rsid w:val="008F4F9F"/>
    <w:rsid w:val="00900E95"/>
    <w:rsid w:val="00902984"/>
    <w:rsid w:val="009070B9"/>
    <w:rsid w:val="0091429C"/>
    <w:rsid w:val="00915BAE"/>
    <w:rsid w:val="009167CC"/>
    <w:rsid w:val="00916B9E"/>
    <w:rsid w:val="0093308A"/>
    <w:rsid w:val="00935ABC"/>
    <w:rsid w:val="00936D37"/>
    <w:rsid w:val="0094688E"/>
    <w:rsid w:val="0094769B"/>
    <w:rsid w:val="00952107"/>
    <w:rsid w:val="009553D0"/>
    <w:rsid w:val="00956AB2"/>
    <w:rsid w:val="00956B96"/>
    <w:rsid w:val="0096216A"/>
    <w:rsid w:val="00963876"/>
    <w:rsid w:val="0096544C"/>
    <w:rsid w:val="009675BD"/>
    <w:rsid w:val="009707C9"/>
    <w:rsid w:val="00970943"/>
    <w:rsid w:val="00973A10"/>
    <w:rsid w:val="00987186"/>
    <w:rsid w:val="00992EF7"/>
    <w:rsid w:val="009932E9"/>
    <w:rsid w:val="00996A69"/>
    <w:rsid w:val="009A683B"/>
    <w:rsid w:val="009B1EA7"/>
    <w:rsid w:val="009C282B"/>
    <w:rsid w:val="009C396C"/>
    <w:rsid w:val="009C66E2"/>
    <w:rsid w:val="009D5E7C"/>
    <w:rsid w:val="009E124D"/>
    <w:rsid w:val="009E2F21"/>
    <w:rsid w:val="009E4844"/>
    <w:rsid w:val="009F1C47"/>
    <w:rsid w:val="009F42DC"/>
    <w:rsid w:val="009F5A76"/>
    <w:rsid w:val="00A01079"/>
    <w:rsid w:val="00A02ECB"/>
    <w:rsid w:val="00A10385"/>
    <w:rsid w:val="00A132FF"/>
    <w:rsid w:val="00A1596E"/>
    <w:rsid w:val="00A17623"/>
    <w:rsid w:val="00A232B8"/>
    <w:rsid w:val="00A25F06"/>
    <w:rsid w:val="00A3361B"/>
    <w:rsid w:val="00A34747"/>
    <w:rsid w:val="00A40B92"/>
    <w:rsid w:val="00A53EEA"/>
    <w:rsid w:val="00A57BAA"/>
    <w:rsid w:val="00A60826"/>
    <w:rsid w:val="00A70752"/>
    <w:rsid w:val="00A74B55"/>
    <w:rsid w:val="00A74D74"/>
    <w:rsid w:val="00A75EFA"/>
    <w:rsid w:val="00A762AA"/>
    <w:rsid w:val="00A762F9"/>
    <w:rsid w:val="00A76D5B"/>
    <w:rsid w:val="00A801B1"/>
    <w:rsid w:val="00A852A4"/>
    <w:rsid w:val="00A863EB"/>
    <w:rsid w:val="00A92256"/>
    <w:rsid w:val="00A933CE"/>
    <w:rsid w:val="00A935E7"/>
    <w:rsid w:val="00A9465B"/>
    <w:rsid w:val="00A95E37"/>
    <w:rsid w:val="00AA010F"/>
    <w:rsid w:val="00AA0BED"/>
    <w:rsid w:val="00AA5474"/>
    <w:rsid w:val="00AA6888"/>
    <w:rsid w:val="00AC6141"/>
    <w:rsid w:val="00AC7484"/>
    <w:rsid w:val="00AD55B3"/>
    <w:rsid w:val="00AD7B67"/>
    <w:rsid w:val="00AE4449"/>
    <w:rsid w:val="00AE4CED"/>
    <w:rsid w:val="00AE7958"/>
    <w:rsid w:val="00AF08B6"/>
    <w:rsid w:val="00AF1F64"/>
    <w:rsid w:val="00AF3602"/>
    <w:rsid w:val="00AF4A4E"/>
    <w:rsid w:val="00AF5DA2"/>
    <w:rsid w:val="00B003C8"/>
    <w:rsid w:val="00B04F5D"/>
    <w:rsid w:val="00B0586A"/>
    <w:rsid w:val="00B06DCA"/>
    <w:rsid w:val="00B07D13"/>
    <w:rsid w:val="00B206B0"/>
    <w:rsid w:val="00B369B1"/>
    <w:rsid w:val="00B4158E"/>
    <w:rsid w:val="00B41EE8"/>
    <w:rsid w:val="00B61095"/>
    <w:rsid w:val="00B610C7"/>
    <w:rsid w:val="00B65265"/>
    <w:rsid w:val="00B70703"/>
    <w:rsid w:val="00B70C60"/>
    <w:rsid w:val="00B747EC"/>
    <w:rsid w:val="00B774A8"/>
    <w:rsid w:val="00B808F7"/>
    <w:rsid w:val="00B8570D"/>
    <w:rsid w:val="00B915A7"/>
    <w:rsid w:val="00B94A9E"/>
    <w:rsid w:val="00B97711"/>
    <w:rsid w:val="00BA1CA6"/>
    <w:rsid w:val="00BA66B4"/>
    <w:rsid w:val="00BA6A1C"/>
    <w:rsid w:val="00BB0D68"/>
    <w:rsid w:val="00BB7533"/>
    <w:rsid w:val="00BD073A"/>
    <w:rsid w:val="00BD3933"/>
    <w:rsid w:val="00BD5FDB"/>
    <w:rsid w:val="00BE5FE8"/>
    <w:rsid w:val="00BF3756"/>
    <w:rsid w:val="00BF3F27"/>
    <w:rsid w:val="00C00C31"/>
    <w:rsid w:val="00C02B7A"/>
    <w:rsid w:val="00C02E97"/>
    <w:rsid w:val="00C074DF"/>
    <w:rsid w:val="00C07C19"/>
    <w:rsid w:val="00C14BBA"/>
    <w:rsid w:val="00C15E4D"/>
    <w:rsid w:val="00C1788E"/>
    <w:rsid w:val="00C223A2"/>
    <w:rsid w:val="00C230B4"/>
    <w:rsid w:val="00C24847"/>
    <w:rsid w:val="00C261BB"/>
    <w:rsid w:val="00C32989"/>
    <w:rsid w:val="00C35BD9"/>
    <w:rsid w:val="00C3705C"/>
    <w:rsid w:val="00C45A28"/>
    <w:rsid w:val="00C543D2"/>
    <w:rsid w:val="00C63DE0"/>
    <w:rsid w:val="00C66501"/>
    <w:rsid w:val="00C66633"/>
    <w:rsid w:val="00C72B84"/>
    <w:rsid w:val="00C7603F"/>
    <w:rsid w:val="00C77551"/>
    <w:rsid w:val="00C8265A"/>
    <w:rsid w:val="00C8306F"/>
    <w:rsid w:val="00C83EFF"/>
    <w:rsid w:val="00C90665"/>
    <w:rsid w:val="00C921C2"/>
    <w:rsid w:val="00CA1141"/>
    <w:rsid w:val="00CA5030"/>
    <w:rsid w:val="00CA58B0"/>
    <w:rsid w:val="00CA5B8E"/>
    <w:rsid w:val="00CB0F6C"/>
    <w:rsid w:val="00CB14F0"/>
    <w:rsid w:val="00CB16DA"/>
    <w:rsid w:val="00CB46E4"/>
    <w:rsid w:val="00CB7A4D"/>
    <w:rsid w:val="00CC60E1"/>
    <w:rsid w:val="00CD0069"/>
    <w:rsid w:val="00CD3C74"/>
    <w:rsid w:val="00CE0B6B"/>
    <w:rsid w:val="00CE3731"/>
    <w:rsid w:val="00CE3CDF"/>
    <w:rsid w:val="00CE42BB"/>
    <w:rsid w:val="00CE5B04"/>
    <w:rsid w:val="00CF3FA0"/>
    <w:rsid w:val="00D0281C"/>
    <w:rsid w:val="00D04DF6"/>
    <w:rsid w:val="00D06942"/>
    <w:rsid w:val="00D11CFE"/>
    <w:rsid w:val="00D17618"/>
    <w:rsid w:val="00D2030D"/>
    <w:rsid w:val="00D23499"/>
    <w:rsid w:val="00D24C7F"/>
    <w:rsid w:val="00D25776"/>
    <w:rsid w:val="00D31F3D"/>
    <w:rsid w:val="00D341A0"/>
    <w:rsid w:val="00D36980"/>
    <w:rsid w:val="00D41F04"/>
    <w:rsid w:val="00D53305"/>
    <w:rsid w:val="00D53554"/>
    <w:rsid w:val="00D56B46"/>
    <w:rsid w:val="00D57728"/>
    <w:rsid w:val="00D60F15"/>
    <w:rsid w:val="00D63A1F"/>
    <w:rsid w:val="00D64045"/>
    <w:rsid w:val="00D64807"/>
    <w:rsid w:val="00D679B2"/>
    <w:rsid w:val="00D72993"/>
    <w:rsid w:val="00D73972"/>
    <w:rsid w:val="00D762B1"/>
    <w:rsid w:val="00D77C97"/>
    <w:rsid w:val="00D81914"/>
    <w:rsid w:val="00D82E5E"/>
    <w:rsid w:val="00D83A49"/>
    <w:rsid w:val="00D84A1C"/>
    <w:rsid w:val="00D87D29"/>
    <w:rsid w:val="00D96444"/>
    <w:rsid w:val="00DB1331"/>
    <w:rsid w:val="00DB2811"/>
    <w:rsid w:val="00DB5A95"/>
    <w:rsid w:val="00DB7D5A"/>
    <w:rsid w:val="00DC0B93"/>
    <w:rsid w:val="00DC396B"/>
    <w:rsid w:val="00DC53F4"/>
    <w:rsid w:val="00DC6190"/>
    <w:rsid w:val="00DD36BA"/>
    <w:rsid w:val="00DD4DA5"/>
    <w:rsid w:val="00DE57FC"/>
    <w:rsid w:val="00DE79CD"/>
    <w:rsid w:val="00DF5A88"/>
    <w:rsid w:val="00E04C1E"/>
    <w:rsid w:val="00E04D8E"/>
    <w:rsid w:val="00E05C88"/>
    <w:rsid w:val="00E05E60"/>
    <w:rsid w:val="00E07310"/>
    <w:rsid w:val="00E1067D"/>
    <w:rsid w:val="00E1659D"/>
    <w:rsid w:val="00E252AB"/>
    <w:rsid w:val="00E27FEB"/>
    <w:rsid w:val="00E37665"/>
    <w:rsid w:val="00E43E3B"/>
    <w:rsid w:val="00E461FE"/>
    <w:rsid w:val="00E47CFF"/>
    <w:rsid w:val="00E5721C"/>
    <w:rsid w:val="00E578BE"/>
    <w:rsid w:val="00E60D89"/>
    <w:rsid w:val="00E6117F"/>
    <w:rsid w:val="00E6279A"/>
    <w:rsid w:val="00E64887"/>
    <w:rsid w:val="00E7036B"/>
    <w:rsid w:val="00E72D9B"/>
    <w:rsid w:val="00E73C65"/>
    <w:rsid w:val="00E75DC7"/>
    <w:rsid w:val="00E77858"/>
    <w:rsid w:val="00E77E15"/>
    <w:rsid w:val="00E77FF6"/>
    <w:rsid w:val="00E81076"/>
    <w:rsid w:val="00E84BEC"/>
    <w:rsid w:val="00E86CE9"/>
    <w:rsid w:val="00E91EE5"/>
    <w:rsid w:val="00E9425E"/>
    <w:rsid w:val="00E955CB"/>
    <w:rsid w:val="00EA0F42"/>
    <w:rsid w:val="00EA117E"/>
    <w:rsid w:val="00EA17C1"/>
    <w:rsid w:val="00EA20F9"/>
    <w:rsid w:val="00EA6696"/>
    <w:rsid w:val="00EB2522"/>
    <w:rsid w:val="00EB51D2"/>
    <w:rsid w:val="00EB55CA"/>
    <w:rsid w:val="00EB7E30"/>
    <w:rsid w:val="00EC0D78"/>
    <w:rsid w:val="00ED398B"/>
    <w:rsid w:val="00EE12F6"/>
    <w:rsid w:val="00EE1612"/>
    <w:rsid w:val="00EE3776"/>
    <w:rsid w:val="00EF5EFE"/>
    <w:rsid w:val="00EF65CC"/>
    <w:rsid w:val="00F03686"/>
    <w:rsid w:val="00F05462"/>
    <w:rsid w:val="00F065C3"/>
    <w:rsid w:val="00F1000A"/>
    <w:rsid w:val="00F20725"/>
    <w:rsid w:val="00F24799"/>
    <w:rsid w:val="00F26D6D"/>
    <w:rsid w:val="00F270CD"/>
    <w:rsid w:val="00F30DA6"/>
    <w:rsid w:val="00F42179"/>
    <w:rsid w:val="00F43D75"/>
    <w:rsid w:val="00F45F0C"/>
    <w:rsid w:val="00F4605C"/>
    <w:rsid w:val="00F51108"/>
    <w:rsid w:val="00F5180F"/>
    <w:rsid w:val="00F538E9"/>
    <w:rsid w:val="00F620A8"/>
    <w:rsid w:val="00F64908"/>
    <w:rsid w:val="00F66580"/>
    <w:rsid w:val="00F70244"/>
    <w:rsid w:val="00F74FA2"/>
    <w:rsid w:val="00F775E8"/>
    <w:rsid w:val="00F817D6"/>
    <w:rsid w:val="00F84243"/>
    <w:rsid w:val="00F84538"/>
    <w:rsid w:val="00F84724"/>
    <w:rsid w:val="00F95268"/>
    <w:rsid w:val="00FA1A5B"/>
    <w:rsid w:val="00FB1523"/>
    <w:rsid w:val="00FB241C"/>
    <w:rsid w:val="00FC1518"/>
    <w:rsid w:val="00FC254D"/>
    <w:rsid w:val="00FC3987"/>
    <w:rsid w:val="00FC6D88"/>
    <w:rsid w:val="00FC736D"/>
    <w:rsid w:val="00FC7DC2"/>
    <w:rsid w:val="00FD1752"/>
    <w:rsid w:val="00FF2CDA"/>
    <w:rsid w:val="00FF4A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2CD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E3B18"/>
    <w:pPr>
      <w:tabs>
        <w:tab w:val="center" w:pos="4320"/>
        <w:tab w:val="right" w:pos="8640"/>
      </w:tabs>
    </w:pPr>
  </w:style>
  <w:style w:type="paragraph" w:styleId="Footer">
    <w:name w:val="footer"/>
    <w:basedOn w:val="Normal"/>
    <w:rsid w:val="008E3B18"/>
    <w:pPr>
      <w:tabs>
        <w:tab w:val="center" w:pos="4320"/>
        <w:tab w:val="right" w:pos="8640"/>
      </w:tabs>
    </w:pPr>
  </w:style>
  <w:style w:type="table" w:styleId="TableGrid">
    <w:name w:val="Table Grid"/>
    <w:basedOn w:val="TableNormal"/>
    <w:rsid w:val="006303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mailStyle181">
    <w:name w:val="EmailStyle18"/>
    <w:aliases w:val="EmailStyle18"/>
    <w:basedOn w:val="DefaultParagraphFont"/>
    <w:semiHidden/>
    <w:personal/>
    <w:personalCompose/>
    <w:rsid w:val="006F39C1"/>
    <w:rPr>
      <w:rFonts w:ascii="Arial" w:hAnsi="Arial" w:cs="Arial"/>
      <w:color w:val="auto"/>
      <w:sz w:val="20"/>
      <w:szCs w:val="20"/>
    </w:rPr>
  </w:style>
  <w:style w:type="paragraph" w:styleId="BalloonText">
    <w:name w:val="Balloon Text"/>
    <w:basedOn w:val="Normal"/>
    <w:link w:val="BalloonTextChar"/>
    <w:rsid w:val="00720DB7"/>
    <w:rPr>
      <w:rFonts w:ascii="Tahoma" w:hAnsi="Tahoma" w:cs="Tahoma"/>
      <w:sz w:val="16"/>
      <w:szCs w:val="16"/>
    </w:rPr>
  </w:style>
  <w:style w:type="character" w:customStyle="1" w:styleId="BalloonTextChar">
    <w:name w:val="Balloon Text Char"/>
    <w:basedOn w:val="DefaultParagraphFont"/>
    <w:link w:val="BalloonText"/>
    <w:rsid w:val="00720DB7"/>
    <w:rPr>
      <w:rFonts w:ascii="Tahoma" w:hAnsi="Tahoma" w:cs="Tahoma"/>
      <w:sz w:val="16"/>
      <w:szCs w:val="16"/>
    </w:rPr>
  </w:style>
  <w:style w:type="paragraph" w:styleId="DocumentMap">
    <w:name w:val="Document Map"/>
    <w:basedOn w:val="Normal"/>
    <w:link w:val="DocumentMapChar"/>
    <w:rsid w:val="00E578BE"/>
    <w:rPr>
      <w:rFonts w:ascii="Tahoma" w:hAnsi="Tahoma" w:cs="Tahoma"/>
      <w:sz w:val="16"/>
      <w:szCs w:val="16"/>
    </w:rPr>
  </w:style>
  <w:style w:type="character" w:customStyle="1" w:styleId="DocumentMapChar">
    <w:name w:val="Document Map Char"/>
    <w:basedOn w:val="DefaultParagraphFont"/>
    <w:link w:val="DocumentMap"/>
    <w:rsid w:val="00E578BE"/>
    <w:rPr>
      <w:rFonts w:ascii="Tahoma" w:hAnsi="Tahoma" w:cs="Tahoma"/>
      <w:sz w:val="16"/>
      <w:szCs w:val="16"/>
    </w:rPr>
  </w:style>
  <w:style w:type="paragraph" w:styleId="ListParagraph">
    <w:name w:val="List Paragraph"/>
    <w:basedOn w:val="Normal"/>
    <w:uiPriority w:val="34"/>
    <w:qFormat/>
    <w:rsid w:val="00745082"/>
    <w:pPr>
      <w:ind w:left="720"/>
      <w:contextualSpacing/>
    </w:pPr>
  </w:style>
</w:styles>
</file>

<file path=word/webSettings.xml><?xml version="1.0" encoding="utf-8"?>
<w:webSettings xmlns:r="http://schemas.openxmlformats.org/officeDocument/2006/relationships" xmlns:w="http://schemas.openxmlformats.org/wordprocessingml/2006/main">
  <w:divs>
    <w:div w:id="21520924">
      <w:bodyDiv w:val="1"/>
      <w:marLeft w:val="0"/>
      <w:marRight w:val="0"/>
      <w:marTop w:val="0"/>
      <w:marBottom w:val="0"/>
      <w:divBdr>
        <w:top w:val="none" w:sz="0" w:space="0" w:color="auto"/>
        <w:left w:val="none" w:sz="0" w:space="0" w:color="auto"/>
        <w:bottom w:val="none" w:sz="0" w:space="0" w:color="auto"/>
        <w:right w:val="none" w:sz="0" w:space="0" w:color="auto"/>
      </w:divBdr>
    </w:div>
    <w:div w:id="35325002">
      <w:bodyDiv w:val="1"/>
      <w:marLeft w:val="0"/>
      <w:marRight w:val="0"/>
      <w:marTop w:val="0"/>
      <w:marBottom w:val="0"/>
      <w:divBdr>
        <w:top w:val="none" w:sz="0" w:space="0" w:color="auto"/>
        <w:left w:val="none" w:sz="0" w:space="0" w:color="auto"/>
        <w:bottom w:val="none" w:sz="0" w:space="0" w:color="auto"/>
        <w:right w:val="none" w:sz="0" w:space="0" w:color="auto"/>
      </w:divBdr>
    </w:div>
    <w:div w:id="45373763">
      <w:bodyDiv w:val="1"/>
      <w:marLeft w:val="0"/>
      <w:marRight w:val="0"/>
      <w:marTop w:val="0"/>
      <w:marBottom w:val="0"/>
      <w:divBdr>
        <w:top w:val="none" w:sz="0" w:space="0" w:color="auto"/>
        <w:left w:val="none" w:sz="0" w:space="0" w:color="auto"/>
        <w:bottom w:val="none" w:sz="0" w:space="0" w:color="auto"/>
        <w:right w:val="none" w:sz="0" w:space="0" w:color="auto"/>
      </w:divBdr>
    </w:div>
    <w:div w:id="62877567">
      <w:bodyDiv w:val="1"/>
      <w:marLeft w:val="0"/>
      <w:marRight w:val="0"/>
      <w:marTop w:val="0"/>
      <w:marBottom w:val="0"/>
      <w:divBdr>
        <w:top w:val="none" w:sz="0" w:space="0" w:color="auto"/>
        <w:left w:val="none" w:sz="0" w:space="0" w:color="auto"/>
        <w:bottom w:val="none" w:sz="0" w:space="0" w:color="auto"/>
        <w:right w:val="none" w:sz="0" w:space="0" w:color="auto"/>
      </w:divBdr>
    </w:div>
    <w:div w:id="86463601">
      <w:bodyDiv w:val="1"/>
      <w:marLeft w:val="0"/>
      <w:marRight w:val="0"/>
      <w:marTop w:val="0"/>
      <w:marBottom w:val="0"/>
      <w:divBdr>
        <w:top w:val="none" w:sz="0" w:space="0" w:color="auto"/>
        <w:left w:val="none" w:sz="0" w:space="0" w:color="auto"/>
        <w:bottom w:val="none" w:sz="0" w:space="0" w:color="auto"/>
        <w:right w:val="none" w:sz="0" w:space="0" w:color="auto"/>
      </w:divBdr>
    </w:div>
    <w:div w:id="116263423">
      <w:bodyDiv w:val="1"/>
      <w:marLeft w:val="0"/>
      <w:marRight w:val="0"/>
      <w:marTop w:val="0"/>
      <w:marBottom w:val="0"/>
      <w:divBdr>
        <w:top w:val="none" w:sz="0" w:space="0" w:color="auto"/>
        <w:left w:val="none" w:sz="0" w:space="0" w:color="auto"/>
        <w:bottom w:val="none" w:sz="0" w:space="0" w:color="auto"/>
        <w:right w:val="none" w:sz="0" w:space="0" w:color="auto"/>
      </w:divBdr>
    </w:div>
    <w:div w:id="119230714">
      <w:bodyDiv w:val="1"/>
      <w:marLeft w:val="0"/>
      <w:marRight w:val="0"/>
      <w:marTop w:val="0"/>
      <w:marBottom w:val="0"/>
      <w:divBdr>
        <w:top w:val="none" w:sz="0" w:space="0" w:color="auto"/>
        <w:left w:val="none" w:sz="0" w:space="0" w:color="auto"/>
        <w:bottom w:val="none" w:sz="0" w:space="0" w:color="auto"/>
        <w:right w:val="none" w:sz="0" w:space="0" w:color="auto"/>
      </w:divBdr>
    </w:div>
    <w:div w:id="127825142">
      <w:bodyDiv w:val="1"/>
      <w:marLeft w:val="0"/>
      <w:marRight w:val="0"/>
      <w:marTop w:val="0"/>
      <w:marBottom w:val="0"/>
      <w:divBdr>
        <w:top w:val="none" w:sz="0" w:space="0" w:color="auto"/>
        <w:left w:val="none" w:sz="0" w:space="0" w:color="auto"/>
        <w:bottom w:val="none" w:sz="0" w:space="0" w:color="auto"/>
        <w:right w:val="none" w:sz="0" w:space="0" w:color="auto"/>
      </w:divBdr>
    </w:div>
    <w:div w:id="195965766">
      <w:bodyDiv w:val="1"/>
      <w:marLeft w:val="0"/>
      <w:marRight w:val="0"/>
      <w:marTop w:val="0"/>
      <w:marBottom w:val="0"/>
      <w:divBdr>
        <w:top w:val="none" w:sz="0" w:space="0" w:color="auto"/>
        <w:left w:val="none" w:sz="0" w:space="0" w:color="auto"/>
        <w:bottom w:val="none" w:sz="0" w:space="0" w:color="auto"/>
        <w:right w:val="none" w:sz="0" w:space="0" w:color="auto"/>
      </w:divBdr>
    </w:div>
    <w:div w:id="205266029">
      <w:bodyDiv w:val="1"/>
      <w:marLeft w:val="0"/>
      <w:marRight w:val="0"/>
      <w:marTop w:val="0"/>
      <w:marBottom w:val="0"/>
      <w:divBdr>
        <w:top w:val="none" w:sz="0" w:space="0" w:color="auto"/>
        <w:left w:val="none" w:sz="0" w:space="0" w:color="auto"/>
        <w:bottom w:val="none" w:sz="0" w:space="0" w:color="auto"/>
        <w:right w:val="none" w:sz="0" w:space="0" w:color="auto"/>
      </w:divBdr>
    </w:div>
    <w:div w:id="215091681">
      <w:bodyDiv w:val="1"/>
      <w:marLeft w:val="0"/>
      <w:marRight w:val="0"/>
      <w:marTop w:val="0"/>
      <w:marBottom w:val="0"/>
      <w:divBdr>
        <w:top w:val="none" w:sz="0" w:space="0" w:color="auto"/>
        <w:left w:val="none" w:sz="0" w:space="0" w:color="auto"/>
        <w:bottom w:val="none" w:sz="0" w:space="0" w:color="auto"/>
        <w:right w:val="none" w:sz="0" w:space="0" w:color="auto"/>
      </w:divBdr>
    </w:div>
    <w:div w:id="233246988">
      <w:bodyDiv w:val="1"/>
      <w:marLeft w:val="0"/>
      <w:marRight w:val="0"/>
      <w:marTop w:val="0"/>
      <w:marBottom w:val="0"/>
      <w:divBdr>
        <w:top w:val="none" w:sz="0" w:space="0" w:color="auto"/>
        <w:left w:val="none" w:sz="0" w:space="0" w:color="auto"/>
        <w:bottom w:val="none" w:sz="0" w:space="0" w:color="auto"/>
        <w:right w:val="none" w:sz="0" w:space="0" w:color="auto"/>
      </w:divBdr>
    </w:div>
    <w:div w:id="241717763">
      <w:bodyDiv w:val="1"/>
      <w:marLeft w:val="0"/>
      <w:marRight w:val="0"/>
      <w:marTop w:val="0"/>
      <w:marBottom w:val="0"/>
      <w:divBdr>
        <w:top w:val="none" w:sz="0" w:space="0" w:color="auto"/>
        <w:left w:val="none" w:sz="0" w:space="0" w:color="auto"/>
        <w:bottom w:val="none" w:sz="0" w:space="0" w:color="auto"/>
        <w:right w:val="none" w:sz="0" w:space="0" w:color="auto"/>
      </w:divBdr>
    </w:div>
    <w:div w:id="249656317">
      <w:bodyDiv w:val="1"/>
      <w:marLeft w:val="0"/>
      <w:marRight w:val="0"/>
      <w:marTop w:val="0"/>
      <w:marBottom w:val="0"/>
      <w:divBdr>
        <w:top w:val="none" w:sz="0" w:space="0" w:color="auto"/>
        <w:left w:val="none" w:sz="0" w:space="0" w:color="auto"/>
        <w:bottom w:val="none" w:sz="0" w:space="0" w:color="auto"/>
        <w:right w:val="none" w:sz="0" w:space="0" w:color="auto"/>
      </w:divBdr>
    </w:div>
    <w:div w:id="261496268">
      <w:bodyDiv w:val="1"/>
      <w:marLeft w:val="0"/>
      <w:marRight w:val="0"/>
      <w:marTop w:val="0"/>
      <w:marBottom w:val="0"/>
      <w:divBdr>
        <w:top w:val="none" w:sz="0" w:space="0" w:color="auto"/>
        <w:left w:val="none" w:sz="0" w:space="0" w:color="auto"/>
        <w:bottom w:val="none" w:sz="0" w:space="0" w:color="auto"/>
        <w:right w:val="none" w:sz="0" w:space="0" w:color="auto"/>
      </w:divBdr>
    </w:div>
    <w:div w:id="276910304">
      <w:bodyDiv w:val="1"/>
      <w:marLeft w:val="0"/>
      <w:marRight w:val="0"/>
      <w:marTop w:val="0"/>
      <w:marBottom w:val="0"/>
      <w:divBdr>
        <w:top w:val="none" w:sz="0" w:space="0" w:color="auto"/>
        <w:left w:val="none" w:sz="0" w:space="0" w:color="auto"/>
        <w:bottom w:val="none" w:sz="0" w:space="0" w:color="auto"/>
        <w:right w:val="none" w:sz="0" w:space="0" w:color="auto"/>
      </w:divBdr>
    </w:div>
    <w:div w:id="333993482">
      <w:bodyDiv w:val="1"/>
      <w:marLeft w:val="0"/>
      <w:marRight w:val="0"/>
      <w:marTop w:val="0"/>
      <w:marBottom w:val="0"/>
      <w:divBdr>
        <w:top w:val="none" w:sz="0" w:space="0" w:color="auto"/>
        <w:left w:val="none" w:sz="0" w:space="0" w:color="auto"/>
        <w:bottom w:val="none" w:sz="0" w:space="0" w:color="auto"/>
        <w:right w:val="none" w:sz="0" w:space="0" w:color="auto"/>
      </w:divBdr>
    </w:div>
    <w:div w:id="336150798">
      <w:bodyDiv w:val="1"/>
      <w:marLeft w:val="0"/>
      <w:marRight w:val="0"/>
      <w:marTop w:val="0"/>
      <w:marBottom w:val="0"/>
      <w:divBdr>
        <w:top w:val="none" w:sz="0" w:space="0" w:color="auto"/>
        <w:left w:val="none" w:sz="0" w:space="0" w:color="auto"/>
        <w:bottom w:val="none" w:sz="0" w:space="0" w:color="auto"/>
        <w:right w:val="none" w:sz="0" w:space="0" w:color="auto"/>
      </w:divBdr>
    </w:div>
    <w:div w:id="342586991">
      <w:bodyDiv w:val="1"/>
      <w:marLeft w:val="0"/>
      <w:marRight w:val="0"/>
      <w:marTop w:val="0"/>
      <w:marBottom w:val="0"/>
      <w:divBdr>
        <w:top w:val="none" w:sz="0" w:space="0" w:color="auto"/>
        <w:left w:val="none" w:sz="0" w:space="0" w:color="auto"/>
        <w:bottom w:val="none" w:sz="0" w:space="0" w:color="auto"/>
        <w:right w:val="none" w:sz="0" w:space="0" w:color="auto"/>
      </w:divBdr>
    </w:div>
    <w:div w:id="372728411">
      <w:bodyDiv w:val="1"/>
      <w:marLeft w:val="0"/>
      <w:marRight w:val="0"/>
      <w:marTop w:val="0"/>
      <w:marBottom w:val="0"/>
      <w:divBdr>
        <w:top w:val="none" w:sz="0" w:space="0" w:color="auto"/>
        <w:left w:val="none" w:sz="0" w:space="0" w:color="auto"/>
        <w:bottom w:val="none" w:sz="0" w:space="0" w:color="auto"/>
        <w:right w:val="none" w:sz="0" w:space="0" w:color="auto"/>
      </w:divBdr>
    </w:div>
    <w:div w:id="379282921">
      <w:bodyDiv w:val="1"/>
      <w:marLeft w:val="0"/>
      <w:marRight w:val="0"/>
      <w:marTop w:val="0"/>
      <w:marBottom w:val="0"/>
      <w:divBdr>
        <w:top w:val="none" w:sz="0" w:space="0" w:color="auto"/>
        <w:left w:val="none" w:sz="0" w:space="0" w:color="auto"/>
        <w:bottom w:val="none" w:sz="0" w:space="0" w:color="auto"/>
        <w:right w:val="none" w:sz="0" w:space="0" w:color="auto"/>
      </w:divBdr>
    </w:div>
    <w:div w:id="397754204">
      <w:bodyDiv w:val="1"/>
      <w:marLeft w:val="0"/>
      <w:marRight w:val="0"/>
      <w:marTop w:val="0"/>
      <w:marBottom w:val="0"/>
      <w:divBdr>
        <w:top w:val="none" w:sz="0" w:space="0" w:color="auto"/>
        <w:left w:val="none" w:sz="0" w:space="0" w:color="auto"/>
        <w:bottom w:val="none" w:sz="0" w:space="0" w:color="auto"/>
        <w:right w:val="none" w:sz="0" w:space="0" w:color="auto"/>
      </w:divBdr>
    </w:div>
    <w:div w:id="433870176">
      <w:bodyDiv w:val="1"/>
      <w:marLeft w:val="0"/>
      <w:marRight w:val="0"/>
      <w:marTop w:val="0"/>
      <w:marBottom w:val="0"/>
      <w:divBdr>
        <w:top w:val="none" w:sz="0" w:space="0" w:color="auto"/>
        <w:left w:val="none" w:sz="0" w:space="0" w:color="auto"/>
        <w:bottom w:val="none" w:sz="0" w:space="0" w:color="auto"/>
        <w:right w:val="none" w:sz="0" w:space="0" w:color="auto"/>
      </w:divBdr>
    </w:div>
    <w:div w:id="444661909">
      <w:bodyDiv w:val="1"/>
      <w:marLeft w:val="0"/>
      <w:marRight w:val="0"/>
      <w:marTop w:val="0"/>
      <w:marBottom w:val="0"/>
      <w:divBdr>
        <w:top w:val="none" w:sz="0" w:space="0" w:color="auto"/>
        <w:left w:val="none" w:sz="0" w:space="0" w:color="auto"/>
        <w:bottom w:val="none" w:sz="0" w:space="0" w:color="auto"/>
        <w:right w:val="none" w:sz="0" w:space="0" w:color="auto"/>
      </w:divBdr>
    </w:div>
    <w:div w:id="472798307">
      <w:bodyDiv w:val="1"/>
      <w:marLeft w:val="0"/>
      <w:marRight w:val="0"/>
      <w:marTop w:val="0"/>
      <w:marBottom w:val="0"/>
      <w:divBdr>
        <w:top w:val="none" w:sz="0" w:space="0" w:color="auto"/>
        <w:left w:val="none" w:sz="0" w:space="0" w:color="auto"/>
        <w:bottom w:val="none" w:sz="0" w:space="0" w:color="auto"/>
        <w:right w:val="none" w:sz="0" w:space="0" w:color="auto"/>
      </w:divBdr>
    </w:div>
    <w:div w:id="518080843">
      <w:bodyDiv w:val="1"/>
      <w:marLeft w:val="0"/>
      <w:marRight w:val="0"/>
      <w:marTop w:val="0"/>
      <w:marBottom w:val="0"/>
      <w:divBdr>
        <w:top w:val="none" w:sz="0" w:space="0" w:color="auto"/>
        <w:left w:val="none" w:sz="0" w:space="0" w:color="auto"/>
        <w:bottom w:val="none" w:sz="0" w:space="0" w:color="auto"/>
        <w:right w:val="none" w:sz="0" w:space="0" w:color="auto"/>
      </w:divBdr>
    </w:div>
    <w:div w:id="528108831">
      <w:bodyDiv w:val="1"/>
      <w:marLeft w:val="0"/>
      <w:marRight w:val="0"/>
      <w:marTop w:val="0"/>
      <w:marBottom w:val="0"/>
      <w:divBdr>
        <w:top w:val="none" w:sz="0" w:space="0" w:color="auto"/>
        <w:left w:val="none" w:sz="0" w:space="0" w:color="auto"/>
        <w:bottom w:val="none" w:sz="0" w:space="0" w:color="auto"/>
        <w:right w:val="none" w:sz="0" w:space="0" w:color="auto"/>
      </w:divBdr>
    </w:div>
    <w:div w:id="544946911">
      <w:bodyDiv w:val="1"/>
      <w:marLeft w:val="0"/>
      <w:marRight w:val="0"/>
      <w:marTop w:val="0"/>
      <w:marBottom w:val="0"/>
      <w:divBdr>
        <w:top w:val="none" w:sz="0" w:space="0" w:color="auto"/>
        <w:left w:val="none" w:sz="0" w:space="0" w:color="auto"/>
        <w:bottom w:val="none" w:sz="0" w:space="0" w:color="auto"/>
        <w:right w:val="none" w:sz="0" w:space="0" w:color="auto"/>
      </w:divBdr>
    </w:div>
    <w:div w:id="546452586">
      <w:bodyDiv w:val="1"/>
      <w:marLeft w:val="0"/>
      <w:marRight w:val="0"/>
      <w:marTop w:val="0"/>
      <w:marBottom w:val="0"/>
      <w:divBdr>
        <w:top w:val="none" w:sz="0" w:space="0" w:color="auto"/>
        <w:left w:val="none" w:sz="0" w:space="0" w:color="auto"/>
        <w:bottom w:val="none" w:sz="0" w:space="0" w:color="auto"/>
        <w:right w:val="none" w:sz="0" w:space="0" w:color="auto"/>
      </w:divBdr>
    </w:div>
    <w:div w:id="557010261">
      <w:bodyDiv w:val="1"/>
      <w:marLeft w:val="0"/>
      <w:marRight w:val="0"/>
      <w:marTop w:val="0"/>
      <w:marBottom w:val="0"/>
      <w:divBdr>
        <w:top w:val="none" w:sz="0" w:space="0" w:color="auto"/>
        <w:left w:val="none" w:sz="0" w:space="0" w:color="auto"/>
        <w:bottom w:val="none" w:sz="0" w:space="0" w:color="auto"/>
        <w:right w:val="none" w:sz="0" w:space="0" w:color="auto"/>
      </w:divBdr>
    </w:div>
    <w:div w:id="588467719">
      <w:bodyDiv w:val="1"/>
      <w:marLeft w:val="0"/>
      <w:marRight w:val="0"/>
      <w:marTop w:val="0"/>
      <w:marBottom w:val="0"/>
      <w:divBdr>
        <w:top w:val="none" w:sz="0" w:space="0" w:color="auto"/>
        <w:left w:val="none" w:sz="0" w:space="0" w:color="auto"/>
        <w:bottom w:val="none" w:sz="0" w:space="0" w:color="auto"/>
        <w:right w:val="none" w:sz="0" w:space="0" w:color="auto"/>
      </w:divBdr>
    </w:div>
    <w:div w:id="611405552">
      <w:bodyDiv w:val="1"/>
      <w:marLeft w:val="0"/>
      <w:marRight w:val="0"/>
      <w:marTop w:val="0"/>
      <w:marBottom w:val="0"/>
      <w:divBdr>
        <w:top w:val="none" w:sz="0" w:space="0" w:color="auto"/>
        <w:left w:val="none" w:sz="0" w:space="0" w:color="auto"/>
        <w:bottom w:val="none" w:sz="0" w:space="0" w:color="auto"/>
        <w:right w:val="none" w:sz="0" w:space="0" w:color="auto"/>
      </w:divBdr>
    </w:div>
    <w:div w:id="616837981">
      <w:bodyDiv w:val="1"/>
      <w:marLeft w:val="0"/>
      <w:marRight w:val="0"/>
      <w:marTop w:val="0"/>
      <w:marBottom w:val="0"/>
      <w:divBdr>
        <w:top w:val="none" w:sz="0" w:space="0" w:color="auto"/>
        <w:left w:val="none" w:sz="0" w:space="0" w:color="auto"/>
        <w:bottom w:val="none" w:sz="0" w:space="0" w:color="auto"/>
        <w:right w:val="none" w:sz="0" w:space="0" w:color="auto"/>
      </w:divBdr>
    </w:div>
    <w:div w:id="629553078">
      <w:bodyDiv w:val="1"/>
      <w:marLeft w:val="0"/>
      <w:marRight w:val="0"/>
      <w:marTop w:val="0"/>
      <w:marBottom w:val="0"/>
      <w:divBdr>
        <w:top w:val="none" w:sz="0" w:space="0" w:color="auto"/>
        <w:left w:val="none" w:sz="0" w:space="0" w:color="auto"/>
        <w:bottom w:val="none" w:sz="0" w:space="0" w:color="auto"/>
        <w:right w:val="none" w:sz="0" w:space="0" w:color="auto"/>
      </w:divBdr>
    </w:div>
    <w:div w:id="644046405">
      <w:bodyDiv w:val="1"/>
      <w:marLeft w:val="0"/>
      <w:marRight w:val="0"/>
      <w:marTop w:val="0"/>
      <w:marBottom w:val="0"/>
      <w:divBdr>
        <w:top w:val="none" w:sz="0" w:space="0" w:color="auto"/>
        <w:left w:val="none" w:sz="0" w:space="0" w:color="auto"/>
        <w:bottom w:val="none" w:sz="0" w:space="0" w:color="auto"/>
        <w:right w:val="none" w:sz="0" w:space="0" w:color="auto"/>
      </w:divBdr>
    </w:div>
    <w:div w:id="645206702">
      <w:bodyDiv w:val="1"/>
      <w:marLeft w:val="0"/>
      <w:marRight w:val="0"/>
      <w:marTop w:val="0"/>
      <w:marBottom w:val="0"/>
      <w:divBdr>
        <w:top w:val="none" w:sz="0" w:space="0" w:color="auto"/>
        <w:left w:val="none" w:sz="0" w:space="0" w:color="auto"/>
        <w:bottom w:val="none" w:sz="0" w:space="0" w:color="auto"/>
        <w:right w:val="none" w:sz="0" w:space="0" w:color="auto"/>
      </w:divBdr>
    </w:div>
    <w:div w:id="661010918">
      <w:bodyDiv w:val="1"/>
      <w:marLeft w:val="0"/>
      <w:marRight w:val="0"/>
      <w:marTop w:val="0"/>
      <w:marBottom w:val="0"/>
      <w:divBdr>
        <w:top w:val="none" w:sz="0" w:space="0" w:color="auto"/>
        <w:left w:val="none" w:sz="0" w:space="0" w:color="auto"/>
        <w:bottom w:val="none" w:sz="0" w:space="0" w:color="auto"/>
        <w:right w:val="none" w:sz="0" w:space="0" w:color="auto"/>
      </w:divBdr>
    </w:div>
    <w:div w:id="706419489">
      <w:bodyDiv w:val="1"/>
      <w:marLeft w:val="0"/>
      <w:marRight w:val="0"/>
      <w:marTop w:val="0"/>
      <w:marBottom w:val="0"/>
      <w:divBdr>
        <w:top w:val="none" w:sz="0" w:space="0" w:color="auto"/>
        <w:left w:val="none" w:sz="0" w:space="0" w:color="auto"/>
        <w:bottom w:val="none" w:sz="0" w:space="0" w:color="auto"/>
        <w:right w:val="none" w:sz="0" w:space="0" w:color="auto"/>
      </w:divBdr>
    </w:div>
    <w:div w:id="709887805">
      <w:bodyDiv w:val="1"/>
      <w:marLeft w:val="0"/>
      <w:marRight w:val="0"/>
      <w:marTop w:val="0"/>
      <w:marBottom w:val="0"/>
      <w:divBdr>
        <w:top w:val="none" w:sz="0" w:space="0" w:color="auto"/>
        <w:left w:val="none" w:sz="0" w:space="0" w:color="auto"/>
        <w:bottom w:val="none" w:sz="0" w:space="0" w:color="auto"/>
        <w:right w:val="none" w:sz="0" w:space="0" w:color="auto"/>
      </w:divBdr>
    </w:div>
    <w:div w:id="721249644">
      <w:bodyDiv w:val="1"/>
      <w:marLeft w:val="0"/>
      <w:marRight w:val="0"/>
      <w:marTop w:val="0"/>
      <w:marBottom w:val="0"/>
      <w:divBdr>
        <w:top w:val="none" w:sz="0" w:space="0" w:color="auto"/>
        <w:left w:val="none" w:sz="0" w:space="0" w:color="auto"/>
        <w:bottom w:val="none" w:sz="0" w:space="0" w:color="auto"/>
        <w:right w:val="none" w:sz="0" w:space="0" w:color="auto"/>
      </w:divBdr>
    </w:div>
    <w:div w:id="727607953">
      <w:bodyDiv w:val="1"/>
      <w:marLeft w:val="0"/>
      <w:marRight w:val="0"/>
      <w:marTop w:val="0"/>
      <w:marBottom w:val="0"/>
      <w:divBdr>
        <w:top w:val="none" w:sz="0" w:space="0" w:color="auto"/>
        <w:left w:val="none" w:sz="0" w:space="0" w:color="auto"/>
        <w:bottom w:val="none" w:sz="0" w:space="0" w:color="auto"/>
        <w:right w:val="none" w:sz="0" w:space="0" w:color="auto"/>
      </w:divBdr>
    </w:div>
    <w:div w:id="740905929">
      <w:bodyDiv w:val="1"/>
      <w:marLeft w:val="0"/>
      <w:marRight w:val="0"/>
      <w:marTop w:val="0"/>
      <w:marBottom w:val="0"/>
      <w:divBdr>
        <w:top w:val="none" w:sz="0" w:space="0" w:color="auto"/>
        <w:left w:val="none" w:sz="0" w:space="0" w:color="auto"/>
        <w:bottom w:val="none" w:sz="0" w:space="0" w:color="auto"/>
        <w:right w:val="none" w:sz="0" w:space="0" w:color="auto"/>
      </w:divBdr>
    </w:div>
    <w:div w:id="752623751">
      <w:bodyDiv w:val="1"/>
      <w:marLeft w:val="0"/>
      <w:marRight w:val="0"/>
      <w:marTop w:val="0"/>
      <w:marBottom w:val="0"/>
      <w:divBdr>
        <w:top w:val="none" w:sz="0" w:space="0" w:color="auto"/>
        <w:left w:val="none" w:sz="0" w:space="0" w:color="auto"/>
        <w:bottom w:val="none" w:sz="0" w:space="0" w:color="auto"/>
        <w:right w:val="none" w:sz="0" w:space="0" w:color="auto"/>
      </w:divBdr>
    </w:div>
    <w:div w:id="756824928">
      <w:bodyDiv w:val="1"/>
      <w:marLeft w:val="0"/>
      <w:marRight w:val="0"/>
      <w:marTop w:val="0"/>
      <w:marBottom w:val="0"/>
      <w:divBdr>
        <w:top w:val="none" w:sz="0" w:space="0" w:color="auto"/>
        <w:left w:val="none" w:sz="0" w:space="0" w:color="auto"/>
        <w:bottom w:val="none" w:sz="0" w:space="0" w:color="auto"/>
        <w:right w:val="none" w:sz="0" w:space="0" w:color="auto"/>
      </w:divBdr>
    </w:div>
    <w:div w:id="794451782">
      <w:bodyDiv w:val="1"/>
      <w:marLeft w:val="0"/>
      <w:marRight w:val="0"/>
      <w:marTop w:val="0"/>
      <w:marBottom w:val="0"/>
      <w:divBdr>
        <w:top w:val="none" w:sz="0" w:space="0" w:color="auto"/>
        <w:left w:val="none" w:sz="0" w:space="0" w:color="auto"/>
        <w:bottom w:val="none" w:sz="0" w:space="0" w:color="auto"/>
        <w:right w:val="none" w:sz="0" w:space="0" w:color="auto"/>
      </w:divBdr>
    </w:div>
    <w:div w:id="839731616">
      <w:bodyDiv w:val="1"/>
      <w:marLeft w:val="0"/>
      <w:marRight w:val="0"/>
      <w:marTop w:val="0"/>
      <w:marBottom w:val="0"/>
      <w:divBdr>
        <w:top w:val="none" w:sz="0" w:space="0" w:color="auto"/>
        <w:left w:val="none" w:sz="0" w:space="0" w:color="auto"/>
        <w:bottom w:val="none" w:sz="0" w:space="0" w:color="auto"/>
        <w:right w:val="none" w:sz="0" w:space="0" w:color="auto"/>
      </w:divBdr>
    </w:div>
    <w:div w:id="869226032">
      <w:bodyDiv w:val="1"/>
      <w:marLeft w:val="0"/>
      <w:marRight w:val="0"/>
      <w:marTop w:val="0"/>
      <w:marBottom w:val="0"/>
      <w:divBdr>
        <w:top w:val="none" w:sz="0" w:space="0" w:color="auto"/>
        <w:left w:val="none" w:sz="0" w:space="0" w:color="auto"/>
        <w:bottom w:val="none" w:sz="0" w:space="0" w:color="auto"/>
        <w:right w:val="none" w:sz="0" w:space="0" w:color="auto"/>
      </w:divBdr>
    </w:div>
    <w:div w:id="913390722">
      <w:bodyDiv w:val="1"/>
      <w:marLeft w:val="0"/>
      <w:marRight w:val="0"/>
      <w:marTop w:val="0"/>
      <w:marBottom w:val="0"/>
      <w:divBdr>
        <w:top w:val="none" w:sz="0" w:space="0" w:color="auto"/>
        <w:left w:val="none" w:sz="0" w:space="0" w:color="auto"/>
        <w:bottom w:val="none" w:sz="0" w:space="0" w:color="auto"/>
        <w:right w:val="none" w:sz="0" w:space="0" w:color="auto"/>
      </w:divBdr>
    </w:div>
    <w:div w:id="955452064">
      <w:bodyDiv w:val="1"/>
      <w:marLeft w:val="0"/>
      <w:marRight w:val="0"/>
      <w:marTop w:val="0"/>
      <w:marBottom w:val="0"/>
      <w:divBdr>
        <w:top w:val="none" w:sz="0" w:space="0" w:color="auto"/>
        <w:left w:val="none" w:sz="0" w:space="0" w:color="auto"/>
        <w:bottom w:val="none" w:sz="0" w:space="0" w:color="auto"/>
        <w:right w:val="none" w:sz="0" w:space="0" w:color="auto"/>
      </w:divBdr>
    </w:div>
    <w:div w:id="981544111">
      <w:bodyDiv w:val="1"/>
      <w:marLeft w:val="0"/>
      <w:marRight w:val="0"/>
      <w:marTop w:val="0"/>
      <w:marBottom w:val="0"/>
      <w:divBdr>
        <w:top w:val="none" w:sz="0" w:space="0" w:color="auto"/>
        <w:left w:val="none" w:sz="0" w:space="0" w:color="auto"/>
        <w:bottom w:val="none" w:sz="0" w:space="0" w:color="auto"/>
        <w:right w:val="none" w:sz="0" w:space="0" w:color="auto"/>
      </w:divBdr>
    </w:div>
    <w:div w:id="982278025">
      <w:bodyDiv w:val="1"/>
      <w:marLeft w:val="0"/>
      <w:marRight w:val="0"/>
      <w:marTop w:val="0"/>
      <w:marBottom w:val="0"/>
      <w:divBdr>
        <w:top w:val="none" w:sz="0" w:space="0" w:color="auto"/>
        <w:left w:val="none" w:sz="0" w:space="0" w:color="auto"/>
        <w:bottom w:val="none" w:sz="0" w:space="0" w:color="auto"/>
        <w:right w:val="none" w:sz="0" w:space="0" w:color="auto"/>
      </w:divBdr>
    </w:div>
    <w:div w:id="990711908">
      <w:bodyDiv w:val="1"/>
      <w:marLeft w:val="0"/>
      <w:marRight w:val="0"/>
      <w:marTop w:val="0"/>
      <w:marBottom w:val="0"/>
      <w:divBdr>
        <w:top w:val="none" w:sz="0" w:space="0" w:color="auto"/>
        <w:left w:val="none" w:sz="0" w:space="0" w:color="auto"/>
        <w:bottom w:val="none" w:sz="0" w:space="0" w:color="auto"/>
        <w:right w:val="none" w:sz="0" w:space="0" w:color="auto"/>
      </w:divBdr>
    </w:div>
    <w:div w:id="995182615">
      <w:bodyDiv w:val="1"/>
      <w:marLeft w:val="0"/>
      <w:marRight w:val="0"/>
      <w:marTop w:val="0"/>
      <w:marBottom w:val="0"/>
      <w:divBdr>
        <w:top w:val="none" w:sz="0" w:space="0" w:color="auto"/>
        <w:left w:val="none" w:sz="0" w:space="0" w:color="auto"/>
        <w:bottom w:val="none" w:sz="0" w:space="0" w:color="auto"/>
        <w:right w:val="none" w:sz="0" w:space="0" w:color="auto"/>
      </w:divBdr>
    </w:div>
    <w:div w:id="1029335223">
      <w:bodyDiv w:val="1"/>
      <w:marLeft w:val="0"/>
      <w:marRight w:val="0"/>
      <w:marTop w:val="0"/>
      <w:marBottom w:val="0"/>
      <w:divBdr>
        <w:top w:val="none" w:sz="0" w:space="0" w:color="auto"/>
        <w:left w:val="none" w:sz="0" w:space="0" w:color="auto"/>
        <w:bottom w:val="none" w:sz="0" w:space="0" w:color="auto"/>
        <w:right w:val="none" w:sz="0" w:space="0" w:color="auto"/>
      </w:divBdr>
    </w:div>
    <w:div w:id="1042360836">
      <w:bodyDiv w:val="1"/>
      <w:marLeft w:val="0"/>
      <w:marRight w:val="0"/>
      <w:marTop w:val="0"/>
      <w:marBottom w:val="0"/>
      <w:divBdr>
        <w:top w:val="none" w:sz="0" w:space="0" w:color="auto"/>
        <w:left w:val="none" w:sz="0" w:space="0" w:color="auto"/>
        <w:bottom w:val="none" w:sz="0" w:space="0" w:color="auto"/>
        <w:right w:val="none" w:sz="0" w:space="0" w:color="auto"/>
      </w:divBdr>
    </w:div>
    <w:div w:id="1085961311">
      <w:bodyDiv w:val="1"/>
      <w:marLeft w:val="0"/>
      <w:marRight w:val="0"/>
      <w:marTop w:val="0"/>
      <w:marBottom w:val="0"/>
      <w:divBdr>
        <w:top w:val="none" w:sz="0" w:space="0" w:color="auto"/>
        <w:left w:val="none" w:sz="0" w:space="0" w:color="auto"/>
        <w:bottom w:val="none" w:sz="0" w:space="0" w:color="auto"/>
        <w:right w:val="none" w:sz="0" w:space="0" w:color="auto"/>
      </w:divBdr>
    </w:div>
    <w:div w:id="1118644082">
      <w:bodyDiv w:val="1"/>
      <w:marLeft w:val="0"/>
      <w:marRight w:val="0"/>
      <w:marTop w:val="0"/>
      <w:marBottom w:val="0"/>
      <w:divBdr>
        <w:top w:val="none" w:sz="0" w:space="0" w:color="auto"/>
        <w:left w:val="none" w:sz="0" w:space="0" w:color="auto"/>
        <w:bottom w:val="none" w:sz="0" w:space="0" w:color="auto"/>
        <w:right w:val="none" w:sz="0" w:space="0" w:color="auto"/>
      </w:divBdr>
    </w:div>
    <w:div w:id="1165047524">
      <w:bodyDiv w:val="1"/>
      <w:marLeft w:val="0"/>
      <w:marRight w:val="0"/>
      <w:marTop w:val="0"/>
      <w:marBottom w:val="0"/>
      <w:divBdr>
        <w:top w:val="none" w:sz="0" w:space="0" w:color="auto"/>
        <w:left w:val="none" w:sz="0" w:space="0" w:color="auto"/>
        <w:bottom w:val="none" w:sz="0" w:space="0" w:color="auto"/>
        <w:right w:val="none" w:sz="0" w:space="0" w:color="auto"/>
      </w:divBdr>
    </w:div>
    <w:div w:id="1179808142">
      <w:bodyDiv w:val="1"/>
      <w:marLeft w:val="0"/>
      <w:marRight w:val="0"/>
      <w:marTop w:val="0"/>
      <w:marBottom w:val="0"/>
      <w:divBdr>
        <w:top w:val="none" w:sz="0" w:space="0" w:color="auto"/>
        <w:left w:val="none" w:sz="0" w:space="0" w:color="auto"/>
        <w:bottom w:val="none" w:sz="0" w:space="0" w:color="auto"/>
        <w:right w:val="none" w:sz="0" w:space="0" w:color="auto"/>
      </w:divBdr>
    </w:div>
    <w:div w:id="1210612982">
      <w:bodyDiv w:val="1"/>
      <w:marLeft w:val="0"/>
      <w:marRight w:val="0"/>
      <w:marTop w:val="0"/>
      <w:marBottom w:val="0"/>
      <w:divBdr>
        <w:top w:val="none" w:sz="0" w:space="0" w:color="auto"/>
        <w:left w:val="none" w:sz="0" w:space="0" w:color="auto"/>
        <w:bottom w:val="none" w:sz="0" w:space="0" w:color="auto"/>
        <w:right w:val="none" w:sz="0" w:space="0" w:color="auto"/>
      </w:divBdr>
    </w:div>
    <w:div w:id="1227492142">
      <w:bodyDiv w:val="1"/>
      <w:marLeft w:val="0"/>
      <w:marRight w:val="0"/>
      <w:marTop w:val="0"/>
      <w:marBottom w:val="0"/>
      <w:divBdr>
        <w:top w:val="none" w:sz="0" w:space="0" w:color="auto"/>
        <w:left w:val="none" w:sz="0" w:space="0" w:color="auto"/>
        <w:bottom w:val="none" w:sz="0" w:space="0" w:color="auto"/>
        <w:right w:val="none" w:sz="0" w:space="0" w:color="auto"/>
      </w:divBdr>
    </w:div>
    <w:div w:id="1269778230">
      <w:bodyDiv w:val="1"/>
      <w:marLeft w:val="0"/>
      <w:marRight w:val="0"/>
      <w:marTop w:val="0"/>
      <w:marBottom w:val="0"/>
      <w:divBdr>
        <w:top w:val="none" w:sz="0" w:space="0" w:color="auto"/>
        <w:left w:val="none" w:sz="0" w:space="0" w:color="auto"/>
        <w:bottom w:val="none" w:sz="0" w:space="0" w:color="auto"/>
        <w:right w:val="none" w:sz="0" w:space="0" w:color="auto"/>
      </w:divBdr>
    </w:div>
    <w:div w:id="1278101061">
      <w:bodyDiv w:val="1"/>
      <w:marLeft w:val="0"/>
      <w:marRight w:val="0"/>
      <w:marTop w:val="0"/>
      <w:marBottom w:val="0"/>
      <w:divBdr>
        <w:top w:val="none" w:sz="0" w:space="0" w:color="auto"/>
        <w:left w:val="none" w:sz="0" w:space="0" w:color="auto"/>
        <w:bottom w:val="none" w:sz="0" w:space="0" w:color="auto"/>
        <w:right w:val="none" w:sz="0" w:space="0" w:color="auto"/>
      </w:divBdr>
    </w:div>
    <w:div w:id="1303344471">
      <w:bodyDiv w:val="1"/>
      <w:marLeft w:val="0"/>
      <w:marRight w:val="0"/>
      <w:marTop w:val="0"/>
      <w:marBottom w:val="0"/>
      <w:divBdr>
        <w:top w:val="none" w:sz="0" w:space="0" w:color="auto"/>
        <w:left w:val="none" w:sz="0" w:space="0" w:color="auto"/>
        <w:bottom w:val="none" w:sz="0" w:space="0" w:color="auto"/>
        <w:right w:val="none" w:sz="0" w:space="0" w:color="auto"/>
      </w:divBdr>
    </w:div>
    <w:div w:id="1375471897">
      <w:bodyDiv w:val="1"/>
      <w:marLeft w:val="0"/>
      <w:marRight w:val="0"/>
      <w:marTop w:val="0"/>
      <w:marBottom w:val="0"/>
      <w:divBdr>
        <w:top w:val="none" w:sz="0" w:space="0" w:color="auto"/>
        <w:left w:val="none" w:sz="0" w:space="0" w:color="auto"/>
        <w:bottom w:val="none" w:sz="0" w:space="0" w:color="auto"/>
        <w:right w:val="none" w:sz="0" w:space="0" w:color="auto"/>
      </w:divBdr>
    </w:div>
    <w:div w:id="1380129695">
      <w:bodyDiv w:val="1"/>
      <w:marLeft w:val="0"/>
      <w:marRight w:val="0"/>
      <w:marTop w:val="0"/>
      <w:marBottom w:val="0"/>
      <w:divBdr>
        <w:top w:val="none" w:sz="0" w:space="0" w:color="auto"/>
        <w:left w:val="none" w:sz="0" w:space="0" w:color="auto"/>
        <w:bottom w:val="none" w:sz="0" w:space="0" w:color="auto"/>
        <w:right w:val="none" w:sz="0" w:space="0" w:color="auto"/>
      </w:divBdr>
    </w:div>
    <w:div w:id="1474714023">
      <w:bodyDiv w:val="1"/>
      <w:marLeft w:val="0"/>
      <w:marRight w:val="0"/>
      <w:marTop w:val="0"/>
      <w:marBottom w:val="0"/>
      <w:divBdr>
        <w:top w:val="none" w:sz="0" w:space="0" w:color="auto"/>
        <w:left w:val="none" w:sz="0" w:space="0" w:color="auto"/>
        <w:bottom w:val="none" w:sz="0" w:space="0" w:color="auto"/>
        <w:right w:val="none" w:sz="0" w:space="0" w:color="auto"/>
      </w:divBdr>
    </w:div>
    <w:div w:id="1518428607">
      <w:bodyDiv w:val="1"/>
      <w:marLeft w:val="0"/>
      <w:marRight w:val="0"/>
      <w:marTop w:val="0"/>
      <w:marBottom w:val="0"/>
      <w:divBdr>
        <w:top w:val="none" w:sz="0" w:space="0" w:color="auto"/>
        <w:left w:val="none" w:sz="0" w:space="0" w:color="auto"/>
        <w:bottom w:val="none" w:sz="0" w:space="0" w:color="auto"/>
        <w:right w:val="none" w:sz="0" w:space="0" w:color="auto"/>
      </w:divBdr>
    </w:div>
    <w:div w:id="1533885306">
      <w:bodyDiv w:val="1"/>
      <w:marLeft w:val="0"/>
      <w:marRight w:val="0"/>
      <w:marTop w:val="0"/>
      <w:marBottom w:val="0"/>
      <w:divBdr>
        <w:top w:val="none" w:sz="0" w:space="0" w:color="auto"/>
        <w:left w:val="none" w:sz="0" w:space="0" w:color="auto"/>
        <w:bottom w:val="none" w:sz="0" w:space="0" w:color="auto"/>
        <w:right w:val="none" w:sz="0" w:space="0" w:color="auto"/>
      </w:divBdr>
    </w:div>
    <w:div w:id="1546256839">
      <w:bodyDiv w:val="1"/>
      <w:marLeft w:val="0"/>
      <w:marRight w:val="0"/>
      <w:marTop w:val="0"/>
      <w:marBottom w:val="0"/>
      <w:divBdr>
        <w:top w:val="none" w:sz="0" w:space="0" w:color="auto"/>
        <w:left w:val="none" w:sz="0" w:space="0" w:color="auto"/>
        <w:bottom w:val="none" w:sz="0" w:space="0" w:color="auto"/>
        <w:right w:val="none" w:sz="0" w:space="0" w:color="auto"/>
      </w:divBdr>
    </w:div>
    <w:div w:id="1556087386">
      <w:bodyDiv w:val="1"/>
      <w:marLeft w:val="0"/>
      <w:marRight w:val="0"/>
      <w:marTop w:val="0"/>
      <w:marBottom w:val="0"/>
      <w:divBdr>
        <w:top w:val="none" w:sz="0" w:space="0" w:color="auto"/>
        <w:left w:val="none" w:sz="0" w:space="0" w:color="auto"/>
        <w:bottom w:val="none" w:sz="0" w:space="0" w:color="auto"/>
        <w:right w:val="none" w:sz="0" w:space="0" w:color="auto"/>
      </w:divBdr>
    </w:div>
    <w:div w:id="1599874147">
      <w:bodyDiv w:val="1"/>
      <w:marLeft w:val="0"/>
      <w:marRight w:val="0"/>
      <w:marTop w:val="0"/>
      <w:marBottom w:val="0"/>
      <w:divBdr>
        <w:top w:val="none" w:sz="0" w:space="0" w:color="auto"/>
        <w:left w:val="none" w:sz="0" w:space="0" w:color="auto"/>
        <w:bottom w:val="none" w:sz="0" w:space="0" w:color="auto"/>
        <w:right w:val="none" w:sz="0" w:space="0" w:color="auto"/>
      </w:divBdr>
    </w:div>
    <w:div w:id="1632394386">
      <w:bodyDiv w:val="1"/>
      <w:marLeft w:val="0"/>
      <w:marRight w:val="0"/>
      <w:marTop w:val="0"/>
      <w:marBottom w:val="0"/>
      <w:divBdr>
        <w:top w:val="none" w:sz="0" w:space="0" w:color="auto"/>
        <w:left w:val="none" w:sz="0" w:space="0" w:color="auto"/>
        <w:bottom w:val="none" w:sz="0" w:space="0" w:color="auto"/>
        <w:right w:val="none" w:sz="0" w:space="0" w:color="auto"/>
      </w:divBdr>
    </w:div>
    <w:div w:id="1711346666">
      <w:bodyDiv w:val="1"/>
      <w:marLeft w:val="0"/>
      <w:marRight w:val="0"/>
      <w:marTop w:val="0"/>
      <w:marBottom w:val="0"/>
      <w:divBdr>
        <w:top w:val="none" w:sz="0" w:space="0" w:color="auto"/>
        <w:left w:val="none" w:sz="0" w:space="0" w:color="auto"/>
        <w:bottom w:val="none" w:sz="0" w:space="0" w:color="auto"/>
        <w:right w:val="none" w:sz="0" w:space="0" w:color="auto"/>
      </w:divBdr>
    </w:div>
    <w:div w:id="1780030749">
      <w:bodyDiv w:val="1"/>
      <w:marLeft w:val="0"/>
      <w:marRight w:val="0"/>
      <w:marTop w:val="0"/>
      <w:marBottom w:val="0"/>
      <w:divBdr>
        <w:top w:val="none" w:sz="0" w:space="0" w:color="auto"/>
        <w:left w:val="none" w:sz="0" w:space="0" w:color="auto"/>
        <w:bottom w:val="none" w:sz="0" w:space="0" w:color="auto"/>
        <w:right w:val="none" w:sz="0" w:space="0" w:color="auto"/>
      </w:divBdr>
    </w:div>
    <w:div w:id="1820994072">
      <w:bodyDiv w:val="1"/>
      <w:marLeft w:val="0"/>
      <w:marRight w:val="0"/>
      <w:marTop w:val="0"/>
      <w:marBottom w:val="0"/>
      <w:divBdr>
        <w:top w:val="none" w:sz="0" w:space="0" w:color="auto"/>
        <w:left w:val="none" w:sz="0" w:space="0" w:color="auto"/>
        <w:bottom w:val="none" w:sz="0" w:space="0" w:color="auto"/>
        <w:right w:val="none" w:sz="0" w:space="0" w:color="auto"/>
      </w:divBdr>
    </w:div>
    <w:div w:id="1864976761">
      <w:bodyDiv w:val="1"/>
      <w:marLeft w:val="0"/>
      <w:marRight w:val="0"/>
      <w:marTop w:val="0"/>
      <w:marBottom w:val="0"/>
      <w:divBdr>
        <w:top w:val="none" w:sz="0" w:space="0" w:color="auto"/>
        <w:left w:val="none" w:sz="0" w:space="0" w:color="auto"/>
        <w:bottom w:val="none" w:sz="0" w:space="0" w:color="auto"/>
        <w:right w:val="none" w:sz="0" w:space="0" w:color="auto"/>
      </w:divBdr>
    </w:div>
    <w:div w:id="1909339803">
      <w:bodyDiv w:val="1"/>
      <w:marLeft w:val="0"/>
      <w:marRight w:val="0"/>
      <w:marTop w:val="0"/>
      <w:marBottom w:val="0"/>
      <w:divBdr>
        <w:top w:val="none" w:sz="0" w:space="0" w:color="auto"/>
        <w:left w:val="none" w:sz="0" w:space="0" w:color="auto"/>
        <w:bottom w:val="none" w:sz="0" w:space="0" w:color="auto"/>
        <w:right w:val="none" w:sz="0" w:space="0" w:color="auto"/>
      </w:divBdr>
    </w:div>
    <w:div w:id="1930650511">
      <w:bodyDiv w:val="1"/>
      <w:marLeft w:val="0"/>
      <w:marRight w:val="0"/>
      <w:marTop w:val="0"/>
      <w:marBottom w:val="0"/>
      <w:divBdr>
        <w:top w:val="none" w:sz="0" w:space="0" w:color="auto"/>
        <w:left w:val="none" w:sz="0" w:space="0" w:color="auto"/>
        <w:bottom w:val="none" w:sz="0" w:space="0" w:color="auto"/>
        <w:right w:val="none" w:sz="0" w:space="0" w:color="auto"/>
      </w:divBdr>
    </w:div>
    <w:div w:id="1986469936">
      <w:bodyDiv w:val="1"/>
      <w:marLeft w:val="0"/>
      <w:marRight w:val="0"/>
      <w:marTop w:val="0"/>
      <w:marBottom w:val="0"/>
      <w:divBdr>
        <w:top w:val="none" w:sz="0" w:space="0" w:color="auto"/>
        <w:left w:val="none" w:sz="0" w:space="0" w:color="auto"/>
        <w:bottom w:val="none" w:sz="0" w:space="0" w:color="auto"/>
        <w:right w:val="none" w:sz="0" w:space="0" w:color="auto"/>
      </w:divBdr>
    </w:div>
    <w:div w:id="2028017532">
      <w:bodyDiv w:val="1"/>
      <w:marLeft w:val="0"/>
      <w:marRight w:val="0"/>
      <w:marTop w:val="0"/>
      <w:marBottom w:val="0"/>
      <w:divBdr>
        <w:top w:val="none" w:sz="0" w:space="0" w:color="auto"/>
        <w:left w:val="none" w:sz="0" w:space="0" w:color="auto"/>
        <w:bottom w:val="none" w:sz="0" w:space="0" w:color="auto"/>
        <w:right w:val="none" w:sz="0" w:space="0" w:color="auto"/>
      </w:divBdr>
    </w:div>
    <w:div w:id="2032950324">
      <w:bodyDiv w:val="1"/>
      <w:marLeft w:val="0"/>
      <w:marRight w:val="0"/>
      <w:marTop w:val="0"/>
      <w:marBottom w:val="0"/>
      <w:divBdr>
        <w:top w:val="none" w:sz="0" w:space="0" w:color="auto"/>
        <w:left w:val="none" w:sz="0" w:space="0" w:color="auto"/>
        <w:bottom w:val="none" w:sz="0" w:space="0" w:color="auto"/>
        <w:right w:val="none" w:sz="0" w:space="0" w:color="auto"/>
      </w:divBdr>
    </w:div>
    <w:div w:id="2045400947">
      <w:bodyDiv w:val="1"/>
      <w:marLeft w:val="0"/>
      <w:marRight w:val="0"/>
      <w:marTop w:val="0"/>
      <w:marBottom w:val="0"/>
      <w:divBdr>
        <w:top w:val="none" w:sz="0" w:space="0" w:color="auto"/>
        <w:left w:val="none" w:sz="0" w:space="0" w:color="auto"/>
        <w:bottom w:val="none" w:sz="0" w:space="0" w:color="auto"/>
        <w:right w:val="none" w:sz="0" w:space="0" w:color="auto"/>
      </w:divBdr>
    </w:div>
    <w:div w:id="2084452046">
      <w:bodyDiv w:val="1"/>
      <w:marLeft w:val="0"/>
      <w:marRight w:val="0"/>
      <w:marTop w:val="0"/>
      <w:marBottom w:val="0"/>
      <w:divBdr>
        <w:top w:val="none" w:sz="0" w:space="0" w:color="auto"/>
        <w:left w:val="none" w:sz="0" w:space="0" w:color="auto"/>
        <w:bottom w:val="none" w:sz="0" w:space="0" w:color="auto"/>
        <w:right w:val="none" w:sz="0" w:space="0" w:color="auto"/>
      </w:divBdr>
    </w:div>
    <w:div w:id="2087872564">
      <w:bodyDiv w:val="1"/>
      <w:marLeft w:val="0"/>
      <w:marRight w:val="0"/>
      <w:marTop w:val="0"/>
      <w:marBottom w:val="0"/>
      <w:divBdr>
        <w:top w:val="none" w:sz="0" w:space="0" w:color="auto"/>
        <w:left w:val="none" w:sz="0" w:space="0" w:color="auto"/>
        <w:bottom w:val="none" w:sz="0" w:space="0" w:color="auto"/>
        <w:right w:val="none" w:sz="0" w:space="0" w:color="auto"/>
      </w:divBdr>
    </w:div>
    <w:div w:id="211832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1297</Words>
  <Characters>6799</Characters>
  <Application>Microsoft Office Word</Application>
  <DocSecurity>0</DocSecurity>
  <Lines>194</Lines>
  <Paragraphs>118</Paragraphs>
  <ScaleCrop>false</ScaleCrop>
  <HeadingPairs>
    <vt:vector size="2" baseType="variant">
      <vt:variant>
        <vt:lpstr>Title</vt:lpstr>
      </vt:variant>
      <vt:variant>
        <vt:i4>1</vt:i4>
      </vt:variant>
    </vt:vector>
  </HeadingPairs>
  <TitlesOfParts>
    <vt:vector size="1" baseType="lpstr">
      <vt:lpstr>General Notes on ORCA Trend Analysis</vt:lpstr>
    </vt:vector>
  </TitlesOfParts>
  <Company>United Launch Alliance</Company>
  <LinksUpToDate>false</LinksUpToDate>
  <CharactersWithSpaces>8004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Notes on ORCA Trend Analysis</dc:title>
  <dc:creator>rbornhij</dc:creator>
  <cp:lastModifiedBy>Peter van der Hoop</cp:lastModifiedBy>
  <cp:revision>4</cp:revision>
  <dcterms:created xsi:type="dcterms:W3CDTF">2016-10-20T16:48:00Z</dcterms:created>
  <dcterms:modified xsi:type="dcterms:W3CDTF">2016-10-20T17:21:00Z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Sensitivity">
    <vt:lpwstr>Unrestricted</vt:lpwstr>
  </property>
  <property fmtid="{D5CDD505-2E9C-101B-9397-08002B2CF9AE}" pid="3" name="SensitivityID">
    <vt:lpwstr>0</vt:lpwstr>
  </property>
  <property fmtid="{D5CDD505-2E9C-101B-9397-08002B2CF9AE}" pid="4" name="ThirdParty">
    <vt:lpwstr/>
  </property>
  <property fmtid="{D5CDD505-2E9C-101B-9397-08002B2CF9AE}" pid="5" name="TitusGUID">
    <vt:lpwstr>b6ac004b-efbc-4a34-a093-74d5e3b23cc2</vt:lpwstr>
  </property>
  <property fmtid="{D5CDD505-2E9C-101B-9397-08002B2CF9AE}" pid="6" name="ULAMicrosoft Office Document Classification">
    <vt:lpwstr>N/A - Not Applicable - Non Sensitive Information</vt:lpwstr>
  </property>
  <property fmtid="{D5CDD505-2E9C-101B-9397-08002B2CF9AE}" pid="7" name="ULAAdditional Controls">
    <vt:lpwstr/>
  </property>
</Properties>
</file>