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val="true"/>
      </w:pPr>
      <w:r>
        <w:rPr>
          <w:rFonts w:ascii="Aptos Display" w:hAnsi="Aptos Display"/>
          <w:b/>
          <w:color w:val="18324A"/>
          <w:sz w:val="62"/>
        </w:rPr>
        <w:t>SignalTree v15</w:t>
      </w:r>
    </w:p>
    <w:p>
      <w:pPr>
        <w:jc w:val="center"/>
        <w:widowControl w:val="true"/>
      </w:pPr>
      <w:r>
        <w:rPr>
          <w:rFonts w:ascii="Aptos Display" w:hAnsi="Aptos Display"/>
          <w:b/>
          <w:color w:val="2F5D7C"/>
          <w:sz w:val="44"/>
        </w:rPr>
        <w:t>An End-to-End Case Study in</w:t>
        <w:br/>
        <w:t>Adversarial Discovery &amp; Solidification</w:t>
      </w:r>
    </w:p>
    <w:p>
      <w:pPr>
        <w:spacing w:before="360"/>
        <w:jc w:val="center"/>
        <w:widowControl w:val="true"/>
      </w:pPr>
      <w:r>
        <w:rPr>
          <w:color w:val="5F6B73"/>
          <w:sz w:val="24"/>
        </w:rPr>
        <w:t>How a state-management architecture was discovered, falsified, narrowed, frozen, consolidated, and migrated through evidence rather than intuition</w:t>
      </w: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CASE-STUDY SCOPE</w:t>
            </w:r>
            <w:r>
              <w:rPr>
                <w:color w:val="222222"/>
                <w:sz w:val="18"/>
              </w:rPr>
              <w:br/>
              <w:t>Companion to the Adversarial Discovery &amp; Solidification Protocol (ADSP). This document is a standalone account of how the methodology emerged and worked in SignalTree v15. It is current through commit 08e38603 (2026-08-25). The migration is intentionally not presented as complete: PERSISTENCE-DECOMPOSE-0 is closed and STORED-RETIRE-0 is the next active retirement phase.</w:t>
            </w:r>
          </w:p>
        </w:tc>
      </w:tr>
    </w:tbl>
    <w:p>
      <w:pPr>
        <w:spacing w:after="0"/>
        <w:widowControl w:val="true"/>
      </w:pPr>
    </w:p>
    <w:p>
      <w:pPr>
        <w:pStyle w:val="SmallNote"/>
        <w:widowControl w:val="true"/>
      </w:pPr>
      <w:r>
        <w:t>Evidence basis: committed experiment records, focused falsification harnesses, type-characterization gates, mutation tests, package/consumer audits, demo migrations, production-consumer audits, and the evolving SignalTree v15 architecture record.</w:t>
      </w:r>
    </w:p>
    <w:p>
      <w:pPr>
        <w:pStyle w:val="SmallNote"/>
        <w:widowControl w:val="true"/>
      </w:pPr>
      <w:r>
        <w:t>This is not a retrospective rewritten to make the path look linear. Corrections, failed hypotheses, invalid assumptions, and intentionally retained non-claims are part of the case study because they are part of the method.</w:t>
      </w:r>
    </w:p>
    <w:p>
      <w:pPr>
        <w:widowControl w:val="true"/>
      </w:pPr>
      <w:r>
        <w:br w:type="page"/>
      </w:r>
    </w:p>
    <w:p>
      <w:pPr>
        <w:pStyle w:val="Heading1"/>
        <w:widowControl w:val="true"/>
      </w:pPr>
      <w:r>
        <w:t>Contents</w:t>
      </w:r>
    </w:p>
    <w:p>
      <w:pPr>
        <w:spacing w:after="40"/>
        <w:widowControl w:val="true"/>
      </w:pPr>
      <w:r>
        <w:rPr>
          <w:b/>
          <w:color w:val="18324A"/>
        </w:rPr>
        <w:t xml:space="preserve">1. </w:t>
      </w:r>
      <w:r>
        <w:t>Why this case study exists</w:t>
      </w:r>
    </w:p>
    <w:p>
      <w:pPr>
        <w:spacing w:after="40"/>
        <w:widowControl w:val="true"/>
      </w:pPr>
      <w:r>
        <w:rPr>
          <w:b/>
          <w:color w:val="18324A"/>
        </w:rPr>
        <w:t xml:space="preserve">2. </w:t>
      </w:r>
      <w:r>
        <w:t>The engineering problem</w:t>
      </w:r>
    </w:p>
    <w:p>
      <w:pPr>
        <w:spacing w:after="40"/>
        <w:widowControl w:val="true"/>
      </w:pPr>
      <w:r>
        <w:rPr>
          <w:b/>
          <w:color w:val="18324A"/>
        </w:rPr>
        <w:t xml:space="preserve">3. </w:t>
      </w:r>
      <w:r>
        <w:t>The evidence model that emerged</w:t>
      </w:r>
    </w:p>
    <w:p>
      <w:pPr>
        <w:spacing w:after="40"/>
        <w:widowControl w:val="true"/>
      </w:pPr>
      <w:r>
        <w:rPr>
          <w:b/>
          <w:color w:val="18324A"/>
        </w:rPr>
        <w:t xml:space="preserve">4. </w:t>
      </w:r>
      <w:r>
        <w:t>The matrix system in practice</w:t>
      </w:r>
    </w:p>
    <w:p>
      <w:pPr>
        <w:spacing w:after="40"/>
        <w:widowControl w:val="true"/>
      </w:pPr>
      <w:r>
        <w:rPr>
          <w:b/>
          <w:color w:val="18324A"/>
        </w:rPr>
        <w:t xml:space="preserve">5. </w:t>
      </w:r>
      <w:r>
        <w:t>Phase I — History, transaction authority, and causal turns</w:t>
      </w:r>
    </w:p>
    <w:p>
      <w:pPr>
        <w:spacing w:after="40"/>
        <w:widowControl w:val="true"/>
      </w:pPr>
      <w:r>
        <w:rPr>
          <w:b/>
          <w:color w:val="18324A"/>
        </w:rPr>
        <w:t xml:space="preserve">6. </w:t>
      </w:r>
      <w:r>
        <w:t>Phase II — Identity, address, ownership, and replay</w:t>
      </w:r>
    </w:p>
    <w:p>
      <w:pPr>
        <w:spacing w:after="40"/>
        <w:widowControl w:val="true"/>
      </w:pPr>
      <w:r>
        <w:rPr>
          <w:b/>
          <w:color w:val="18324A"/>
        </w:rPr>
        <w:t xml:space="preserve">7. </w:t>
      </w:r>
      <w:r>
        <w:t>Phase III — Discovering the Link boundary</w:t>
      </w:r>
    </w:p>
    <w:p>
      <w:pPr>
        <w:spacing w:after="40"/>
        <w:widowControl w:val="true"/>
      </w:pPr>
      <w:r>
        <w:rPr>
          <w:b/>
          <w:color w:val="18324A"/>
        </w:rPr>
        <w:t xml:space="preserve">8. </w:t>
      </w:r>
      <w:r>
        <w:t>Phase IV — Production Link and contract freeze</w:t>
      </w:r>
    </w:p>
    <w:p>
      <w:pPr>
        <w:spacing w:after="40"/>
        <w:widowControl w:val="true"/>
      </w:pPr>
      <w:r>
        <w:rPr>
          <w:b/>
          <w:color w:val="18324A"/>
        </w:rPr>
        <w:t xml:space="preserve">9. </w:t>
      </w:r>
      <w:r>
        <w:t>Phase V — The public error surface</w:t>
      </w:r>
    </w:p>
    <w:p>
      <w:pPr>
        <w:spacing w:after="40"/>
        <w:widowControl w:val="true"/>
      </w:pPr>
      <w:r>
        <w:rPr>
          <w:b/>
          <w:color w:val="18324A"/>
        </w:rPr>
        <w:t xml:space="preserve">10. </w:t>
      </w:r>
      <w:r>
        <w:t>Phase VI — Full-state comparison semantics</w:t>
      </w:r>
    </w:p>
    <w:p>
      <w:pPr>
        <w:spacing w:after="40"/>
        <w:widowControl w:val="true"/>
      </w:pPr>
      <w:r>
        <w:rPr>
          <w:b/>
          <w:color w:val="18324A"/>
        </w:rPr>
        <w:t xml:space="preserve">11. </w:t>
      </w:r>
      <w:r>
        <w:t>Phase VII — Consolidation and archaeological test removal</w:t>
      </w:r>
    </w:p>
    <w:p>
      <w:pPr>
        <w:spacing w:after="40"/>
        <w:widowControl w:val="true"/>
      </w:pPr>
      <w:r>
        <w:rPr>
          <w:b/>
          <w:color w:val="18324A"/>
        </w:rPr>
        <w:t xml:space="preserve">12. </w:t>
      </w:r>
      <w:r>
        <w:t>Phase VIII — Migration-map correction and package reachability</w:t>
      </w:r>
    </w:p>
    <w:p>
      <w:pPr>
        <w:spacing w:after="40"/>
        <w:widowControl w:val="true"/>
      </w:pPr>
      <w:r>
        <w:rPr>
          <w:b/>
          <w:color w:val="18324A"/>
        </w:rPr>
        <w:t xml:space="preserve">13. </w:t>
      </w:r>
      <w:r>
        <w:t>Phase IX — asyncQuery: deletion earned, lesson preserved</w:t>
      </w:r>
    </w:p>
    <w:p>
      <w:pPr>
        <w:spacing w:after="40"/>
        <w:widowControl w:val="true"/>
      </w:pPr>
      <w:r>
        <w:rPr>
          <w:b/>
          <w:color w:val="18324A"/>
        </w:rPr>
        <w:t xml:space="preserve">14. </w:t>
      </w:r>
      <w:r>
        <w:t>Phase X — loader: the deletion template is falsified</w:t>
      </w:r>
    </w:p>
    <w:p>
      <w:pPr>
        <w:spacing w:after="40"/>
        <w:widowControl w:val="true"/>
      </w:pPr>
      <w:r>
        <w:rPr>
          <w:b/>
          <w:color w:val="18324A"/>
        </w:rPr>
        <w:t xml:space="preserve">15. </w:t>
      </w:r>
      <w:r>
        <w:t>Phase XI — asyncSource: retirement with semantic corrections</w:t>
      </w:r>
    </w:p>
    <w:p>
      <w:pPr>
        <w:spacing w:after="40"/>
        <w:widowControl w:val="true"/>
      </w:pPr>
      <w:r>
        <w:rPr>
          <w:b/>
          <w:color w:val="18324A"/>
        </w:rPr>
        <w:t xml:space="preserve">16. </w:t>
      </w:r>
      <w:r>
        <w:t>Phase XII — Persistence decomposition under a frozen Link API</w:t>
      </w:r>
    </w:p>
    <w:p>
      <w:pPr>
        <w:spacing w:after="40"/>
        <w:widowControl w:val="true"/>
      </w:pPr>
      <w:r>
        <w:rPr>
          <w:b/>
          <w:color w:val="18324A"/>
        </w:rPr>
        <w:t xml:space="preserve">17. </w:t>
      </w:r>
      <w:r>
        <w:t>The correction ledger</w:t>
      </w:r>
    </w:p>
    <w:p>
      <w:pPr>
        <w:spacing w:after="40"/>
        <w:widowControl w:val="true"/>
      </w:pPr>
      <w:r>
        <w:rPr>
          <w:b/>
          <w:color w:val="18324A"/>
        </w:rPr>
        <w:t xml:space="preserve">18. </w:t>
      </w:r>
      <w:r>
        <w:t>The freeze ledger</w:t>
      </w:r>
    </w:p>
    <w:p>
      <w:pPr>
        <w:spacing w:after="40"/>
        <w:widowControl w:val="true"/>
      </w:pPr>
      <w:r>
        <w:rPr>
          <w:b/>
          <w:color w:val="18324A"/>
        </w:rPr>
        <w:t xml:space="preserve">19. </w:t>
      </w:r>
      <w:r>
        <w:t>What the matrices actually changed</w:t>
      </w:r>
    </w:p>
    <w:p>
      <w:pPr>
        <w:spacing w:after="40"/>
        <w:widowControl w:val="true"/>
      </w:pPr>
      <w:r>
        <w:rPr>
          <w:b/>
          <w:color w:val="18324A"/>
        </w:rPr>
        <w:t xml:space="preserve">20. </w:t>
      </w:r>
      <w:r>
        <w:t>How discovery became solidification</w:t>
      </w:r>
    </w:p>
    <w:p>
      <w:pPr>
        <w:spacing w:after="40"/>
        <w:widowControl w:val="true"/>
      </w:pPr>
      <w:r>
        <w:rPr>
          <w:b/>
          <w:color w:val="18324A"/>
        </w:rPr>
        <w:t xml:space="preserve">21. </w:t>
      </w:r>
      <w:r>
        <w:t>What is still open</w:t>
      </w:r>
    </w:p>
    <w:p>
      <w:pPr>
        <w:spacing w:after="40"/>
        <w:widowControl w:val="true"/>
      </w:pPr>
      <w:r>
        <w:rPr>
          <w:b/>
          <w:color w:val="18324A"/>
        </w:rPr>
        <w:t xml:space="preserve">22. </w:t>
      </w:r>
      <w:r>
        <w:t>Reusable lessons from the SignalTree program</w:t>
      </w:r>
    </w:p>
    <w:p>
      <w:pPr>
        <w:spacing w:after="40"/>
        <w:widowControl w:val="true"/>
      </w:pPr>
      <w:r>
        <w:rPr>
          <w:b/>
          <w:color w:val="18324A"/>
        </w:rPr>
        <w:t xml:space="preserve">Appendix A — </w:t>
      </w:r>
      <w:r>
        <w:t>Experiment and commit ledger</w:t>
      </w:r>
    </w:p>
    <w:p>
      <w:pPr>
        <w:spacing w:after="40"/>
        <w:widowControl w:val="true"/>
      </w:pPr>
      <w:r>
        <w:rPr>
          <w:b/>
          <w:color w:val="18324A"/>
        </w:rPr>
        <w:t xml:space="preserve">Appendix B — </w:t>
      </w:r>
      <w:r>
        <w:t>SignalTree-specific matrices</w:t>
      </w:r>
    </w:p>
    <w:p>
      <w:pPr>
        <w:spacing w:after="40"/>
        <w:widowControl w:val="true"/>
      </w:pPr>
      <w:r>
        <w:rPr>
          <w:b/>
          <w:color w:val="18324A"/>
        </w:rPr>
        <w:t xml:space="preserve">Appendix C — </w:t>
      </w:r>
      <w:r>
        <w:t>A compact reuse checklist</w:t>
      </w:r>
    </w:p>
    <w:p>
      <w:pPr>
        <w:widowControl w:val="true"/>
      </w:pPr>
      <w:r>
        <w:br w:type="page"/>
      </w:r>
    </w:p>
    <w:p>
      <w:pPr>
        <w:pStyle w:val="Heading1"/>
        <w:widowControl w:val="true"/>
      </w:pPr>
      <w:r>
        <w:t>1. Why this case study exists</w:t>
      </w:r>
    </w:p>
    <w:p>
      <w:pPr>
        <w:widowControl w:val="true"/>
      </w:pPr>
      <w:r>
        <w:t>The SignalTree v15 program became more than a library hardening effort. It became a laboratory for a repeatable way to discover architecture under uncertainty and then make that architecture difficult to accidentally reopen.</w:t>
      </w:r>
    </w:p>
    <w:p>
      <w:pPr>
        <w:widowControl w:val="true"/>
      </w:pPr>
      <w:r>
        <w:t>The important outcome was not that every initial hypothesis was correct. The opposite happened repeatedly. The important outcome was that the process made incorrect hypotheses cheap to expose, made corrections durable, and made later work obey decisions that had actually earned closure.</w:t>
      </w:r>
    </w:p>
    <w:p>
      <w:pPr>
        <w:widowControl w:val="true"/>
      </w:pPr>
      <w:r>
        <w:t>The resulting discipline became the Adversarial Discovery &amp; Solidification Protocol (ADSP). The companion ADSP document describes the generic system. This case study shows what that system looked like under real pressure: incomplete APIs, hidden coupling, stale tests, async races, transaction rollback, weak identity, package reachability, persistence, release gates, and a production consumer that could falsify laboratory assumptions.</w:t>
      </w:r>
    </w:p>
    <w:tbl>
      <w:tblPr>
        <w:tblW w:type="auto" w:w="0"/>
        <w:jc w:val="center"/>
        <w:tblLayout w:type="autofit"/>
        <w:tblLook w:firstColumn="1" w:firstRow="1" w:lastColumn="0" w:lastRow="0" w:noHBand="0" w:noVBand="1" w:val="04A0"/>
      </w:tblPr>
      <w:tblGrid>
        <w:gridCol w:w="9994"/>
      </w:tblGrid>
      <w:tr>
        <w:tc>
          <w:tcPr>
            <w:tcW w:type="dxa" w:w="9994"/>
            <w:shd w:fill="EEF7F1"/>
            <w:tcBorders>
              <w:top w:val="single" w:sz="8" w:color="C9D2D9"/>
              <w:left w:val="single" w:sz="8" w:color="C9D2D9"/>
              <w:bottom w:val="single" w:sz="8" w:color="C9D2D9"/>
              <w:right w:val="single" w:sz="8" w:color="C9D2D9"/>
            </w:tcBorders>
            <w:vAlign w:val="center"/>
          </w:tcPr>
          <w:p>
            <w:r>
              <w:rPr>
                <w:b/>
                <w:color w:val="2D6A4F"/>
                <w:sz w:val="19"/>
              </w:rPr>
              <w:t>GOVERNING PRINCIPLE</w:t>
            </w:r>
            <w:r>
              <w:rPr>
                <w:color w:val="222222"/>
                <w:sz w:val="18"/>
              </w:rPr>
              <w:br/>
              <w:t>Falsify aggressively before closure. Freeze aggressively after closure.</w:t>
            </w:r>
          </w:p>
        </w:tc>
      </w:tr>
    </w:tbl>
    <w:p>
      <w:pPr>
        <w:spacing w:after="0"/>
        <w:widowControl w:val="true"/>
      </w:pPr>
    </w:p>
    <w:p>
      <w:pPr>
        <w:widowControl w:val="true"/>
      </w:pPr>
      <w:r>
        <w:t>The case study intentionally preserves moments where the engineering record changed its mind. A methodology that only records successful predictions teaches confidence. A methodology that records why it was wrong teaches calibration.</w:t>
      </w:r>
    </w:p>
    <w:p>
      <w:pPr>
        <w:pStyle w:val="Heading1"/>
        <w:widowControl w:val="true"/>
      </w:pPr>
      <w:r>
        <w:t>2. The engineering problem</w:t>
      </w:r>
    </w:p>
    <w:p>
      <w:pPr>
        <w:widowControl w:val="true"/>
      </w:pPr>
      <w:r>
        <w:t>SignalTree was approaching a v15 architecture that needed to be smaller, more coherent, and safer under transactions, history, external synchronization, persistence, replay, and migration. The challenge was not merely to refactor code. It was to decide which concepts genuinely belonged to the state engine, which belonged to applications or adapters, which were compatibility residue, and which APIs had enough independent need to become public.</w:t>
      </w:r>
    </w:p>
    <w:p>
      <w:pPr>
        <w:widowControl w:val="true"/>
      </w:pPr>
      <w:r>
        <w:t>A conventional cleanup plan would have been dangerous because several old concepts looked redundant while still carrying behavior. Conversely, some sophisticated abstractions looked important while their strongest behavior was already owned by RxJS, Angular, JavaScript, or application policy.</w:t>
      </w:r>
    </w:p>
    <w:p>
      <w:pPr>
        <w:pStyle w:val="CodeBlock"/>
      </w:pPr>
      <w:r>
        <w:t>The recurring architectural question became:</w:t>
        <w:br/>
        <w:br/>
        <w:t xml:space="preserve">    If this historical primitive had never existed,</w:t>
        <w:br/>
        <w:t xml:space="preserve">    what is the smallest architecture we would invent today</w:t>
        <w:br/>
        <w:t xml:space="preserve">    to preserve the behavior that actually matters?</w:t>
      </w:r>
    </w:p>
    <w:p>
      <w:pPr>
        <w:widowControl w:val="true"/>
      </w:pPr>
      <w:r>
        <w:t>That question was paired with a second one: what experiment could prove the preferred answer wrong? Together, those questions shifted the work from redesign-by-opinion to architecture-by-discriminator.</w:t>
      </w:r>
    </w:p>
    <w:p>
      <w:pPr>
        <w:pStyle w:val="Heading1"/>
        <w:widowControl w:val="true"/>
      </w:pPr>
      <w:r>
        <w:t>3. The evidence model that emerged</w:t>
      </w:r>
    </w:p>
    <w:p>
      <w:pPr>
        <w:widowControl w:val="true"/>
      </w:pPr>
      <w:r>
        <w:t>By the middle of the program, experiments followed a recognizable lifecycle. Each stage had a different purpose and a different standard of evidence.</w:t>
      </w:r>
    </w:p>
    <w:p>
      <w:pPr>
        <w:pStyle w:val="CodeBlock"/>
      </w:pPr>
      <w:r>
        <w:t>Inventory</w:t>
        <w:br/>
        <w:t xml:space="preserve">   ↓</w:t>
        <w:br/>
        <w:t>Frame the ownership question</w:t>
        <w:br/>
        <w:t xml:space="preserve">   ↓</w:t>
        <w:br/>
        <w:t>Preregister outcomes + falsifiers</w:t>
        <w:br/>
        <w:t xml:space="preserve">   ↓</w:t>
        <w:br/>
        <w:t>Characterize the current behavior</w:t>
        <w:br/>
        <w:t xml:space="preserve">   ↓</w:t>
        <w:br/>
        <w:t>Build the strongest load-bearing discriminator</w:t>
        <w:br/>
        <w:t xml:space="preserve">   ↓</w:t>
        <w:br/>
        <w:t>Gate the gate / validate the harness</w:t>
        <w:br/>
        <w:t xml:space="preserve">   ↓</w:t>
        <w:br/>
        <w:t>Interpret without rationalizing</w:t>
        <w:br/>
        <w:t xml:space="preserve">   ↓</w:t>
        <w:br/>
        <w:t>Assign the smallest truthful owner</w:t>
        <w:br/>
        <w:t xml:space="preserve">   ↓</w:t>
        <w:br/>
        <w:t>Close, split, or stop</w:t>
        <w:br/>
        <w:t xml:space="preserve">   ↓</w:t>
        <w:br/>
        <w:t>Freeze the earned contract</w:t>
        <w:br/>
        <w:t xml:space="preserve">   ↓</w:t>
        <w:br/>
        <w:t>Consolidate evidence</w:t>
        <w:br/>
        <w:t xml:space="preserve">   ↓</w:t>
        <w:br/>
        <w:t>Migrate callers and documentation</w:t>
        <w:br/>
        <w:t xml:space="preserve">   ↓</w:t>
        <w:br/>
        <w:t>Consumer proof + release proof</w:t>
      </w:r>
    </w:p>
    <w:p>
      <w:pPr>
        <w:widowControl w:val="true"/>
      </w:pPr>
      <w:r>
        <w:t>The evidence hierarchy became equally important. Source inspection could establish reachability or call-graph facts. Focused tests established observable semantics. Type tests established admission constraints. Mutation tests established whether a gate actually protected production. Consumer builds established public usability. Clean release gates established packaging and integration. No one layer was treated as a universal authority.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8324A"/>
            <w:vAlign w:val="center"/>
          </w:tcPr>
          <w:p>
            <w:r>
              <w:rPr>
                <w:b/>
                <w:color w:val="FFFFFF"/>
                <w:sz w:val="16"/>
              </w:rPr>
              <w:t>Evidence layer</w:t>
            </w:r>
          </w:p>
        </w:tc>
        <w:tc>
          <w:tcPr>
            <w:tcW w:type="dxa" w:w="3168"/>
            <w:shd w:fill="18324A"/>
            <w:vAlign w:val="center"/>
          </w:tcPr>
          <w:p>
            <w:r>
              <w:rPr>
                <w:b/>
                <w:color w:val="FFFFFF"/>
                <w:sz w:val="16"/>
              </w:rPr>
              <w:t>Question it answers</w:t>
            </w:r>
          </w:p>
        </w:tc>
        <w:tc>
          <w:tcPr>
            <w:tcW w:type="dxa" w:w="3888"/>
            <w:shd w:fill="18324A"/>
            <w:vAlign w:val="center"/>
          </w:tcPr>
          <w:p>
            <w:r>
              <w:rPr>
                <w:b/>
                <w:color w:val="FFFFFF"/>
                <w:sz w:val="16"/>
              </w:rPr>
              <w:t>SignalTree use</w:t>
            </w:r>
          </w:p>
        </w:tc>
      </w:tr>
      <w:tr>
        <w:trPr>
          <w:cantSplit w:val="true"/>
        </w:trPr>
        <w:tc>
          <w:tcPr>
            <w:tcW w:type="dxa" w:w="2088"/>
            <w:shd w:fill="F5F7F9"/>
            <w:vAlign w:val="top"/>
          </w:tcPr>
          <w:p>
            <w:pPr>
              <w:spacing w:after="0"/>
            </w:pPr>
            <w:r>
              <w:rPr>
                <w:sz w:val="16"/>
              </w:rPr>
              <w:t>Source / call graph</w:t>
            </w:r>
          </w:p>
        </w:tc>
        <w:tc>
          <w:tcPr>
            <w:tcW w:type="dxa" w:w="3168"/>
            <w:vAlign w:val="top"/>
          </w:tcPr>
          <w:p>
            <w:pPr>
              <w:spacing w:after="0"/>
            </w:pPr>
            <w:r>
              <w:rPr>
                <w:sz w:val="16"/>
              </w:rPr>
              <w:t>Who can call this? What code path exists?</w:t>
            </w:r>
          </w:p>
        </w:tc>
        <w:tc>
          <w:tcPr>
            <w:tcW w:type="dxa" w:w="3888"/>
            <w:vAlign w:val="top"/>
          </w:tcPr>
          <w:p>
            <w:pPr>
              <w:spacing w:after="0"/>
            </w:pPr>
            <w:r>
              <w:rPr>
                <w:sz w:val="16"/>
              </w:rPr>
              <w:t>Reachability, ownership hooks, structural impossibility</w:t>
            </w:r>
          </w:p>
        </w:tc>
      </w:tr>
      <w:tr>
        <w:trPr>
          <w:cantSplit w:val="true"/>
        </w:trPr>
        <w:tc>
          <w:tcPr>
            <w:tcW w:type="dxa" w:w="2088"/>
            <w:shd w:fill="F5F7F9"/>
            <w:vAlign w:val="top"/>
          </w:tcPr>
          <w:p>
            <w:pPr>
              <w:spacing w:after="0"/>
            </w:pPr>
            <w:r>
              <w:rPr>
                <w:sz w:val="16"/>
              </w:rPr>
              <w:t>Focused behavioral test</w:t>
            </w:r>
          </w:p>
        </w:tc>
        <w:tc>
          <w:tcPr>
            <w:tcW w:type="dxa" w:w="3168"/>
            <w:vAlign w:val="top"/>
          </w:tcPr>
          <w:p>
            <w:pPr>
              <w:spacing w:after="0"/>
            </w:pPr>
            <w:r>
              <w:rPr>
                <w:sz w:val="16"/>
              </w:rPr>
              <w:t>What actually happens?</w:t>
            </w:r>
          </w:p>
        </w:tc>
        <w:tc>
          <w:tcPr>
            <w:tcW w:type="dxa" w:w="3888"/>
            <w:vAlign w:val="top"/>
          </w:tcPr>
          <w:p>
            <w:pPr>
              <w:spacing w:after="0"/>
            </w:pPr>
            <w:r>
              <w:rPr>
                <w:sz w:val="16"/>
              </w:rPr>
              <w:t>Race ordering, rollback, settlement, error recovery</w:t>
            </w:r>
          </w:p>
        </w:tc>
      </w:tr>
      <w:tr>
        <w:trPr>
          <w:cantSplit w:val="true"/>
        </w:trPr>
        <w:tc>
          <w:tcPr>
            <w:tcW w:type="dxa" w:w="2088"/>
            <w:shd w:fill="F5F7F9"/>
            <w:vAlign w:val="top"/>
          </w:tcPr>
          <w:p>
            <w:pPr>
              <w:spacing w:after="0"/>
            </w:pPr>
            <w:r>
              <w:rPr>
                <w:sz w:val="16"/>
              </w:rPr>
              <w:t>Type characterization</w:t>
            </w:r>
          </w:p>
        </w:tc>
        <w:tc>
          <w:tcPr>
            <w:tcW w:type="dxa" w:w="3168"/>
            <w:vAlign w:val="top"/>
          </w:tcPr>
          <w:p>
            <w:pPr>
              <w:spacing w:after="0"/>
            </w:pPr>
            <w:r>
              <w:rPr>
                <w:sz w:val="16"/>
              </w:rPr>
              <w:t>What programs can be expressed?</w:t>
            </w:r>
          </w:p>
        </w:tc>
        <w:tc>
          <w:tcPr>
            <w:tcW w:type="dxa" w:w="3888"/>
            <w:vAlign w:val="top"/>
          </w:tcPr>
          <w:p>
            <w:pPr>
              <w:spacing w:after="0"/>
            </w:pPr>
            <w:r>
              <w:rPr>
                <w:sz w:val="16"/>
              </w:rPr>
              <w:t>Public shape, inference, forbidden Partial/patch forms</w:t>
            </w:r>
          </w:p>
        </w:tc>
      </w:tr>
      <w:tr>
        <w:trPr>
          <w:cantSplit w:val="true"/>
        </w:trPr>
        <w:tc>
          <w:tcPr>
            <w:tcW w:type="dxa" w:w="2088"/>
            <w:shd w:fill="F5F7F9"/>
            <w:vAlign w:val="top"/>
          </w:tcPr>
          <w:p>
            <w:pPr>
              <w:spacing w:after="0"/>
            </w:pPr>
            <w:r>
              <w:rPr>
                <w:sz w:val="16"/>
              </w:rPr>
              <w:t>Mutation / kill test</w:t>
            </w:r>
          </w:p>
        </w:tc>
        <w:tc>
          <w:tcPr>
            <w:tcW w:type="dxa" w:w="3168"/>
            <w:vAlign w:val="top"/>
          </w:tcPr>
          <w:p>
            <w:pPr>
              <w:spacing w:after="0"/>
            </w:pPr>
            <w:r>
              <w:rPr>
                <w:sz w:val="16"/>
              </w:rPr>
              <w:t>Would this gate catch the defect?</w:t>
            </w:r>
          </w:p>
        </w:tc>
        <w:tc>
          <w:tcPr>
            <w:tcW w:type="dxa" w:w="3888"/>
            <w:vAlign w:val="top"/>
          </w:tcPr>
          <w:p>
            <w:pPr>
              <w:spacing w:after="0"/>
            </w:pPr>
            <w:r>
              <w:rPr>
                <w:sz w:val="16"/>
              </w:rPr>
              <w:t>Test authority; archaeological test detection</w:t>
            </w:r>
          </w:p>
        </w:tc>
      </w:tr>
      <w:tr>
        <w:trPr>
          <w:cantSplit w:val="true"/>
        </w:trPr>
        <w:tc>
          <w:tcPr>
            <w:tcW w:type="dxa" w:w="2088"/>
            <w:shd w:fill="F5F7F9"/>
            <w:vAlign w:val="top"/>
          </w:tcPr>
          <w:p>
            <w:pPr>
              <w:spacing w:after="0"/>
            </w:pPr>
            <w:r>
              <w:rPr>
                <w:sz w:val="16"/>
              </w:rPr>
              <w:t>Demo / sample consumer</w:t>
            </w:r>
          </w:p>
        </w:tc>
        <w:tc>
          <w:tcPr>
            <w:tcW w:type="dxa" w:w="3168"/>
            <w:vAlign w:val="top"/>
          </w:tcPr>
          <w:p>
            <w:pPr>
              <w:spacing w:after="0"/>
            </w:pPr>
            <w:r>
              <w:rPr>
                <w:sz w:val="16"/>
              </w:rPr>
              <w:t>Can a normal user express the final architecture?</w:t>
            </w:r>
          </w:p>
        </w:tc>
        <w:tc>
          <w:tcPr>
            <w:tcW w:type="dxa" w:w="3888"/>
            <w:vAlign w:val="top"/>
          </w:tcPr>
          <w:p>
            <w:pPr>
              <w:spacing w:after="0"/>
            </w:pPr>
            <w:r>
              <w:rPr>
                <w:sz w:val="16"/>
              </w:rPr>
              <w:t>Ergonomics and public usability</w:t>
            </w:r>
          </w:p>
        </w:tc>
      </w:tr>
      <w:tr>
        <w:trPr>
          <w:cantSplit w:val="true"/>
        </w:trPr>
        <w:tc>
          <w:tcPr>
            <w:tcW w:type="dxa" w:w="2088"/>
            <w:shd w:fill="F5F7F9"/>
            <w:vAlign w:val="top"/>
          </w:tcPr>
          <w:p>
            <w:pPr>
              <w:spacing w:after="0"/>
            </w:pPr>
            <w:r>
              <w:rPr>
                <w:sz w:val="16"/>
              </w:rPr>
              <w:t>Production consumer</w:t>
            </w:r>
          </w:p>
        </w:tc>
        <w:tc>
          <w:tcPr>
            <w:tcW w:type="dxa" w:w="3168"/>
            <w:vAlign w:val="top"/>
          </w:tcPr>
          <w:p>
            <w:pPr>
              <w:spacing w:after="0"/>
            </w:pPr>
            <w:r>
              <w:rPr>
                <w:sz w:val="16"/>
              </w:rPr>
              <w:t>Does the architecture survive a real application?</w:t>
            </w:r>
          </w:p>
        </w:tc>
        <w:tc>
          <w:tcPr>
            <w:tcW w:type="dxa" w:w="3888"/>
            <w:vAlign w:val="top"/>
          </w:tcPr>
          <w:p>
            <w:pPr>
              <w:spacing w:after="0"/>
            </w:pPr>
            <w:r>
              <w:rPr>
                <w:sz w:val="16"/>
              </w:rPr>
              <w:t>Integration, lifecycle, migration pressure</w:t>
            </w:r>
          </w:p>
        </w:tc>
      </w:tr>
      <w:tr>
        <w:trPr>
          <w:cantSplit w:val="true"/>
        </w:trPr>
        <w:tc>
          <w:tcPr>
            <w:tcW w:type="dxa" w:w="2088"/>
            <w:shd w:fill="F5F7F9"/>
            <w:vAlign w:val="top"/>
          </w:tcPr>
          <w:p>
            <w:pPr>
              <w:spacing w:after="0"/>
            </w:pPr>
            <w:r>
              <w:rPr>
                <w:sz w:val="16"/>
              </w:rPr>
              <w:t>Clean release gate</w:t>
            </w:r>
          </w:p>
        </w:tc>
        <w:tc>
          <w:tcPr>
            <w:tcW w:type="dxa" w:w="3168"/>
            <w:vAlign w:val="top"/>
          </w:tcPr>
          <w:p>
            <w:pPr>
              <w:spacing w:after="0"/>
            </w:pPr>
            <w:r>
              <w:rPr>
                <w:sz w:val="16"/>
              </w:rPr>
              <w:t>Does the published artifact match the claim?</w:t>
            </w:r>
          </w:p>
        </w:tc>
        <w:tc>
          <w:tcPr>
            <w:tcW w:type="dxa" w:w="3888"/>
            <w:vAlign w:val="top"/>
          </w:tcPr>
          <w:p>
            <w:pPr>
              <w:spacing w:after="0"/>
            </w:pPr>
            <w:r>
              <w:rPr>
                <w:sz w:val="16"/>
              </w:rPr>
              <w:t>Packaging, exported surface, consumer compilation</w:t>
            </w:r>
          </w:p>
        </w:tc>
      </w:tr>
    </w:tbl>
    <w:p>
      <w:pPr>
        <w:spacing w:after="20"/>
        <w:widowControl w:val="true"/>
      </w:pP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RULE THAT CHANGED THE PROJECT</w:t>
            </w:r>
            <w:r>
              <w:rPr>
                <w:color w:val="222222"/>
                <w:sz w:val="18"/>
              </w:rPr>
              <w:br/>
              <w:t>A green suite is evidence about the suite, not automatically evidence about the architecture. The gate itself must be falsified.</w:t>
            </w:r>
          </w:p>
        </w:tc>
      </w:tr>
    </w:tbl>
    <w:p>
      <w:pPr>
        <w:spacing w:after="0"/>
        <w:widowControl w:val="true"/>
      </w:pPr>
    </w:p>
    <w:p>
      <w:pPr>
        <w:pStyle w:val="Heading1"/>
        <w:widowControl w:val="true"/>
      </w:pPr>
      <w:r>
        <w:t>4. The matrix system in practice</w:t>
      </w:r>
    </w:p>
    <w:p>
      <w:pPr>
        <w:widowControl w:val="true"/>
      </w:pPr>
      <w:r>
        <w:t>Matrices were not documentation after the fact. They were active experimental instruments. A matrix forced ambiguous prose into explicit dimensions, exposed missing categories, and made it obvious when a proposed conclusion outran the measurements.</w:t>
      </w:r>
    </w:p>
    <w:p>
      <w:pPr>
        <w:widowControl w:val="true"/>
      </w:pPr>
      <w:r>
        <w:t>Several matrix types repeatedly changed decisions:</w:t>
      </w:r>
    </w:p>
    <w:p>
      <w:pPr>
        <w:pStyle w:val="ListBullet"/>
        <w:spacing w:after="50"/>
        <w:widowControl w:val="true"/>
      </w:pPr>
      <w:r>
        <w:t>Public reachability × consumer classification</w:t>
      </w:r>
    </w:p>
    <w:p>
      <w:pPr>
        <w:pStyle w:val="ListBullet"/>
        <w:spacing w:after="50"/>
        <w:widowControl w:val="true"/>
      </w:pPr>
      <w:r>
        <w:t>Behavior × mechanism × final owner</w:t>
      </w:r>
    </w:p>
    <w:p>
      <w:pPr>
        <w:pStyle w:val="ListBullet"/>
        <w:spacing w:after="50"/>
        <w:widowControl w:val="true"/>
      </w:pPr>
      <w:r>
        <w:t>Candidate outcome × falsifier × observed result</w:t>
      </w:r>
    </w:p>
    <w:p>
      <w:pPr>
        <w:pStyle w:val="ListBullet"/>
        <w:spacing w:after="50"/>
        <w:widowControl w:val="true"/>
      </w:pPr>
      <w:r>
        <w:t>Identity role × namespace × lifetime × addressability</w:t>
      </w:r>
    </w:p>
    <w:p>
      <w:pPr>
        <w:pStyle w:val="ListBullet"/>
        <w:spacing w:after="50"/>
        <w:widowControl w:val="true"/>
      </w:pPr>
      <w:r>
        <w:t>Operation × race ordering × settlement semantics</w:t>
      </w:r>
    </w:p>
    <w:p>
      <w:pPr>
        <w:pStyle w:val="ListBullet"/>
        <w:spacing w:after="50"/>
        <w:widowControl w:val="true"/>
      </w:pPr>
      <w:r>
        <w:t>Persistence concern × stored × loader.persist × final owner</w:t>
      </w:r>
    </w:p>
    <w:p>
      <w:pPr>
        <w:pStyle w:val="ListBullet"/>
        <w:spacing w:after="50"/>
        <w:widowControl w:val="true"/>
      </w:pPr>
      <w:r>
        <w:t>Public claim × positive proof × negative proof × non-claim</w:t>
      </w:r>
    </w:p>
    <w:p>
      <w:pPr>
        <w:pStyle w:val="ListBullet"/>
        <w:spacing w:after="50"/>
        <w:widowControl w:val="true"/>
      </w:pPr>
      <w:r>
        <w:t>Experimental test × production mutation kill set × survivor test</w:t>
      </w:r>
    </w:p>
    <w:p>
      <w:pPr>
        <w:sectPr>
          <w:headerReference w:type="default" r:id="rId9"/>
          <w:footerReference w:type="default" r:id="rId10"/>
          <w:pgSz w:w="12240" w:h="15840"/>
          <w:pgMar w:top="1037" w:right="1123" w:bottom="1037" w:left="1123" w:header="403" w:footer="403" w:gutter="0"/>
          <w:cols w:space="720"/>
          <w:docGrid w:linePitch="360"/>
        </w:sectPr>
        <w:widowControl w:val="true"/>
      </w:pPr>
    </w:p>
    <w:p>
      <w:pPr>
        <w:pStyle w:val="Heading2"/>
        <w:widowControl w:val="true"/>
      </w:pPr>
      <w:r>
        <w:t>4.1 Ownership matrix — the cases that forced different outcomes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656"/>
            <w:shd w:fill="18324A"/>
            <w:vAlign w:val="center"/>
          </w:tcPr>
          <w:p>
            <w:r>
              <w:rPr>
                <w:b/>
                <w:color w:val="FFFFFF"/>
                <w:sz w:val="15"/>
              </w:rPr>
              <w:t>Candidate</w:t>
            </w:r>
          </w:p>
        </w:tc>
        <w:tc>
          <w:tcPr>
            <w:tcW w:type="dxa" w:w="3240"/>
            <w:shd w:fill="18324A"/>
            <w:vAlign w:val="center"/>
          </w:tcPr>
          <w:p>
            <w:r>
              <w:rPr>
                <w:b/>
                <w:color w:val="FFFFFF"/>
                <w:sz w:val="15"/>
              </w:rPr>
              <w:t>What looked valuable</w:t>
            </w:r>
          </w:p>
        </w:tc>
        <w:tc>
          <w:tcPr>
            <w:tcW w:type="dxa" w:w="4824"/>
            <w:shd w:fill="18324A"/>
            <w:vAlign w:val="center"/>
          </w:tcPr>
          <w:p>
            <w:r>
              <w:rPr>
                <w:b/>
                <w:color w:val="FFFFFF"/>
                <w:sz w:val="15"/>
              </w:rPr>
              <w:t>What the evidence said</w:t>
            </w:r>
          </w:p>
        </w:tc>
        <w:tc>
          <w:tcPr>
            <w:tcW w:type="dxa" w:w="3096"/>
            <w:shd w:fill="18324A"/>
            <w:vAlign w:val="center"/>
          </w:tcPr>
          <w:p>
            <w:r>
              <w:rPr>
                <w:b/>
                <w:color w:val="FFFFFF"/>
                <w:sz w:val="15"/>
              </w:rPr>
              <w:t>Final owner</w:t>
            </w:r>
          </w:p>
        </w:tc>
        <w:tc>
          <w:tcPr>
            <w:tcW w:type="dxa" w:w="1800"/>
            <w:shd w:fill="18324A"/>
            <w:vAlign w:val="center"/>
          </w:tcPr>
          <w:p>
            <w:r>
              <w:rPr>
                <w:b/>
                <w:color w:val="FFFFFF"/>
                <w:sz w:val="15"/>
              </w:rPr>
              <w:t>Disposition</w:t>
            </w:r>
          </w:p>
        </w:tc>
      </w:tr>
      <w:tr>
        <w:trPr>
          <w:cantSplit w:val="true"/>
        </w:trPr>
        <w:tc>
          <w:tcPr>
            <w:tcW w:type="dxa" w:w="1656"/>
            <w:shd w:fill="F5F7F9"/>
            <w:vAlign w:val="top"/>
          </w:tcPr>
          <w:p>
            <w:pPr>
              <w:spacing w:after="0"/>
            </w:pPr>
            <w:r>
              <w:rPr>
                <w:sz w:val="15"/>
              </w:rPr>
              <w:t>asyncQuery</w:t>
            </w:r>
          </w:p>
        </w:tc>
        <w:tc>
          <w:tcPr>
            <w:tcW w:type="dxa" w:w="3240"/>
            <w:vAlign w:val="top"/>
          </w:tcPr>
          <w:p>
            <w:pPr>
              <w:spacing w:after="0"/>
            </w:pPr>
            <w:r>
              <w:rPr>
                <w:sz w:val="15"/>
              </w:rPr>
              <w:t>Debounce, dedup, cancellation, latest-wins</w:t>
            </w:r>
          </w:p>
        </w:tc>
        <w:tc>
          <w:tcPr>
            <w:tcW w:type="dxa" w:w="4824"/>
            <w:vAlign w:val="top"/>
          </w:tcPr>
          <w:p>
            <w:pPr>
              <w:spacing w:after="0"/>
            </w:pPr>
            <w:r>
              <w:rPr>
                <w:sz w:val="15"/>
              </w:rPr>
              <w:t>RxJS operators; no causal integration; bypass killed only its own specs</w:t>
            </w:r>
          </w:p>
        </w:tc>
        <w:tc>
          <w:tcPr>
            <w:tcW w:type="dxa" w:w="3096"/>
            <w:vAlign w:val="top"/>
          </w:tcPr>
          <w:p>
            <w:pPr>
              <w:spacing w:after="0"/>
            </w:pPr>
            <w:r>
              <w:rPr>
                <w:sz w:val="15"/>
              </w:rPr>
              <w:t>Application/RxJS</w:t>
            </w:r>
          </w:p>
        </w:tc>
        <w:tc>
          <w:tcPr>
            <w:tcW w:type="dxa" w:w="1800"/>
            <w:vAlign w:val="top"/>
          </w:tcPr>
          <w:p>
            <w:pPr>
              <w:spacing w:after="0"/>
            </w:pPr>
            <w:r>
              <w:rPr>
                <w:sz w:val="15"/>
              </w:rPr>
              <w:t>DELETE</w:t>
            </w:r>
          </w:p>
        </w:tc>
      </w:tr>
      <w:tr>
        <w:trPr>
          <w:cantSplit w:val="true"/>
        </w:trPr>
        <w:tc>
          <w:tcPr>
            <w:tcW w:type="dxa" w:w="1656"/>
            <w:shd w:fill="F5F7F9"/>
            <w:vAlign w:val="top"/>
          </w:tcPr>
          <w:p>
            <w:pPr>
              <w:spacing w:after="0"/>
            </w:pPr>
            <w:r>
              <w:rPr>
                <w:sz w:val="15"/>
              </w:rPr>
              <w:t>asyncSource</w:t>
            </w:r>
          </w:p>
        </w:tc>
        <w:tc>
          <w:tcPr>
            <w:tcW w:type="dxa" w:w="3240"/>
            <w:vAlign w:val="top"/>
          </w:tcPr>
          <w:p>
            <w:pPr>
              <w:spacing w:after="0"/>
            </w:pPr>
            <w:r>
              <w:rPr>
                <w:sz w:val="15"/>
              </w:rPr>
              <w:t>Load, refresh, loading/error, Promise/Observable acquisition</w:t>
            </w:r>
          </w:p>
        </w:tc>
        <w:tc>
          <w:tcPr>
            <w:tcW w:type="dxa" w:w="4824"/>
            <w:vAlign w:val="top"/>
          </w:tcPr>
          <w:p>
            <w:pPr>
              <w:spacing w:after="0"/>
            </w:pPr>
            <w:r>
              <w:rPr>
                <w:sz w:val="15"/>
              </w:rPr>
              <w:t>No causal authority; supported behavior reproducible outside core; stale Promise bug discovered</w:t>
            </w:r>
          </w:p>
        </w:tc>
        <w:tc>
          <w:tcPr>
            <w:tcW w:type="dxa" w:w="3096"/>
            <w:vAlign w:val="top"/>
          </w:tcPr>
          <w:p>
            <w:pPr>
              <w:spacing w:after="0"/>
            </w:pPr>
            <w:r>
              <w:rPr>
                <w:sz w:val="15"/>
              </w:rPr>
              <w:t>Application async + external(); Link only for real relationships</w:t>
            </w:r>
          </w:p>
        </w:tc>
        <w:tc>
          <w:tcPr>
            <w:tcW w:type="dxa" w:w="1800"/>
            <w:vAlign w:val="top"/>
          </w:tcPr>
          <w:p>
            <w:pPr>
              <w:spacing w:after="0"/>
            </w:pPr>
            <w:r>
              <w:rPr>
                <w:sz w:val="15"/>
              </w:rPr>
              <w:t>DELETE</w:t>
            </w:r>
          </w:p>
        </w:tc>
      </w:tr>
      <w:tr>
        <w:trPr>
          <w:cantSplit w:val="true"/>
        </w:trPr>
        <w:tc>
          <w:tcPr>
            <w:tcW w:type="dxa" w:w="1656"/>
            <w:shd w:fill="F5F7F9"/>
            <w:vAlign w:val="top"/>
          </w:tcPr>
          <w:p>
            <w:pPr>
              <w:spacing w:after="0"/>
            </w:pPr>
            <w:r>
              <w:rPr>
                <w:sz w:val="15"/>
              </w:rPr>
              <w:t>loader</w:t>
            </w:r>
          </w:p>
        </w:tc>
        <w:tc>
          <w:tcPr>
            <w:tcW w:type="dxa" w:w="3240"/>
            <w:vAlign w:val="top"/>
          </w:tcPr>
          <w:p>
            <w:pPr>
              <w:spacing w:after="0"/>
            </w:pPr>
            <w:r>
              <w:rPr>
                <w:sz w:val="15"/>
              </w:rPr>
              <w:t>SWR, tags, staleTime, scoped persistence, equality, lazy, GC</w:t>
            </w:r>
          </w:p>
        </w:tc>
        <w:tc>
          <w:tcPr>
            <w:tcW w:type="dxa" w:w="4824"/>
            <w:vAlign w:val="top"/>
          </w:tcPr>
          <w:p>
            <w:pPr>
              <w:spacing w:after="0"/>
            </w:pPr>
            <w:r>
              <w:rPr>
                <w:sz w:val="15"/>
              </w:rPr>
              <w:t>No causal authority, but meaningful remote-data/cache capability</w:t>
            </w:r>
          </w:p>
        </w:tc>
        <w:tc>
          <w:tcPr>
            <w:tcW w:type="dxa" w:w="3096"/>
            <w:vAlign w:val="top"/>
          </w:tcPr>
          <w:p>
            <w:pPr>
              <w:spacing w:after="0"/>
            </w:pPr>
            <w:r>
              <w:rPr>
                <w:sz w:val="15"/>
              </w:rPr>
              <w:t>UNRESOLVED cache/policy owner</w:t>
            </w:r>
          </w:p>
        </w:tc>
        <w:tc>
          <w:tcPr>
            <w:tcW w:type="dxa" w:w="1800"/>
            <w:vAlign w:val="top"/>
          </w:tcPr>
          <w:p>
            <w:pPr>
              <w:spacing w:after="0"/>
            </w:pPr>
            <w:r>
              <w:rPr>
                <w:sz w:val="15"/>
              </w:rPr>
              <w:t>STOP — do not delete yet</w:t>
            </w:r>
          </w:p>
        </w:tc>
      </w:tr>
      <w:tr>
        <w:trPr>
          <w:cantSplit w:val="true"/>
        </w:trPr>
        <w:tc>
          <w:tcPr>
            <w:tcW w:type="dxa" w:w="1656"/>
            <w:shd w:fill="F5F7F9"/>
            <w:vAlign w:val="top"/>
          </w:tcPr>
          <w:p>
            <w:pPr>
              <w:spacing w:after="0"/>
            </w:pPr>
            <w:r>
              <w:rPr>
                <w:sz w:val="15"/>
              </w:rPr>
              <w:t>stored</w:t>
            </w:r>
          </w:p>
        </w:tc>
        <w:tc>
          <w:tcPr>
            <w:tcW w:type="dxa" w:w="3240"/>
            <w:vAlign w:val="top"/>
          </w:tcPr>
          <w:p>
            <w:pPr>
              <w:spacing w:after="0"/>
            </w:pPr>
            <w:r>
              <w:rPr>
                <w:sz w:val="15"/>
              </w:rPr>
              <w:t>Durable synchronization plus codec, migration, debounce, clear, errors</w:t>
            </w:r>
          </w:p>
        </w:tc>
        <w:tc>
          <w:tcPr>
            <w:tcW w:type="dxa" w:w="4824"/>
            <w:vAlign w:val="top"/>
          </w:tcPr>
          <w:p>
            <w:pPr>
              <w:spacing w:after="0"/>
            </w:pPr>
            <w:r>
              <w:rPr>
                <w:sz w:val="15"/>
              </w:rPr>
              <w:t>Frozen Link handles relationship/settlement; storage policy decomposes outward</w:t>
            </w:r>
          </w:p>
        </w:tc>
        <w:tc>
          <w:tcPr>
            <w:tcW w:type="dxa" w:w="3096"/>
            <w:vAlign w:val="top"/>
          </w:tcPr>
          <w:p>
            <w:pPr>
              <w:spacing w:after="0"/>
            </w:pPr>
            <w:r>
              <w:rPr>
                <w:sz w:val="15"/>
              </w:rPr>
              <w:t>Link + endpoint/adapter + application policy</w:t>
            </w:r>
          </w:p>
        </w:tc>
        <w:tc>
          <w:tcPr>
            <w:tcW w:type="dxa" w:w="1800"/>
            <w:vAlign w:val="top"/>
          </w:tcPr>
          <w:p>
            <w:pPr>
              <w:spacing w:after="0"/>
            </w:pPr>
            <w:r>
              <w:rPr>
                <w:sz w:val="15"/>
              </w:rPr>
              <w:t>DELETE</w:t>
            </w:r>
          </w:p>
        </w:tc>
      </w:tr>
      <w:tr>
        <w:trPr>
          <w:cantSplit w:val="true"/>
        </w:trPr>
        <w:tc>
          <w:tcPr>
            <w:tcW w:type="dxa" w:w="1656"/>
            <w:shd w:fill="F5F7F9"/>
            <w:vAlign w:val="top"/>
          </w:tcPr>
          <w:p>
            <w:pPr>
              <w:spacing w:after="0"/>
            </w:pPr>
            <w:r>
              <w:rPr>
                <w:sz w:val="15"/>
              </w:rPr>
              <w:t>Link</w:t>
            </w:r>
          </w:p>
        </w:tc>
        <w:tc>
          <w:tcPr>
            <w:tcW w:type="dxa" w:w="3240"/>
            <w:vAlign w:val="top"/>
          </w:tcPr>
          <w:p>
            <w:pPr>
              <w:spacing w:after="0"/>
            </w:pPr>
            <w:r>
              <w:rPr>
                <w:sz w:val="15"/>
              </w:rPr>
              <w:t>External state relationship, retrieval, outbound queue, settlement, disposal</w:t>
            </w:r>
          </w:p>
        </w:tc>
        <w:tc>
          <w:tcPr>
            <w:tcW w:type="dxa" w:w="4824"/>
            <w:vAlign w:val="top"/>
          </w:tcPr>
          <w:p>
            <w:pPr>
              <w:spacing w:after="0"/>
            </w:pPr>
            <w:r>
              <w:rPr>
                <w:sz w:val="15"/>
              </w:rPr>
              <w:t>Transaction-safe causal boundary; race and reconciliation behavior independently earned</w:t>
            </w:r>
          </w:p>
        </w:tc>
        <w:tc>
          <w:tcPr>
            <w:tcW w:type="dxa" w:w="3096"/>
            <w:vAlign w:val="top"/>
          </w:tcPr>
          <w:p>
            <w:pPr>
              <w:spacing w:after="0"/>
            </w:pPr>
            <w:r>
              <w:rPr>
                <w:sz w:val="15"/>
              </w:rPr>
              <w:t>SignalTree core</w:t>
            </w:r>
          </w:p>
        </w:tc>
        <w:tc>
          <w:tcPr>
            <w:tcW w:type="dxa" w:w="1800"/>
            <w:vAlign w:val="top"/>
          </w:tcPr>
          <w:p>
            <w:pPr>
              <w:spacing w:after="0"/>
            </w:pPr>
            <w:r>
              <w:rPr>
                <w:sz w:val="15"/>
              </w:rPr>
              <w:t>KEEP + FREEZE</w:t>
            </w:r>
          </w:p>
        </w:tc>
      </w:tr>
      <w:tr>
        <w:trPr>
          <w:cantSplit w:val="true"/>
        </w:trPr>
        <w:tc>
          <w:tcPr>
            <w:tcW w:type="dxa" w:w="1656"/>
            <w:shd w:fill="F5F7F9"/>
            <w:vAlign w:val="top"/>
          </w:tcPr>
          <w:p>
            <w:pPr>
              <w:spacing w:after="0"/>
            </w:pPr>
            <w:r>
              <w:rPr>
                <w:sz w:val="15"/>
              </w:rPr>
              <w:t>afterCommit</w:t>
            </w:r>
          </w:p>
        </w:tc>
        <w:tc>
          <w:tcPr>
            <w:tcW w:type="dxa" w:w="3240"/>
            <w:vAlign w:val="top"/>
          </w:tcPr>
          <w:p>
            <w:pPr>
              <w:spacing w:after="0"/>
            </w:pPr>
            <w:r>
              <w:rPr>
                <w:sz w:val="15"/>
              </w:rPr>
              <w:t>Run application effects after commit</w:t>
            </w:r>
          </w:p>
        </w:tc>
        <w:tc>
          <w:tcPr>
            <w:tcW w:type="dxa" w:w="4824"/>
            <w:vAlign w:val="top"/>
          </w:tcPr>
          <w:p>
            <w:pPr>
              <w:spacing w:after="0"/>
            </w:pPr>
            <w:r>
              <w:rPr>
                <w:sz w:val="15"/>
              </w:rPr>
              <w:t>No independent core need after Link demarcation</w:t>
            </w:r>
          </w:p>
        </w:tc>
        <w:tc>
          <w:tcPr>
            <w:tcW w:type="dxa" w:w="3096"/>
            <w:vAlign w:val="top"/>
          </w:tcPr>
          <w:p>
            <w:pPr>
              <w:spacing w:after="0"/>
            </w:pPr>
            <w:r>
              <w:rPr>
                <w:sz w:val="15"/>
              </w:rPr>
              <w:t>Application</w:t>
            </w:r>
          </w:p>
        </w:tc>
        <w:tc>
          <w:tcPr>
            <w:tcW w:type="dxa" w:w="1800"/>
            <w:vAlign w:val="top"/>
          </w:tcPr>
          <w:p>
            <w:pPr>
              <w:spacing w:after="0"/>
            </w:pPr>
            <w:r>
              <w:rPr>
                <w:sz w:val="15"/>
              </w:rPr>
              <w:t>NO PUBLIC API</w:t>
            </w:r>
          </w:p>
        </w:tc>
      </w:tr>
      <w:tr>
        <w:trPr>
          <w:cantSplit w:val="true"/>
        </w:trPr>
        <w:tc>
          <w:tcPr>
            <w:tcW w:type="dxa" w:w="1656"/>
            <w:shd w:fill="F5F7F9"/>
            <w:vAlign w:val="top"/>
          </w:tcPr>
          <w:p>
            <w:pPr>
              <w:spacing w:after="0"/>
            </w:pPr>
            <w:r>
              <w:rPr>
                <w:sz w:val="15"/>
              </w:rPr>
              <w:t>TreeId</w:t>
            </w:r>
          </w:p>
        </w:tc>
        <w:tc>
          <w:tcPr>
            <w:tcW w:type="dxa" w:w="3240"/>
            <w:vAlign w:val="top"/>
          </w:tcPr>
          <w:p>
            <w:pPr>
              <w:spacing w:after="0"/>
            </w:pPr>
            <w:r>
              <w:rPr>
                <w:sz w:val="15"/>
              </w:rPr>
              <w:t>Distinguish live trees in generic error events</w:t>
            </w:r>
          </w:p>
        </w:tc>
        <w:tc>
          <w:tcPr>
            <w:tcW w:type="dxa" w:w="4824"/>
            <w:vAlign w:val="top"/>
          </w:tcPr>
          <w:p>
            <w:pPr>
              <w:spacing w:after="0"/>
            </w:pPr>
            <w:r>
              <w:rPr>
                <w:sz w:val="15"/>
              </w:rPr>
              <w:t>Error producer ownership requires runtime tree identity</w:t>
            </w:r>
          </w:p>
        </w:tc>
        <w:tc>
          <w:tcPr>
            <w:tcW w:type="dxa" w:w="3096"/>
            <w:vAlign w:val="top"/>
          </w:tcPr>
          <w:p>
            <w:pPr>
              <w:spacing w:after="0"/>
            </w:pPr>
            <w:r>
              <w:rPr>
                <w:sz w:val="15"/>
              </w:rPr>
              <w:t>SignalTree runtime identity</w:t>
            </w:r>
          </w:p>
        </w:tc>
        <w:tc>
          <w:tcPr>
            <w:tcW w:type="dxa" w:w="1800"/>
            <w:vAlign w:val="top"/>
          </w:tcPr>
          <w:p>
            <w:pPr>
              <w:spacing w:after="0"/>
            </w:pPr>
            <w:r>
              <w:rPr>
                <w:sz w:val="15"/>
              </w:rPr>
              <w:t>PUBLIC, narrow semantics</w:t>
            </w:r>
          </w:p>
        </w:tc>
      </w:tr>
    </w:tbl>
    <w:p>
      <w:pPr>
        <w:spacing w:after="20"/>
        <w:widowControl w:val="true"/>
      </w:pPr>
    </w:p>
    <w:p>
      <w:pPr>
        <w:sectPr>
          <w:pgSz w:w="15840" w:h="12240" w:orient="landscape"/>
          <w:pgMar w:top="792" w:right="792" w:bottom="792" w:left="792" w:header="403" w:footer="403" w:gutter="0"/>
          <w:cols w:space="720"/>
          <w:docGrid w:linePitch="360"/>
        </w:sectPr>
        <w:widowControl w:val="true"/>
      </w:pPr>
    </w:p>
    <w:p>
      <w:pPr>
        <w:widowControl w:val="true"/>
      </w:pPr>
      <w:r>
        <w:t>The loader result is the best illustration of why the matrix needed an explicit CACHE / REMOTE-DATA POLICY category. The original retirement template had no such bucket. The omission itself became a falsifier: the proposed classification system was incomplete, so deletion authority vanished.</w:t>
      </w:r>
    </w:p>
    <w:p>
      <w:pPr>
        <w:pStyle w:val="Heading1"/>
        <w:widowControl w:val="true"/>
      </w:pPr>
      <w:r>
        <w:t>5. Phase I — History, transaction authority, and causal turns</w:t>
      </w:r>
    </w:p>
    <w:p>
      <w:pPr>
        <w:widowControl w:val="true"/>
      </w:pPr>
      <w:r>
        <w:t>One of the earliest deep architectural questions was whether history/time-travel should be scoped by state location or by authored causal turn. This was not an API-style debate; it was about what undo means when multiple writes coalesce into one authored event.</w:t>
      </w:r>
    </w:p>
    <w:p>
      <w:pPr>
        <w:widowControl w:val="true"/>
      </w:pPr>
      <w:r>
        <w:t>HIST-B, the location-filtered interpretation, was refuted by a simple causal experiment: ordinary same-tick writes to a historical-looking branch and a non-historical-looking branch coalesced into one causal turn, and undo atomically reversed both. A location filter would have partially reversed an authored event.</w:t>
      </w: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METHOD LESSON</w:t>
            </w:r>
            <w:r>
              <w:rPr>
                <w:color w:val="222222"/>
                <w:sz w:val="18"/>
              </w:rPr>
              <w:br/>
              <w:t>When two state changes share one authored causal turn, a location-scoped undo can be semantically invalid even if the locations look independent in the tree.</w:t>
            </w:r>
          </w:p>
        </w:tc>
      </w:tr>
    </w:tbl>
    <w:p>
      <w:pPr>
        <w:spacing w:after="0"/>
        <w:widowControl w:val="true"/>
      </w:pPr>
    </w:p>
    <w:p>
      <w:pPr>
        <w:widowControl w:val="true"/>
      </w:pPr>
      <w:r>
        <w:t>This led toward operation/causal-turn-scoped restoration eligibility with one restoration authority. The program also discovered a separate correctness defect: if an authored write was followed later by a realization to the same location, undo could incorrectly discard the later server truth. The methodology kept that defect separate instead of using it to confuse the history-scope decision.</w:t>
      </w:r>
    </w:p>
    <w:p>
      <w:pPr>
        <w:widowControl w:val="true"/>
      </w:pPr>
      <w:r>
        <w:t>The transaction ledger experiments then clarified a broader rule: consequences that escape the tree must observe committed truth, not speculative writes. That result later became foundational for Link and persistence.</w:t>
      </w:r>
    </w:p>
    <w:p>
      <w:pPr>
        <w:pStyle w:val="CodeBlock"/>
      </w:pPr>
      <w:r>
        <w:t>Authored transaction</w:t>
        <w:br/>
        <w:t xml:space="preserve">  speculative writes</w:t>
        <w:br/>
        <w:t xml:space="preserve">        ↓</w:t>
        <w:br/>
        <w:t xml:space="preserve">  one commit / rollback authority</w:t>
        <w:br/>
        <w:t xml:space="preserve">        ↓</w:t>
        <w:br/>
        <w:t>external consequence may observe only committed truth</w:t>
      </w:r>
    </w:p>
    <w:p>
      <w:pPr>
        <w:widowControl w:val="true"/>
      </w:pPr>
      <w:r>
        <w:t>This is an example of a conclusion becoming a reusable invariant. It stopped being “a history result” and became a constraint that every later outbound synchronization mechanism had to obey.</w:t>
      </w:r>
    </w:p>
    <w:p>
      <w:pPr>
        <w:pStyle w:val="Heading1"/>
        <w:widowControl w:val="true"/>
      </w:pPr>
      <w:r>
        <w:t>6. Phase II — Identity, address, ownership, and replay</w:t>
      </w:r>
    </w:p>
    <w:p>
      <w:pPr>
        <w:widowControl w:val="true"/>
      </w:pPr>
      <w:r>
        <w:t>SignalTree had several identity-like concepts that were easy to conflate: state path, position identity, entity subject identity, and eventually runtime tree identity. The identity program separated them by role instead of trying to find one universal ID.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shd w:fill="18324A"/>
            <w:vAlign w:val="center"/>
          </w:tcPr>
          <w:p>
            <w:r>
              <w:rPr>
                <w:b/>
                <w:color w:val="FFFFFF"/>
                <w:sz w:val="16"/>
              </w:rPr>
              <w:t>Identity</w:t>
            </w:r>
          </w:p>
        </w:tc>
        <w:tc>
          <w:tcPr>
            <w:tcW w:type="dxa" w:w="2880"/>
            <w:shd w:fill="18324A"/>
            <w:vAlign w:val="center"/>
          </w:tcPr>
          <w:p>
            <w:r>
              <w:rPr>
                <w:b/>
                <w:color w:val="FFFFFF"/>
                <w:sz w:val="16"/>
              </w:rPr>
              <w:t>Role</w:t>
            </w:r>
          </w:p>
        </w:tc>
        <w:tc>
          <w:tcPr>
            <w:tcW w:type="dxa" w:w="3456"/>
            <w:shd w:fill="18324A"/>
            <w:vAlign w:val="center"/>
          </w:tcPr>
          <w:p>
            <w:r>
              <w:rPr>
                <w:b/>
                <w:color w:val="FFFFFF"/>
                <w:sz w:val="16"/>
              </w:rPr>
              <w:t>What it survives</w:t>
            </w:r>
          </w:p>
        </w:tc>
        <w:tc>
          <w:tcPr>
            <w:tcW w:type="dxa" w:w="3312"/>
            <w:shd w:fill="18324A"/>
            <w:vAlign w:val="center"/>
          </w:tcPr>
          <w:p>
            <w:r>
              <w:rPr>
                <w:b/>
                <w:color w:val="FFFFFF"/>
                <w:sz w:val="16"/>
              </w:rPr>
              <w:t>Non-claim</w:t>
            </w:r>
          </w:p>
        </w:tc>
      </w:tr>
      <w:tr>
        <w:trPr>
          <w:cantSplit w:val="true"/>
        </w:trPr>
        <w:tc>
          <w:tcPr>
            <w:tcW w:type="dxa" w:w="1800"/>
            <w:shd w:fill="F5F7F9"/>
            <w:vAlign w:val="top"/>
          </w:tcPr>
          <w:p>
            <w:pPr>
              <w:spacing w:after="0"/>
            </w:pPr>
            <w:r>
              <w:rPr>
                <w:sz w:val="16"/>
              </w:rPr>
              <w:t>PositionId</w:t>
            </w:r>
          </w:p>
        </w:tc>
        <w:tc>
          <w:tcPr>
            <w:tcW w:type="dxa" w:w="2880"/>
            <w:vAlign w:val="top"/>
          </w:tcPr>
          <w:p>
            <w:pPr>
              <w:spacing w:after="0"/>
            </w:pPr>
            <w:r>
              <w:rPr>
                <w:sz w:val="16"/>
              </w:rPr>
              <w:t>Causal/ownership position</w:t>
            </w:r>
          </w:p>
        </w:tc>
        <w:tc>
          <w:tcPr>
            <w:tcW w:type="dxa" w:w="3456"/>
            <w:vAlign w:val="top"/>
          </w:tcPr>
          <w:p>
            <w:pPr>
              <w:spacing w:after="0"/>
            </w:pPr>
            <w:r>
              <w:rPr>
                <w:sz w:val="16"/>
              </w:rPr>
              <w:t>Tree-local position topology</w:t>
            </w:r>
          </w:p>
        </w:tc>
        <w:tc>
          <w:tcPr>
            <w:tcW w:type="dxa" w:w="3312"/>
            <w:vAlign w:val="top"/>
          </w:tcPr>
          <w:p>
            <w:pPr>
              <w:spacing w:after="0"/>
            </w:pPr>
            <w:r>
              <w:rPr>
                <w:sz w:val="16"/>
              </w:rPr>
              <w:t>Not a serialized global address</w:t>
            </w:r>
          </w:p>
        </w:tc>
      </w:tr>
      <w:tr>
        <w:trPr>
          <w:cantSplit w:val="true"/>
        </w:trPr>
        <w:tc>
          <w:tcPr>
            <w:tcW w:type="dxa" w:w="1800"/>
            <w:shd w:fill="F5F7F9"/>
            <w:vAlign w:val="top"/>
          </w:tcPr>
          <w:p>
            <w:pPr>
              <w:spacing w:after="0"/>
            </w:pPr>
            <w:r>
              <w:rPr>
                <w:sz w:val="16"/>
              </w:rPr>
              <w:t>SubjectId</w:t>
            </w:r>
          </w:p>
        </w:tc>
        <w:tc>
          <w:tcPr>
            <w:tcW w:type="dxa" w:w="2880"/>
            <w:vAlign w:val="top"/>
          </w:tcPr>
          <w:p>
            <w:pPr>
              <w:spacing w:after="0"/>
            </w:pPr>
            <w:r>
              <w:rPr>
                <w:sz w:val="16"/>
              </w:rPr>
              <w:t>Entity lifetime identity</w:t>
            </w:r>
          </w:p>
        </w:tc>
        <w:tc>
          <w:tcPr>
            <w:tcW w:type="dxa" w:w="3456"/>
            <w:vAlign w:val="top"/>
          </w:tcPr>
          <w:p>
            <w:pPr>
              <w:spacing w:after="0"/>
            </w:pPr>
            <w:r>
              <w:rPr>
                <w:sz w:val="16"/>
              </w:rPr>
              <w:t>Stable across re-keying of an entity subject</w:t>
            </w:r>
          </w:p>
        </w:tc>
        <w:tc>
          <w:tcPr>
            <w:tcW w:type="dxa" w:w="3312"/>
            <w:vAlign w:val="top"/>
          </w:tcPr>
          <w:p>
            <w:pPr>
              <w:spacing w:after="0"/>
            </w:pPr>
            <w:r>
              <w:rPr>
                <w:sz w:val="16"/>
              </w:rPr>
              <w:t>Not field path</w:t>
            </w:r>
          </w:p>
        </w:tc>
      </w:tr>
      <w:tr>
        <w:trPr>
          <w:cantSplit w:val="true"/>
        </w:trPr>
        <w:tc>
          <w:tcPr>
            <w:tcW w:type="dxa" w:w="1800"/>
            <w:shd w:fill="F5F7F9"/>
            <w:vAlign w:val="top"/>
          </w:tcPr>
          <w:p>
            <w:pPr>
              <w:spacing w:after="0"/>
            </w:pPr>
            <w:r>
              <w:rPr>
                <w:sz w:val="16"/>
              </w:rPr>
              <w:t>Path</w:t>
            </w:r>
          </w:p>
        </w:tc>
        <w:tc>
          <w:tcPr>
            <w:tcW w:type="dxa" w:w="2880"/>
            <w:vAlign w:val="top"/>
          </w:tcPr>
          <w:p>
            <w:pPr>
              <w:spacing w:after="0"/>
            </w:pPr>
            <w:r>
              <w:rPr>
                <w:sz w:val="16"/>
              </w:rPr>
              <w:t>State/source coordinate</w:t>
            </w:r>
          </w:p>
        </w:tc>
        <w:tc>
          <w:tcPr>
            <w:tcW w:type="dxa" w:w="3456"/>
            <w:vAlign w:val="top"/>
          </w:tcPr>
          <w:p>
            <w:pPr>
              <w:spacing w:after="0"/>
            </w:pPr>
            <w:r>
              <w:rPr>
                <w:sz w:val="16"/>
              </w:rPr>
              <w:t>Human-meaningful state location</w:t>
            </w:r>
          </w:p>
        </w:tc>
        <w:tc>
          <w:tcPr>
            <w:tcW w:type="dxa" w:w="3312"/>
            <w:vAlign w:val="top"/>
          </w:tcPr>
          <w:p>
            <w:pPr>
              <w:spacing w:after="0"/>
            </w:pPr>
            <w:r>
              <w:rPr>
                <w:sz w:val="16"/>
              </w:rPr>
              <w:t>Not owner identity; not storage key</w:t>
            </w:r>
          </w:p>
        </w:tc>
      </w:tr>
      <w:tr>
        <w:trPr>
          <w:cantSplit w:val="true"/>
        </w:trPr>
        <w:tc>
          <w:tcPr>
            <w:tcW w:type="dxa" w:w="1800"/>
            <w:shd w:fill="F5F7F9"/>
            <w:vAlign w:val="top"/>
          </w:tcPr>
          <w:p>
            <w:pPr>
              <w:spacing w:after="0"/>
            </w:pPr>
            <w:r>
              <w:rPr>
                <w:sz w:val="16"/>
              </w:rPr>
              <w:t>TreeId</w:t>
            </w:r>
          </w:p>
        </w:tc>
        <w:tc>
          <w:tcPr>
            <w:tcW w:type="dxa" w:w="2880"/>
            <w:vAlign w:val="top"/>
          </w:tcPr>
          <w:p>
            <w:pPr>
              <w:spacing w:after="0"/>
            </w:pPr>
            <w:r>
              <w:rPr>
                <w:sz w:val="16"/>
              </w:rPr>
              <w:t>Runtime tree owner identity</w:t>
            </w:r>
          </w:p>
        </w:tc>
        <w:tc>
          <w:tcPr>
            <w:tcW w:type="dxa" w:w="3456"/>
            <w:vAlign w:val="top"/>
          </w:tcPr>
          <w:p>
            <w:pPr>
              <w:spacing w:after="0"/>
            </w:pPr>
            <w:r>
              <w:rPr>
                <w:sz w:val="16"/>
              </w:rPr>
              <w:t>Correlates generic errors to the live tree</w:t>
            </w:r>
          </w:p>
        </w:tc>
        <w:tc>
          <w:tcPr>
            <w:tcW w:type="dxa" w:w="3312"/>
            <w:vAlign w:val="top"/>
          </w:tcPr>
          <w:p>
            <w:pPr>
              <w:spacing w:after="0"/>
            </w:pPr>
            <w:r>
              <w:rPr>
                <w:sz w:val="16"/>
              </w:rPr>
              <w:t>Not persistent, ordinal, or cross-process identity</w:t>
            </w:r>
          </w:p>
        </w:tc>
      </w:tr>
    </w:tbl>
    <w:p>
      <w:pPr>
        <w:spacing w:after="20"/>
        <w:widowControl w:val="true"/>
      </w:pPr>
    </w:p>
    <w:p>
      <w:pPr>
        <w:widowControl w:val="true"/>
      </w:pPr>
      <w:r>
        <w:t>OWNER-REPLAY, OWNER-LOCATION, REALIZATION-ADDRESS, SUBJECT-ADDRESS, cardinality, replacement, and descriptor experiments gradually established that correctness needed one ownership authority and distinct namespaces for entity lifetime and state location.</w:t>
      </w:r>
    </w:p>
    <w:p>
      <w:pPr>
        <w:widowControl w:val="true"/>
      </w:pPr>
      <w:r>
        <w:t>This work mattered later because public error reporting needed to answer two different questions without collapsing them: “which live tree?” and “where in that tree?” That became `treeId` plus `path`, not one overloaded address field.</w:t>
      </w:r>
    </w:p>
    <w:tbl>
      <w:tblPr>
        <w:tblW w:type="auto" w:w="0"/>
        <w:jc w:val="center"/>
        <w:tblLayout w:type="autofit"/>
        <w:tblLook w:firstColumn="1" w:firstRow="1" w:lastColumn="0" w:lastRow="0" w:noHBand="0" w:noVBand="1" w:val="04A0"/>
      </w:tblPr>
      <w:tblGrid>
        <w:gridCol w:w="9994"/>
      </w:tblGrid>
      <w:tr>
        <w:tc>
          <w:tcPr>
            <w:tcW w:type="dxa" w:w="9994"/>
            <w:shd w:fill="EEF7F1"/>
            <w:tcBorders>
              <w:top w:val="single" w:sz="8" w:color="C9D2D9"/>
              <w:left w:val="single" w:sz="8" w:color="C9D2D9"/>
              <w:bottom w:val="single" w:sz="8" w:color="C9D2D9"/>
              <w:right w:val="single" w:sz="8" w:color="C9D2D9"/>
            </w:tcBorders>
            <w:vAlign w:val="center"/>
          </w:tcPr>
          <w:p>
            <w:r>
              <w:rPr>
                <w:b/>
                <w:color w:val="2D6A4F"/>
                <w:sz w:val="19"/>
              </w:rPr>
              <w:t>FREEZE BOUNDARY</w:t>
            </w:r>
            <w:r>
              <w:rPr>
                <w:color w:val="222222"/>
                <w:sz w:val="18"/>
              </w:rPr>
              <w:br/>
              <w:t>TreeId eventually earned a deliberately narrow contract: same live tree ⇒ same ID; simultaneously live trees ⇒ distinct IDs; useful for correlation/equality/Map keys. It is not persistent identity, serialization identity, ordinal numbering, or a replacement for path.</w:t>
            </w:r>
          </w:p>
        </w:tc>
      </w:tr>
    </w:tbl>
    <w:p>
      <w:pPr>
        <w:spacing w:after="0"/>
        <w:widowControl w:val="true"/>
      </w:pPr>
    </w:p>
    <w:p>
      <w:pPr>
        <w:pStyle w:val="Heading1"/>
        <w:widowControl w:val="true"/>
      </w:pPr>
      <w:r>
        <w:t>7. Phase III — Discovering the Link boundary</w:t>
      </w:r>
    </w:p>
    <w:p>
      <w:pPr>
        <w:widowControl w:val="true"/>
      </w:pPr>
      <w:r>
        <w:t>The Link work was not a single design session. It was a sequence of competing semantics, falsifiers, and public-boundary experiments.</w:t>
      </w:r>
    </w:p>
    <w:p>
      <w:pPr>
        <w:widowControl w:val="true"/>
      </w:pPr>
      <w:r>
        <w:t>Early experiments asked whether synchronization should be weak or strong, whether retrieval should participate in settlement, whether echo suppression required explicit correlation metadata, whether entity collections could be represented honestly, and whether application-facing commit hooks were necessary.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18324A"/>
            <w:vAlign w:val="center"/>
          </w:tcPr>
          <w:p>
            <w:r>
              <w:rPr>
                <w:b/>
                <w:color w:val="FFFFFF"/>
                <w:sz w:val="16"/>
              </w:rPr>
              <w:t>Experiment</w:t>
            </w:r>
          </w:p>
        </w:tc>
        <w:tc>
          <w:tcPr>
            <w:tcW w:type="dxa" w:w="2880"/>
            <w:shd w:fill="18324A"/>
            <w:vAlign w:val="center"/>
          </w:tcPr>
          <w:p>
            <w:r>
              <w:rPr>
                <w:b/>
                <w:color w:val="FFFFFF"/>
                <w:sz w:val="16"/>
              </w:rPr>
              <w:t>Question</w:t>
            </w:r>
          </w:p>
        </w:tc>
        <w:tc>
          <w:tcPr>
            <w:tcW w:type="dxa" w:w="2376"/>
            <w:shd w:fill="18324A"/>
            <w:vAlign w:val="center"/>
          </w:tcPr>
          <w:p>
            <w:r>
              <w:rPr>
                <w:b/>
                <w:color w:val="FFFFFF"/>
                <w:sz w:val="16"/>
              </w:rPr>
              <w:t>Result</w:t>
            </w:r>
          </w:p>
        </w:tc>
        <w:tc>
          <w:tcPr>
            <w:tcW w:type="dxa" w:w="4608"/>
            <w:shd w:fill="18324A"/>
            <w:vAlign w:val="center"/>
          </w:tcPr>
          <w:p>
            <w:r>
              <w:rPr>
                <w:b/>
                <w:color w:val="FFFFFF"/>
                <w:sz w:val="16"/>
              </w:rPr>
              <w:t>Architectural consequence</w:t>
            </w:r>
          </w:p>
        </w:tc>
      </w:tr>
      <w:tr>
        <w:trPr>
          <w:cantSplit w:val="true"/>
        </w:trPr>
        <w:tc>
          <w:tcPr>
            <w:tcW w:type="dxa" w:w="2088"/>
            <w:shd w:fill="F5F7F9"/>
            <w:vAlign w:val="top"/>
          </w:tcPr>
          <w:p>
            <w:pPr>
              <w:spacing w:after="0"/>
            </w:pPr>
            <w:r>
              <w:rPr>
                <w:sz w:val="16"/>
              </w:rPr>
              <w:t>LINK-HANDLE-0</w:t>
            </w:r>
          </w:p>
        </w:tc>
        <w:tc>
          <w:tcPr>
            <w:tcW w:type="dxa" w:w="2880"/>
            <w:vAlign w:val="top"/>
          </w:tcPr>
          <w:p>
            <w:pPr>
              <w:spacing w:after="0"/>
            </w:pPr>
            <w:r>
              <w:rPr>
                <w:sz w:val="16"/>
              </w:rPr>
              <w:t>weak vs strong handle</w:t>
            </w:r>
          </w:p>
        </w:tc>
        <w:tc>
          <w:tcPr>
            <w:tcW w:type="dxa" w:w="2376"/>
            <w:vAlign w:val="top"/>
          </w:tcPr>
          <w:p>
            <w:pPr>
              <w:spacing w:after="0"/>
            </w:pPr>
            <w:r>
              <w:rPr>
                <w:sz w:val="16"/>
              </w:rPr>
              <w:t>STRONG won</w:t>
            </w:r>
          </w:p>
        </w:tc>
        <w:tc>
          <w:tcPr>
            <w:tcW w:type="dxa" w:w="4608"/>
            <w:vAlign w:val="top"/>
          </w:tcPr>
          <w:p>
            <w:pPr>
              <w:spacing w:after="0"/>
            </w:pPr>
            <w:r>
              <w:rPr>
                <w:sz w:val="16"/>
              </w:rPr>
              <w:t>Settlement and lifecycle are part of the relationship</w:t>
            </w:r>
          </w:p>
        </w:tc>
      </w:tr>
      <w:tr>
        <w:trPr>
          <w:cantSplit w:val="true"/>
        </w:trPr>
        <w:tc>
          <w:tcPr>
            <w:tcW w:type="dxa" w:w="2088"/>
            <w:shd w:fill="F5F7F9"/>
            <w:vAlign w:val="top"/>
          </w:tcPr>
          <w:p>
            <w:pPr>
              <w:spacing w:after="0"/>
            </w:pPr>
            <w:r>
              <w:rPr>
                <w:sz w:val="16"/>
              </w:rPr>
              <w:t>LINK-HANDLE-1</w:t>
            </w:r>
          </w:p>
        </w:tc>
        <w:tc>
          <w:tcPr>
            <w:tcW w:type="dxa" w:w="2880"/>
            <w:vAlign w:val="top"/>
          </w:tcPr>
          <w:p>
            <w:pPr>
              <w:spacing w:after="0"/>
            </w:pPr>
            <w:r>
              <w:rPr>
                <w:sz w:val="16"/>
              </w:rPr>
              <w:t>retrieve included vs excluded from settlement</w:t>
            </w:r>
          </w:p>
        </w:tc>
        <w:tc>
          <w:tcPr>
            <w:tcW w:type="dxa" w:w="2376"/>
            <w:vAlign w:val="top"/>
          </w:tcPr>
          <w:p>
            <w:pPr>
              <w:spacing w:after="0"/>
            </w:pPr>
            <w:r>
              <w:rPr>
                <w:sz w:val="16"/>
              </w:rPr>
              <w:t>INCLUDED won</w:t>
            </w:r>
          </w:p>
        </w:tc>
        <w:tc>
          <w:tcPr>
            <w:tcW w:type="dxa" w:w="4608"/>
            <w:vAlign w:val="top"/>
          </w:tcPr>
          <w:p>
            <w:pPr>
              <w:spacing w:after="0"/>
            </w:pPr>
            <w:r>
              <w:rPr>
                <w:sz w:val="16"/>
              </w:rPr>
              <w:t>`settled()` waits for retrieval too</w:t>
            </w:r>
          </w:p>
        </w:tc>
      </w:tr>
      <w:tr>
        <w:trPr>
          <w:cantSplit w:val="true"/>
        </w:trPr>
        <w:tc>
          <w:tcPr>
            <w:tcW w:type="dxa" w:w="2088"/>
            <w:shd w:fill="F5F7F9"/>
            <w:vAlign w:val="top"/>
          </w:tcPr>
          <w:p>
            <w:pPr>
              <w:spacing w:after="0"/>
            </w:pPr>
            <w:r>
              <w:rPr>
                <w:sz w:val="16"/>
              </w:rPr>
              <w:t>LINK-ECHO-1</w:t>
            </w:r>
          </w:p>
        </w:tc>
        <w:tc>
          <w:tcPr>
            <w:tcW w:type="dxa" w:w="2880"/>
            <w:vAlign w:val="top"/>
          </w:tcPr>
          <w:p>
            <w:pPr>
              <w:spacing w:after="0"/>
            </w:pPr>
            <w:r>
              <w:rPr>
                <w:sz w:val="16"/>
              </w:rPr>
              <w:t>metadata correlation vs equality</w:t>
            </w:r>
          </w:p>
        </w:tc>
        <w:tc>
          <w:tcPr>
            <w:tcW w:type="dxa" w:w="2376"/>
            <w:vAlign w:val="top"/>
          </w:tcPr>
          <w:p>
            <w:pPr>
              <w:spacing w:after="0"/>
            </w:pPr>
            <w:r>
              <w:rPr>
                <w:sz w:val="16"/>
              </w:rPr>
              <w:t>EQUALITY won</w:t>
            </w:r>
          </w:p>
        </w:tc>
        <w:tc>
          <w:tcPr>
            <w:tcW w:type="dxa" w:w="4608"/>
            <w:vAlign w:val="top"/>
          </w:tcPr>
          <w:p>
            <w:pPr>
              <w:spacing w:after="0"/>
            </w:pPr>
            <w:r>
              <w:rPr>
                <w:sz w:val="16"/>
              </w:rPr>
              <w:t>No public correlation tokens/comparators needed</w:t>
            </w:r>
          </w:p>
        </w:tc>
      </w:tr>
      <w:tr>
        <w:trPr>
          <w:cantSplit w:val="true"/>
        </w:trPr>
        <w:tc>
          <w:tcPr>
            <w:tcW w:type="dxa" w:w="2088"/>
            <w:shd w:fill="F5F7F9"/>
            <w:vAlign w:val="top"/>
          </w:tcPr>
          <w:p>
            <w:pPr>
              <w:spacing w:after="0"/>
            </w:pPr>
            <w:r>
              <w:rPr>
                <w:sz w:val="16"/>
              </w:rPr>
              <w:t>AFTER-COMMIT-0/1</w:t>
            </w:r>
          </w:p>
        </w:tc>
        <w:tc>
          <w:tcPr>
            <w:tcW w:type="dxa" w:w="2880"/>
            <w:vAlign w:val="top"/>
          </w:tcPr>
          <w:p>
            <w:pPr>
              <w:spacing w:after="0"/>
            </w:pPr>
            <w:r>
              <w:rPr>
                <w:sz w:val="16"/>
              </w:rPr>
              <w:t>public commit callback needed?</w:t>
            </w:r>
          </w:p>
        </w:tc>
        <w:tc>
          <w:tcPr>
            <w:tcW w:type="dxa" w:w="2376"/>
            <w:vAlign w:val="top"/>
          </w:tcPr>
          <w:p>
            <w:pPr>
              <w:spacing w:after="0"/>
            </w:pPr>
            <w:r>
              <w:rPr>
                <w:sz w:val="16"/>
              </w:rPr>
              <w:t>NO independent need</w:t>
            </w:r>
          </w:p>
        </w:tc>
        <w:tc>
          <w:tcPr>
            <w:tcW w:type="dxa" w:w="4608"/>
            <w:vAlign w:val="top"/>
          </w:tcPr>
          <w:p>
            <w:pPr>
              <w:spacing w:after="0"/>
            </w:pPr>
            <w:r>
              <w:rPr>
                <w:sz w:val="16"/>
              </w:rPr>
              <w:t>Do not expose machinery Link already uses internally</w:t>
            </w:r>
          </w:p>
        </w:tc>
      </w:tr>
      <w:tr>
        <w:trPr>
          <w:cantSplit w:val="true"/>
        </w:trPr>
        <w:tc>
          <w:tcPr>
            <w:tcW w:type="dxa" w:w="2088"/>
            <w:shd w:fill="F5F7F9"/>
            <w:vAlign w:val="top"/>
          </w:tcPr>
          <w:p>
            <w:pPr>
              <w:spacing w:after="0"/>
            </w:pPr>
            <w:r>
              <w:rPr>
                <w:sz w:val="16"/>
              </w:rPr>
              <w:t>DEMARCATION-0</w:t>
            </w:r>
          </w:p>
        </w:tc>
        <w:tc>
          <w:tcPr>
            <w:tcW w:type="dxa" w:w="2880"/>
            <w:vAlign w:val="top"/>
          </w:tcPr>
          <w:p>
            <w:pPr>
              <w:spacing w:after="0"/>
            </w:pPr>
            <w:r>
              <w:rPr>
                <w:sz w:val="16"/>
              </w:rPr>
              <w:t>where should core/application boundary sit?</w:t>
            </w:r>
          </w:p>
        </w:tc>
        <w:tc>
          <w:tcPr>
            <w:tcW w:type="dxa" w:w="2376"/>
            <w:vAlign w:val="top"/>
          </w:tcPr>
          <w:p>
            <w:pPr>
              <w:spacing w:after="0"/>
            </w:pPr>
            <w:r>
              <w:rPr>
                <w:sz w:val="16"/>
              </w:rPr>
              <w:t>Link is the boundary</w:t>
            </w:r>
          </w:p>
        </w:tc>
        <w:tc>
          <w:tcPr>
            <w:tcW w:type="dxa" w:w="4608"/>
            <w:vAlign w:val="top"/>
          </w:tcPr>
          <w:p>
            <w:pPr>
              <w:spacing w:after="0"/>
            </w:pPr>
            <w:r>
              <w:rPr>
                <w:sz w:val="16"/>
              </w:rPr>
              <w:t>SignalTree settles state; app decides what to do with it</w:t>
            </w:r>
          </w:p>
        </w:tc>
      </w:tr>
      <w:tr>
        <w:trPr>
          <w:cantSplit w:val="true"/>
        </w:trPr>
        <w:tc>
          <w:tcPr>
            <w:tcW w:type="dxa" w:w="2088"/>
            <w:shd w:fill="F5F7F9"/>
            <w:vAlign w:val="top"/>
          </w:tcPr>
          <w:p>
            <w:pPr>
              <w:spacing w:after="0"/>
            </w:pPr>
            <w:r>
              <w:rPr>
                <w:sz w:val="16"/>
              </w:rPr>
              <w:t>LINK-COLLECTION-0</w:t>
            </w:r>
          </w:p>
        </w:tc>
        <w:tc>
          <w:tcPr>
            <w:tcW w:type="dxa" w:w="2880"/>
            <w:vAlign w:val="top"/>
          </w:tcPr>
          <w:p>
            <w:pPr>
              <w:spacing w:after="0"/>
            </w:pPr>
            <w:r>
              <w:rPr>
                <w:sz w:val="16"/>
              </w:rPr>
              <w:t>collection boundary shape</w:t>
            </w:r>
          </w:p>
        </w:tc>
        <w:tc>
          <w:tcPr>
            <w:tcW w:type="dxa" w:w="2376"/>
            <w:vAlign w:val="top"/>
          </w:tcPr>
          <w:p>
            <w:pPr>
              <w:spacing w:after="0"/>
            </w:pPr>
            <w:r>
              <w:rPr>
                <w:sz w:val="16"/>
              </w:rPr>
              <w:t>Complete Row[] snapshots</w:t>
            </w:r>
          </w:p>
        </w:tc>
        <w:tc>
          <w:tcPr>
            <w:tcW w:type="dxa" w:w="4608"/>
            <w:vAlign w:val="top"/>
          </w:tcPr>
          <w:p>
            <w:pPr>
              <w:spacing w:after="0"/>
            </w:pPr>
            <w:r>
              <w:rPr>
                <w:sz w:val="16"/>
              </w:rPr>
              <w:t>No patch protocol</w:t>
            </w:r>
          </w:p>
        </w:tc>
      </w:tr>
      <w:tr>
        <w:trPr>
          <w:cantSplit w:val="true"/>
        </w:trPr>
        <w:tc>
          <w:tcPr>
            <w:tcW w:type="dxa" w:w="2088"/>
            <w:shd w:fill="F5F7F9"/>
            <w:vAlign w:val="top"/>
          </w:tcPr>
          <w:p>
            <w:pPr>
              <w:spacing w:after="0"/>
            </w:pPr>
            <w:r>
              <w:rPr>
                <w:sz w:val="16"/>
              </w:rPr>
              <w:t>LINK-RACE-1</w:t>
            </w:r>
          </w:p>
        </w:tc>
        <w:tc>
          <w:tcPr>
            <w:tcW w:type="dxa" w:w="2880"/>
            <w:vAlign w:val="top"/>
          </w:tcPr>
          <w:p>
            <w:pPr>
              <w:spacing w:after="0"/>
            </w:pPr>
            <w:r>
              <w:rPr>
                <w:sz w:val="16"/>
              </w:rPr>
              <w:t>rearm/reconciliation after send</w:t>
            </w:r>
          </w:p>
        </w:tc>
        <w:tc>
          <w:tcPr>
            <w:tcW w:type="dxa" w:w="2376"/>
            <w:vAlign w:val="top"/>
          </w:tcPr>
          <w:p>
            <w:pPr>
              <w:spacing w:after="0"/>
            </w:pPr>
            <w:r>
              <w:rPr>
                <w:sz w:val="16"/>
              </w:rPr>
              <w:t>Production notifier semantics won</w:t>
            </w:r>
          </w:p>
        </w:tc>
        <w:tc>
          <w:tcPr>
            <w:tcW w:type="dxa" w:w="4608"/>
            <w:vAlign w:val="top"/>
          </w:tcPr>
          <w:p>
            <w:pPr>
              <w:spacing w:after="0"/>
            </w:pPr>
            <w:r>
              <w:rPr>
                <w:sz w:val="16"/>
              </w:rPr>
              <w:t>Keep loop; isolated harness mechanism not authority</w:t>
            </w:r>
          </w:p>
        </w:tc>
      </w:tr>
    </w:tbl>
    <w:p>
      <w:pPr>
        <w:spacing w:after="20"/>
        <w:widowControl w:val="true"/>
      </w:pPr>
    </w:p>
    <w:p>
      <w:pPr>
        <w:widowControl w:val="true"/>
      </w:pPr>
      <w:r>
        <w:t>A recurring methodological pattern appeared here: an experiment could be useful even if the mechanism it tested did not survive. The winning invariant had to move into production conformance; the experimental harness itself did not automatically deserve permanence.</w:t>
      </w:r>
    </w:p>
    <w:tbl>
      <w:tblPr>
        <w:tblW w:type="auto" w:w="0"/>
        <w:jc w:val="center"/>
        <w:tblLayout w:type="autofit"/>
        <w:tblLook w:firstColumn="1" w:firstRow="1" w:lastColumn="0" w:lastRow="0" w:noHBand="0" w:noVBand="1" w:val="04A0"/>
      </w:tblPr>
      <w:tblGrid>
        <w:gridCol w:w="9994"/>
      </w:tblGrid>
      <w:tr>
        <w:tc>
          <w:tcPr>
            <w:tcW w:type="dxa" w:w="9994"/>
            <w:shd w:fill="EEF7F1"/>
            <w:tcBorders>
              <w:top w:val="single" w:sz="8" w:color="C9D2D9"/>
              <w:left w:val="single" w:sz="8" w:color="C9D2D9"/>
              <w:bottom w:val="single" w:sz="8" w:color="C9D2D9"/>
              <w:right w:val="single" w:sz="8" w:color="C9D2D9"/>
            </w:tcBorders>
            <w:vAlign w:val="center"/>
          </w:tcPr>
          <w:p>
            <w:r>
              <w:rPr>
                <w:b/>
                <w:color w:val="2D6A4F"/>
                <w:sz w:val="19"/>
              </w:rPr>
              <w:t>DEMARCATION THEOREM</w:t>
            </w:r>
            <w:r>
              <w:rPr>
                <w:color w:val="222222"/>
                <w:sz w:val="18"/>
              </w:rPr>
              <w:br/>
              <w:t>SignalTree exposes the link, not the machinery that makes the link causally correct. SignalTree decides when its state is causally settled. The application decides what to do about that state.</w:t>
            </w:r>
          </w:p>
        </w:tc>
      </w:tr>
    </w:tbl>
    <w:p>
      <w:pPr>
        <w:spacing w:after="0"/>
        <w:widowControl w:val="true"/>
      </w:pPr>
    </w:p>
    <w:p>
      <w:pPr>
        <w:pStyle w:val="Heading1"/>
        <w:widowControl w:val="true"/>
      </w:pPr>
      <w:r>
        <w:t>8. Phase IV — Production Link and contract freeze</w:t>
      </w:r>
    </w:p>
    <w:p>
      <w:pPr>
        <w:widowControl w:val="true"/>
      </w:pPr>
      <w:r>
        <w:t>Once the boundary was earned, Link moved from experimental harnesses into production. That transition mattered because earlier experiments often contained local implementations. A production feature is not proven by tests that never cross the production code path.</w:t>
      </w:r>
    </w:p>
    <w:p>
      <w:pPr>
        <w:widowControl w:val="true"/>
      </w:pPr>
      <w:r>
        <w:t>The production Link contract that emerged was intentionally small:</w:t>
      </w:r>
    </w:p>
    <w:p>
      <w:pPr>
        <w:pStyle w:val="CodeBlock"/>
      </w:pPr>
      <w:r>
        <w:t>link(source, endpoint): Link</w:t>
        <w:br/>
        <w:br/>
        <w:t>interface LinkEndpoint&lt;T&gt; {</w:t>
        <w:br/>
        <w:t xml:space="preserve">  get?(): T | Promise&lt;T&gt;;</w:t>
        <w:br/>
        <w:t xml:space="preserve">  set?(value: T): void | Promise&lt;void&gt;;</w:t>
        <w:br/>
        <w:t xml:space="preserve">  subscribe?(next: (value: T) =&gt; void): () =&gt; void;</w:t>
        <w:br/>
        <w:t>}</w:t>
        <w:br/>
        <w:br/>
        <w:t>interface Link {</w:t>
        <w:br/>
        <w:t xml:space="preserve">  retrieve(): Promise&lt;void&gt;;</w:t>
        <w:br/>
        <w:t xml:space="preserve">  settled(): Promise&lt;void&gt;;</w:t>
        <w:br/>
        <w:t xml:space="preserve">  dispose(): void;</w:t>
        <w:br/>
        <w:t>}</w:t>
      </w:r>
    </w:p>
    <w:p>
      <w:pPr>
        <w:widowControl w:val="true"/>
      </w:pPr>
      <w:r>
        <w:t>Key semantic decisions were frozen together with the type shape: explicit retrieve rather than auto-hydrate; serial outbound sends; successful set acts as acknowledgement; structural-equality echo suppression; full-value replacement; strong settlement; disposal releases waiters and suppresses late retrieval; no retry/backoff/status/clocks/CRDTs; no comparator; no modes; no patch semantics.</w:t>
      </w:r>
    </w:p>
    <w:p>
      <w:pPr>
        <w:widowControl w:val="true"/>
      </w:pPr>
      <w:r>
        <w:t>The collection work was especially clarifying. Internally, SignalTree could remain entity-granular, but the external Link boundary stayed complete `Row[]`. The boundary described synchronization truth, not internal mutation granularity.</w:t>
      </w:r>
    </w:p>
    <w:tbl>
      <w:tblPr>
        <w:tblW w:type="auto" w:w="0"/>
        <w:jc w:val="center"/>
        <w:tblLayout w:type="autofit"/>
        <w:tblLook w:firstColumn="1" w:firstRow="1" w:lastColumn="0" w:lastRow="0" w:noHBand="0" w:noVBand="1" w:val="04A0"/>
      </w:tblPr>
      <w:tblGrid>
        <w:gridCol w:w="9994"/>
      </w:tblGrid>
      <w:tr>
        <w:tc>
          <w:tcPr>
            <w:tcW w:type="dxa" w:w="9994"/>
            <w:shd w:fill="EEF7F1"/>
            <w:tcBorders>
              <w:top w:val="single" w:sz="8" w:color="C9D2D9"/>
              <w:left w:val="single" w:sz="8" w:color="C9D2D9"/>
              <w:bottom w:val="single" w:sz="8" w:color="C9D2D9"/>
              <w:right w:val="single" w:sz="8" w:color="C9D2D9"/>
            </w:tcBorders>
            <w:vAlign w:val="center"/>
          </w:tcPr>
          <w:p>
            <w:r>
              <w:rPr>
                <w:b/>
                <w:color w:val="2D6A4F"/>
                <w:sz w:val="19"/>
              </w:rPr>
              <w:t>PUBLIC CONTRACT FREEZE</w:t>
            </w:r>
            <w:r>
              <w:rPr>
                <w:color w:val="222222"/>
                <w:sz w:val="18"/>
              </w:rPr>
              <w:br/>
              <w:t>After production conformance and comparison/full-state closure, the Link public contract became FROZEN absent a new falsifier. Migration convenience was not allowed to widen it.</w:t>
            </w:r>
          </w:p>
        </w:tc>
      </w:tr>
    </w:tbl>
    <w:p>
      <w:pPr>
        <w:spacing w:after="0"/>
        <w:widowControl w:val="true"/>
      </w:pPr>
    </w:p>
    <w:p>
      <w:pPr>
        <w:pStyle w:val="Heading1"/>
        <w:widowControl w:val="true"/>
      </w:pPr>
      <w:r>
        <w:t>9. Phase V — The public error surface</w:t>
      </w:r>
    </w:p>
    <w:p>
      <w:pPr>
        <w:widowControl w:val="true"/>
      </w:pPr>
      <w:r>
        <w:t>The error work asked a deceptively small question: what is the smallest generic information SignalTree must expose when core-owned asynchronous consequences fail?</w:t>
      </w:r>
    </w:p>
    <w:p>
      <w:pPr>
        <w:widowControl w:val="true"/>
      </w:pPr>
      <w:r>
        <w:t>The answer was deliberately not a storage-shaped event or a Link-shaped event. The public event became generic:</w:t>
      </w:r>
    </w:p>
    <w:p>
      <w:pPr>
        <w:pStyle w:val="CodeBlock"/>
      </w:pPr>
      <w:r>
        <w:t>interface TreeErrorEvent {</w:t>
        <w:br/>
        <w:t xml:space="preserve">  readonly error: unknown;</w:t>
        <w:br/>
        <w:t xml:space="preserve">  readonly operation: string;</w:t>
        <w:br/>
        <w:t xml:space="preserve">  readonly treeId: TreeId;</w:t>
        <w:br/>
        <w:t xml:space="preserve">  readonly path?: string;</w:t>
        <w:br/>
        <w:t>}</w:t>
        <w:br/>
        <w:br/>
        <w:t>onTreeError(listener: (event: TreeErrorEvent) =&gt; void): () =&gt; void;</w:t>
      </w:r>
    </w:p>
    <w:p>
      <w:pPr>
        <w:widowControl w:val="true"/>
      </w:pPr>
      <w:r>
        <w:t>The event contains runtime tree identity and state/source location. Storage key was intentionally excluded because `path` must mean one thing. `source` and `detail` were removed rather than left as optional implementation leakage.</w:t>
      </w:r>
    </w:p>
    <w:p>
      <w:pPr>
        <w:widowControl w:val="true"/>
      </w:pPr>
      <w:r>
        <w:t>The producer work exposed another useful distinction: a generic public contract can remain correct even if, after migration, only one producer happens to remain. Public genericity is justified by the information model, not by maintaining an arbitrary producer count.</w:t>
      </w: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ERROR RULE</w:t>
            </w:r>
            <w:r>
              <w:rPr>
                <w:color w:val="222222"/>
                <w:sz w:val="18"/>
              </w:rPr>
              <w:br/>
              <w:t>Automatic SignalTree-owned asynchronous consequence failures may be globally observed. Explicitly awaited operations can reject their own caller. Storage-specific details remain with the adapter/application instead of widening the generic event.</w:t>
            </w:r>
          </w:p>
        </w:tc>
      </w:tr>
    </w:tbl>
    <w:p>
      <w:pPr>
        <w:spacing w:after="0"/>
        <w:widowControl w:val="true"/>
      </w:pPr>
    </w:p>
    <w:p>
      <w:pPr>
        <w:pStyle w:val="Heading1"/>
        <w:widowControl w:val="true"/>
      </w:pPr>
      <w:r>
        <w:t>10. Phase VI — Full-state comparison semantics</w:t>
      </w:r>
    </w:p>
    <w:p>
      <w:pPr>
        <w:widowControl w:val="true"/>
      </w:pPr>
      <w:r>
        <w:t>COMPARISON-FULL-STATE-0 settled a subtle ambiguity: “full state” describes the Link boundary, not SignalTree internal mutation granularity. An entity map may react granularly internally while exchanging complete `Row[]` snapshots externally.</w:t>
      </w:r>
    </w:p>
    <w:p>
      <w:pPr>
        <w:widowControl w:val="true"/>
      </w:pPr>
      <w:r>
        <w:t>One structural equality decision served both echo suppression and acknowledgement reconciliation. The project characterized the equality function instead of hand-waving “deep equal”: primitives use SameValueZero, arrays compare element-wise, plain objects key-wise, Date by time, RegExp by source/flags, Map/Set structurally, Error by name/message, boxed primitives structurally, cycles co-inductively to a bounded depth, functions by reference.</w:t>
      </w:r>
    </w:p>
    <w:p>
      <w:pPr>
        <w:widowControl w:val="true"/>
      </w:pPr>
      <w:r>
        <w:t>Mutation controls were critical. Reference equality killed several tests. Collection merge semantics killed collection tests. Partial types failed compile-time admission. Acquisition-echo and settlement mutations were killed. One loop-continuation mutation produced zero failures, so it was explicitly not used as deletion authority.</w:t>
      </w: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METHOD LESSON</w:t>
            </w:r>
            <w:r>
              <w:rPr>
                <w:color w:val="222222"/>
                <w:sz w:val="18"/>
              </w:rPr>
              <w:br/>
              <w:t>Mutation evidence is meaningful only when the mutation crosses the checker. A surviving mutation is evidence about the gate, not automatic evidence that the production code is redundant.</w:t>
            </w:r>
          </w:p>
        </w:tc>
      </w:tr>
    </w:tbl>
    <w:p>
      <w:pPr>
        <w:spacing w:after="0"/>
        <w:widowControl w:val="true"/>
      </w:pPr>
    </w:p>
    <w:p>
      <w:pPr>
        <w:pStyle w:val="Heading1"/>
        <w:widowControl w:val="true"/>
      </w:pPr>
      <w:r>
        <w:t>11. Phase VII — Consolidation and archaeological test removal</w:t>
      </w:r>
    </w:p>
    <w:p>
      <w:pPr>
        <w:widowControl w:val="true"/>
      </w:pPr>
      <w:r>
        <w:t>By the time production Link and the public error surface were frozen, the repository contained a large amount of experimental archaeology. CONSOLIDATION-0 asked which tests still protected production and which merely preserved the history of discovery.</w:t>
      </w:r>
    </w:p>
    <w:p>
      <w:pPr>
        <w:widowControl w:val="true"/>
      </w:pPr>
      <w:r>
        <w:t>The decisive experiment was intentionally catastrophic: mutate production Link so outbound never arms. Nine production-facing spec files failed. Three elaborate historical mode harnesses failed zero tests because they carried their own local Link implementation.</w:t>
      </w:r>
    </w:p>
    <w:p>
      <w:pPr>
        <w:widowControl w:val="true"/>
      </w:pPr>
      <w:r>
        <w:t>That result justified deleting the local experimental harnesses while retaining their winning invariants in production-facing conformance. Error archaeology was similarly consolidated: older experiment-specific specs were removed or renamed into durable behavioral contracts.</w:t>
      </w:r>
    </w:p>
    <w:p>
      <w:pPr>
        <w:widowControl w:val="true"/>
      </w:pPr>
      <w:r>
        <w:t>The result reduced source-text assertions and retired dozens of archaeological tests with zero production/API changes. The key insight was not “fewer tests are better.” It was that the suite became more honest about which tests were authoritative.</w:t>
      </w: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ARCHAEOLOGY RULE</w:t>
            </w:r>
            <w:r>
              <w:rPr>
                <w:color w:val="222222"/>
                <w:sz w:val="18"/>
              </w:rPr>
              <w:br/>
              <w:t>A test can be sophisticated, expensive, and historically important while providing zero protection against a production regression. Preserve the finding; do not automatically preserve the harness.</w:t>
            </w:r>
          </w:p>
        </w:tc>
      </w:tr>
    </w:tbl>
    <w:p>
      <w:pPr>
        <w:spacing w:after="0"/>
        <w:widowControl w:val="true"/>
      </w:pPr>
    </w:p>
    <w:p>
      <w:pPr>
        <w:pStyle w:val="Heading1"/>
        <w:widowControl w:val="true"/>
      </w:pPr>
      <w:r>
        <w:t>12. Phase VIII — Migration-map correction and package reachability</w:t>
      </w:r>
    </w:p>
    <w:p>
      <w:pPr>
        <w:widowControl w:val="true"/>
      </w:pPr>
      <w:r>
        <w:t>Before deleting old primitives, the project built a migration map that classified symbols by package reachability and live consumer category. This corrected a major assumption: several marker-era primitives existed in source barrels but were not actually reachable from the published package surface.</w:t>
      </w:r>
    </w:p>
    <w:p>
      <w:pPr>
        <w:widowControl w:val="true"/>
      </w:pPr>
      <w:r>
        <w:t>That distinction changed the migration risk model. Retiring `asyncQuery`, `asyncSource`, `stored`, `loader`, and related helpers was not automatically a public breaking change just because the symbols existed internally or in old documentation.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18324A"/>
            <w:vAlign w:val="center"/>
          </w:tcPr>
          <w:p>
            <w:r>
              <w:rPr>
                <w:b/>
                <w:color w:val="FFFFFF"/>
                <w:sz w:val="17"/>
              </w:rPr>
              <w:t>Classification</w:t>
            </w:r>
          </w:p>
        </w:tc>
        <w:tc>
          <w:tcPr>
            <w:tcW w:type="dxa" w:w="7344"/>
            <w:shd w:fill="18324A"/>
            <w:vAlign w:val="center"/>
          </w:tcPr>
          <w:p>
            <w:r>
              <w:rPr>
                <w:b/>
                <w:color w:val="FFFFFF"/>
                <w:sz w:val="17"/>
              </w:rPr>
              <w:t>Meaning</w:t>
            </w:r>
          </w:p>
        </w:tc>
      </w:tr>
      <w:tr>
        <w:trPr>
          <w:cantSplit w:val="true"/>
        </w:trPr>
        <w:tc>
          <w:tcPr>
            <w:tcW w:type="dxa" w:w="3024"/>
            <w:shd w:fill="F5F7F9"/>
            <w:vAlign w:val="top"/>
          </w:tcPr>
          <w:p>
            <w:pPr>
              <w:spacing w:after="0"/>
            </w:pPr>
            <w:r>
              <w:rPr>
                <w:sz w:val="17"/>
              </w:rPr>
              <w:t>PUBLIC ROOT</w:t>
            </w:r>
          </w:p>
        </w:tc>
        <w:tc>
          <w:tcPr>
            <w:tcW w:type="dxa" w:w="7344"/>
            <w:vAlign w:val="top"/>
          </w:tcPr>
          <w:p>
            <w:pPr>
              <w:spacing w:after="0"/>
            </w:pPr>
            <w:r>
              <w:rPr>
                <w:sz w:val="17"/>
              </w:rPr>
              <w:t>Reachable from supported package root</w:t>
            </w:r>
          </w:p>
        </w:tc>
      </w:tr>
      <w:tr>
        <w:trPr>
          <w:cantSplit w:val="true"/>
        </w:trPr>
        <w:tc>
          <w:tcPr>
            <w:tcW w:type="dxa" w:w="3024"/>
            <w:shd w:fill="F5F7F9"/>
            <w:vAlign w:val="top"/>
          </w:tcPr>
          <w:p>
            <w:pPr>
              <w:spacing w:after="0"/>
            </w:pPr>
            <w:r>
              <w:rPr>
                <w:sz w:val="17"/>
              </w:rPr>
              <w:t>PUBLIC SECONDARY / DEEP</w:t>
            </w:r>
          </w:p>
        </w:tc>
        <w:tc>
          <w:tcPr>
            <w:tcW w:type="dxa" w:w="7344"/>
            <w:vAlign w:val="top"/>
          </w:tcPr>
          <w:p>
            <w:pPr>
              <w:spacing w:after="0"/>
            </w:pPr>
            <w:r>
              <w:rPr>
                <w:sz w:val="17"/>
              </w:rPr>
              <w:t>Supported through an intentional package subpath</w:t>
            </w:r>
          </w:p>
        </w:tc>
      </w:tr>
      <w:tr>
        <w:trPr>
          <w:cantSplit w:val="true"/>
        </w:trPr>
        <w:tc>
          <w:tcPr>
            <w:tcW w:type="dxa" w:w="3024"/>
            <w:shd w:fill="F5F7F9"/>
            <w:vAlign w:val="top"/>
          </w:tcPr>
          <w:p>
            <w:pPr>
              <w:spacing w:after="0"/>
            </w:pPr>
            <w:r>
              <w:rPr>
                <w:sz w:val="17"/>
              </w:rPr>
              <w:t>INTERNAL</w:t>
            </w:r>
          </w:p>
        </w:tc>
        <w:tc>
          <w:tcPr>
            <w:tcW w:type="dxa" w:w="7344"/>
            <w:vAlign w:val="top"/>
          </w:tcPr>
          <w:p>
            <w:pPr>
              <w:spacing w:after="0"/>
            </w:pPr>
            <w:r>
              <w:rPr>
                <w:sz w:val="17"/>
              </w:rPr>
              <w:t>Implementation only</w:t>
            </w:r>
          </w:p>
        </w:tc>
      </w:tr>
      <w:tr>
        <w:trPr>
          <w:cantSplit w:val="true"/>
        </w:trPr>
        <w:tc>
          <w:tcPr>
            <w:tcW w:type="dxa" w:w="3024"/>
            <w:shd w:fill="F5F7F9"/>
            <w:vAlign w:val="top"/>
          </w:tcPr>
          <w:p>
            <w:pPr>
              <w:spacing w:after="0"/>
            </w:pPr>
            <w:r>
              <w:rPr>
                <w:sz w:val="17"/>
              </w:rPr>
              <w:t>DEMO USE</w:t>
            </w:r>
          </w:p>
        </w:tc>
        <w:tc>
          <w:tcPr>
            <w:tcW w:type="dxa" w:w="7344"/>
            <w:vAlign w:val="top"/>
          </w:tcPr>
          <w:p>
            <w:pPr>
              <w:spacing w:after="0"/>
            </w:pPr>
            <w:r>
              <w:rPr>
                <w:sz w:val="17"/>
              </w:rPr>
              <w:t>Live teaching/example dependency</w:t>
            </w:r>
          </w:p>
        </w:tc>
      </w:tr>
      <w:tr>
        <w:trPr>
          <w:cantSplit w:val="true"/>
        </w:trPr>
        <w:tc>
          <w:tcPr>
            <w:tcW w:type="dxa" w:w="3024"/>
            <w:shd w:fill="F5F7F9"/>
            <w:vAlign w:val="top"/>
          </w:tcPr>
          <w:p>
            <w:pPr>
              <w:spacing w:after="0"/>
            </w:pPr>
            <w:r>
              <w:rPr>
                <w:sz w:val="17"/>
              </w:rPr>
              <w:t>DOCS USE</w:t>
            </w:r>
          </w:p>
        </w:tc>
        <w:tc>
          <w:tcPr>
            <w:tcW w:type="dxa" w:w="7344"/>
            <w:vAlign w:val="top"/>
          </w:tcPr>
          <w:p>
            <w:pPr>
              <w:spacing w:after="0"/>
            </w:pPr>
            <w:r>
              <w:rPr>
                <w:sz w:val="17"/>
              </w:rPr>
              <w:t>Current documentation dependency</w:t>
            </w:r>
          </w:p>
        </w:tc>
      </w:tr>
      <w:tr>
        <w:trPr>
          <w:cantSplit w:val="true"/>
        </w:trPr>
        <w:tc>
          <w:tcPr>
            <w:tcW w:type="dxa" w:w="3024"/>
            <w:shd w:fill="F5F7F9"/>
            <w:vAlign w:val="top"/>
          </w:tcPr>
          <w:p>
            <w:pPr>
              <w:spacing w:after="0"/>
            </w:pPr>
            <w:r>
              <w:rPr>
                <w:sz w:val="17"/>
              </w:rPr>
              <w:t>TOOL / RELEASE-GATE USE</w:t>
            </w:r>
          </w:p>
        </w:tc>
        <w:tc>
          <w:tcPr>
            <w:tcW w:type="dxa" w:w="7344"/>
            <w:vAlign w:val="top"/>
          </w:tcPr>
          <w:p>
            <w:pPr>
              <w:spacing w:after="0"/>
            </w:pPr>
            <w:r>
              <w:rPr>
                <w:sz w:val="17"/>
              </w:rPr>
              <w:t>Automation that may still teach or assert the symbol</w:t>
            </w:r>
          </w:p>
        </w:tc>
      </w:tr>
      <w:tr>
        <w:trPr>
          <w:cantSplit w:val="true"/>
        </w:trPr>
        <w:tc>
          <w:tcPr>
            <w:tcW w:type="dxa" w:w="3024"/>
            <w:shd w:fill="F5F7F9"/>
            <w:vAlign w:val="top"/>
          </w:tcPr>
          <w:p>
            <w:pPr>
              <w:spacing w:after="0"/>
            </w:pPr>
            <w:r>
              <w:rPr>
                <w:sz w:val="17"/>
              </w:rPr>
              <w:t>TEST-ONLY</w:t>
            </w:r>
          </w:p>
        </w:tc>
        <w:tc>
          <w:tcPr>
            <w:tcW w:type="dxa" w:w="7344"/>
            <w:vAlign w:val="top"/>
          </w:tcPr>
          <w:p>
            <w:pPr>
              <w:spacing w:after="0"/>
            </w:pPr>
            <w:r>
              <w:rPr>
                <w:sz w:val="17"/>
              </w:rPr>
              <w:t>No runtime consumer</w:t>
            </w:r>
          </w:p>
        </w:tc>
      </w:tr>
      <w:tr>
        <w:trPr>
          <w:cantSplit w:val="true"/>
        </w:trPr>
        <w:tc>
          <w:tcPr>
            <w:tcW w:type="dxa" w:w="3024"/>
            <w:shd w:fill="F5F7F9"/>
            <w:vAlign w:val="top"/>
          </w:tcPr>
          <w:p>
            <w:pPr>
              <w:spacing w:after="0"/>
            </w:pPr>
            <w:r>
              <w:rPr>
                <w:sz w:val="17"/>
              </w:rPr>
              <w:t>PRODUCTION CONSUMER USE</w:t>
            </w:r>
          </w:p>
        </w:tc>
        <w:tc>
          <w:tcPr>
            <w:tcW w:type="dxa" w:w="7344"/>
            <w:vAlign w:val="top"/>
          </w:tcPr>
          <w:p>
            <w:pPr>
              <w:spacing w:after="0"/>
            </w:pPr>
            <w:r>
              <w:rPr>
                <w:sz w:val="17"/>
              </w:rPr>
              <w:t>External real application dependency</w:t>
            </w:r>
          </w:p>
        </w:tc>
      </w:tr>
    </w:tbl>
    <w:p>
      <w:pPr>
        <w:spacing w:after="20"/>
        <w:widowControl w:val="true"/>
      </w:pPr>
    </w:p>
    <w:p>
      <w:pPr>
        <w:widowControl w:val="true"/>
      </w:pPr>
      <w:r>
        <w:t>The migration-map work also established a new discipline: “not root-exported” is not by itself enough to call a symbol unsupported. The exports map, supported secondary entrypoints, documentation, and consumer fixtures all matter.</w:t>
      </w:r>
    </w:p>
    <w:p>
      <w:pPr>
        <w:pStyle w:val="Heading1"/>
        <w:widowControl w:val="true"/>
      </w:pPr>
      <w:r>
        <w:t>13. Phase IX — asyncQuery: deletion earned, lesson preserved</w:t>
      </w:r>
    </w:p>
    <w:p>
      <w:pPr>
        <w:widowControl w:val="true"/>
      </w:pPr>
      <w:r>
        <w:t>ASYNC-QUERY-DECIDE-0 is the cleanest example of an abstraction failing the ownership test.</w:t>
      </w:r>
    </w:p>
    <w:p>
      <w:pPr>
        <w:pStyle w:val="CodeBlock"/>
      </w:pPr>
      <w:r>
        <w:t>debounce            debounceTime</w:t>
        <w:br/>
        <w:t>dedup               distinctUntilChanged</w:t>
        <w:br/>
        <w:t>stale suppression   switchMap</w:t>
        <w:br/>
        <w:t>cancellation        switchMap</w:t>
      </w:r>
    </w:p>
    <w:p>
      <w:pPr>
        <w:widowControl w:val="true"/>
      </w:pPr>
      <w:r>
        <w:t>Direct search found no causal integration: no position registry, transaction authority, external authorship, or global error producer. A slow-A / fast-B discriminator produced the same latest-wins result with a plain RxJS pipeline and no SignalTree at all. A bypass probe broke only `asyncQuery`'s own behavior specs.</w:t>
      </w:r>
    </w:p>
    <w:tbl>
      <w:tblPr>
        <w:tblW w:type="auto" w:w="0"/>
        <w:jc w:val="center"/>
        <w:tblLayout w:type="autofit"/>
        <w:tblLook w:firstColumn="1" w:firstRow="1" w:lastColumn="0" w:lastRow="0" w:noHBand="0" w:noVBand="1" w:val="04A0"/>
      </w:tblPr>
      <w:tblGrid>
        <w:gridCol w:w="9994"/>
      </w:tblGrid>
      <w:tr>
        <w:tc>
          <w:tcPr>
            <w:tcW w:type="dxa" w:w="9994"/>
            <w:shd w:fill="EEF7F1"/>
            <w:tcBorders>
              <w:top w:val="single" w:sz="8" w:color="C9D2D9"/>
              <w:left w:val="single" w:sz="8" w:color="C9D2D9"/>
              <w:bottom w:val="single" w:sz="8" w:color="C9D2D9"/>
              <w:right w:val="single" w:sz="8" w:color="C9D2D9"/>
            </w:tcBorders>
            <w:vAlign w:val="center"/>
          </w:tcPr>
          <w:p>
            <w:r>
              <w:rPr>
                <w:b/>
                <w:color w:val="2D6A4F"/>
                <w:sz w:val="19"/>
              </w:rPr>
              <w:t>DECISION</w:t>
            </w:r>
            <w:r>
              <w:rPr>
                <w:color w:val="222222"/>
                <w:sz w:val="18"/>
              </w:rPr>
              <w:br/>
              <w:t>`asyncQuery` did not own asynchronous query semantics; it packaged an RxJS composition inside a SignalTree marker.</w:t>
            </w:r>
          </w:p>
        </w:tc>
      </w:tr>
    </w:tbl>
    <w:p>
      <w:pPr>
        <w:spacing w:after="0"/>
        <w:widowControl w:val="true"/>
      </w:pPr>
    </w:p>
    <w:p>
      <w:pPr>
        <w:widowControl w:val="true"/>
      </w:pPr>
      <w:r>
        <w:t>The retirement then produced one of the most valuable corrections in the program. The demo rewrite initially handled request errors at the outer subscriber. A new recovery test failed: after the first error, the pipeline silently stopped responding. The retired primitive had contained a correct operational guard—catching each request error inside `switchMap`—even though the primitive itself owned no architecture.</w:t>
      </w:r>
    </w:p>
    <w:p>
      <w:pPr>
        <w:widowControl w:val="true"/>
      </w:pPr>
      <w:r>
        <w:t>The replacement was corrected, and the lesson became explicit: architectural deletion does not authorize discarding implementation knowledge.</w:t>
      </w:r>
    </w:p>
    <w:p>
      <w:pPr>
        <w:widowControl w:val="true"/>
      </w:pPr>
      <w:r>
        <w:t>The same retirement also exposed generic type machinery that had become unreachable. `DemoteWritable` was deleted after all surviving reader allowlists were proven to contain only plain `Signal`s or values. No synthetic marker was invented merely to keep a generic branch alive.</w:t>
      </w:r>
    </w:p>
    <w:p>
      <w:pPr>
        <w:pStyle w:val="Heading1"/>
        <w:widowControl w:val="true"/>
      </w:pPr>
      <w:r>
        <w:t>14. Phase X — loader: the deletion template is falsified</w:t>
      </w:r>
    </w:p>
    <w:p>
      <w:pPr>
        <w:widowControl w:val="true"/>
      </w:pPr>
      <w:r>
        <w:t>The next retirement intentionally began with an aggressive null: loader probably had no unique SignalTree semantic authority and could be decomposed into application async, `external()`, or Link.</w:t>
      </w:r>
    </w:p>
    <w:p>
      <w:pPr>
        <w:widowControl w:val="true"/>
      </w:pPr>
      <w:r>
        <w:t>That null was wrong.</w:t>
      </w:r>
    </w:p>
    <w:p>
      <w:pPr>
        <w:widowControl w:val="true"/>
      </w:pPr>
      <w:r>
        <w:t>Inventory showed that `loader()` was not a standalone async marker at all. It was an `entityMap` feature, backed by a substantial `entity-loader` implementation. It contained stale-time policy, stale-while-revalidate behavior, tag invalidation, equality, lazy loading, scoped persistence, and persisted-scope garbage collection.</w:t>
      </w:r>
    </w:p>
    <w:p>
      <w:pPr>
        <w:widowControl w:val="true"/>
      </w:pPr>
      <w:r>
        <w:t>The critical result was nuanced: loader still had no unique causal authority, but it absolutely had meaningful user-facing capability. The classification template had omitted a CACHE / REMOTE-DATA POLICY bucket.</w:t>
      </w:r>
    </w:p>
    <w:tbl>
      <w:tblPr>
        <w:tblW w:type="auto" w:w="0"/>
        <w:jc w:val="center"/>
        <w:tblLayout w:type="autofit"/>
        <w:tblLook w:firstColumn="1" w:firstRow="1" w:lastColumn="0" w:lastRow="0" w:noHBand="0" w:noVBand="1" w:val="04A0"/>
      </w:tblPr>
      <w:tblGrid>
        <w:gridCol w:w="9994"/>
      </w:tblGrid>
      <w:tr>
        <w:tc>
          <w:tcPr>
            <w:tcW w:type="dxa" w:w="9994"/>
            <w:shd w:fill="FBEDEA"/>
            <w:tcBorders>
              <w:top w:val="single" w:sz="8" w:color="C9D2D9"/>
              <w:left w:val="single" w:sz="8" w:color="C9D2D9"/>
              <w:bottom w:val="single" w:sz="8" w:color="C9D2D9"/>
              <w:right w:val="single" w:sz="8" w:color="C9D2D9"/>
            </w:tcBorders>
            <w:vAlign w:val="center"/>
          </w:tcPr>
          <w:p>
            <w:r>
              <w:rPr>
                <w:b/>
                <w:color w:val="A33A2B"/>
                <w:sz w:val="19"/>
              </w:rPr>
              <w:t>FALSIFIER FIRED</w:t>
            </w:r>
            <w:r>
              <w:rPr>
                <w:color w:val="222222"/>
                <w:sz w:val="18"/>
              </w:rPr>
              <w:br/>
              <w:t>No causal authority != no capability. The experiment stopped before deletion. The correct response to an incomplete classification model was to repair the model, not rationalize the planned deletion.</w:t>
            </w:r>
          </w:p>
        </w:tc>
      </w:tr>
    </w:tbl>
    <w:p>
      <w:pPr>
        <w:spacing w:after="0"/>
        <w:widowControl w:val="true"/>
      </w:pPr>
    </w:p>
    <w:p>
      <w:pPr>
        <w:widowControl w:val="true"/>
      </w:pPr>
      <w:r>
        <w:t>This single result changed the migration sequence. Loader was held while the genuinely independent `asyncSource` retirement proceeded and persistence ownership was decomposed separately. The case is a direct example of the protocol preventing a destructive “cleanup” that looked obvious by analogy.</w:t>
      </w:r>
    </w:p>
    <w:p>
      <w:pPr>
        <w:pStyle w:val="Heading1"/>
        <w:widowControl w:val="true"/>
      </w:pPr>
      <w:r>
        <w:t>15. Phase XI — asyncSource: retirement with semantic corrections</w:t>
      </w:r>
    </w:p>
    <w:p>
      <w:pPr>
        <w:widowControl w:val="true"/>
      </w:pPr>
      <w:r>
        <w:t>ASYNC-SOURCE-RETIRE-1 found no falsifier to deletion. Most references were plumbing or comments; the live implementation did not own transaction, history, tree identity, or global error semantics. But the retirement still surfaced two nontrivial behavioral facts.</w:t>
      </w:r>
    </w:p>
    <w:p>
      <w:pPr>
        <w:widowControl w:val="true"/>
      </w:pPr>
      <w:r>
        <w:t>First, stale-result behavior differed by async mechanism:</w:t>
      </w:r>
    </w:p>
    <w:p>
      <w:pPr>
        <w:pStyle w:val="CodeBlock"/>
      </w:pPr>
      <w:r>
        <w:t>Promise path      slow A, fast B later  -&gt; final A   (stale result wins)</w:t>
        <w:br/>
        <w:t>Observable path   slow A, fast B later  -&gt; final B   (latest-wins)</w:t>
      </w:r>
    </w:p>
    <w:p>
      <w:pPr>
        <w:widowControl w:val="true"/>
      </w:pPr>
      <w:r>
        <w:t>The difference came from mechanism: Observable loads unsubscribed the previous request; Promises could not be cancelled and had no sequence guard. The migration therefore recorded a FIX rather than falsely claiming perfect semantic preservation.</w:t>
      </w:r>
    </w:p>
    <w:p>
      <w:pPr>
        <w:widowControl w:val="true"/>
      </w:pPr>
      <w:r>
        <w:t>Second, recovery was naturally safe because each `runLoad()` created a fresh subscription. The asyncQuery retirement had shown why this must be measured rather than assumed.</w:t>
      </w:r>
    </w:p>
    <w:p>
      <w:pPr>
        <w:widowControl w:val="true"/>
      </w:pPr>
      <w:r>
        <w:t>The bypass probe also failed several generic hydration/SSR tests. Instead of deleting those with the primitive, the invariants were migrated onto a surviving loader-backed `entityMap`. Other rows were retired honestly because their subject disappeared.</w:t>
      </w: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MIGRATION RULE</w:t>
            </w:r>
            <w:r>
              <w:rPr>
                <w:color w:val="222222"/>
                <w:sz w:val="18"/>
              </w:rPr>
              <w:br/>
              <w:t>When a primitive disappears, classify every failing test: primitive-specific, generic invariant, demo lesson, source-text archaeology, or independent consumer behavior. Migrate the invariant; delete the subject-specific assertion.</w:t>
            </w:r>
          </w:p>
        </w:tc>
      </w:tr>
    </w:tbl>
    <w:p>
      <w:pPr>
        <w:spacing w:after="0"/>
        <w:widowControl w:val="true"/>
      </w:pPr>
    </w:p>
    <w:p>
      <w:pPr>
        <w:pStyle w:val="Heading1"/>
        <w:widowControl w:val="true"/>
      </w:pPr>
      <w:r>
        <w:t>16. Phase XII — Persistence decomposition under a frozen Link API</w:t>
      </w:r>
    </w:p>
    <w:p>
      <w:pPr>
        <w:widowControl w:val="true"/>
      </w:pPr>
      <w:r>
        <w:t>Persistence was the most demanding decomposition because `stored()` bundled a relationship with many policies: storage backend, key, codec, versioning, migration, write scheduling, global flush, clear/remove, local error hooks, and transaction-aware durability.</w:t>
      </w:r>
    </w:p>
    <w:p>
      <w:pPr>
        <w:widowControl w:val="true"/>
      </w:pPr>
      <w:r>
        <w:t>The phase began with an important constraint: the public Link contract was already frozen. The experiment was not allowed to make persistence easy by widening Link. Instead, it asked whether ordinary `LinkEndpoint&lt;T&gt;` plus application/adapter policy could express the required semantics.</w:t>
      </w:r>
    </w:p>
    <w:p>
      <w:pPr>
        <w:widowControl w:val="true"/>
      </w:pPr>
      <w:r>
        <w:t>The strongest falsifier was transaction rollback. A first assertion expected zero durable writes after rollback and failed. The only durable write was the post-rollback committed value. That correction mattered: rollback itself is a state change, so Link reconciliation can legitimately send committed truth. The real invariant is that no speculative value becomes durable.</w:t>
      </w:r>
    </w:p>
    <w:p>
      <w:pPr>
        <w:widowControl w:val="true"/>
      </w:pPr>
      <w:r>
        <w:t>Settlement then became the local durability mechanism: if endpoint `set()` resolves only when durable storage actually completes, `await link.settled()` waits for durability. This eliminates the architectural need for a process-wide `flushAllStoredSignals()` drain.</w:t>
      </w:r>
    </w:p>
    <w:p>
      <w:pPr>
        <w:widowControl w:val="true"/>
      </w:pPr>
      <w:r>
        <w:t>A later instrumentation pass corrected another overclaim. The first prototype said rapid A/B/C writes were “coalesced by the endpoint.” Count/timing instrumentation showed two durable writes—A and C—while B never reached `set()`. The coalescing belonged to Link’s serialized reconciliation loop. The endpoint timer provided write-rate reduction, not coalescing.</w:t>
      </w:r>
    </w:p>
    <w:p>
      <w:pPr>
        <w:pStyle w:val="CodeBlock"/>
      </w:pPr>
      <w:r>
        <w:t>authored: A @ t0, B @ t20, C @ t40</w:t>
        <w:br/>
        <w:t>endpoint timer: 50ms</w:t>
        <w:br/>
        <w:br/>
        <w:t>set(A) invoked  -&gt; durable A</w:t>
        <w:br/>
        <w:t>B never reaches endpoint</w:t>
        <w:br/>
        <w:t>set(C) invoked  -&gt; durable C</w:t>
        <w:br/>
        <w:br/>
        <w:t>Conclusion:</w:t>
        <w:br/>
        <w:t xml:space="preserve">  Link = serial reconciliation + intermediate-truth skipping</w:t>
        <w:br/>
        <w:t xml:space="preserve">  endpoint = optional time-based write-rate policy</w:t>
      </w:r>
    </w:p>
    <w:p>
      <w:pPr>
        <w:widowControl w:val="true"/>
      </w:pPr>
      <w:r>
        <w:t>Continuous-write experiments then showed why `maxWaitMs` no longer needed a counterpart for starvation prevention: Link does not restart one shared debounce timer forever. It serially completes a send and then sends whatever truth is current. The broader claim was deliberately narrowed: Link removes the starvation argument for `maxWaitMs`; it does not make all write-rate policy redundant.</w:t>
      </w:r>
    </w:p>
    <w:p>
      <w:pPr>
        <w:widowControl w:val="true"/>
      </w:pPr>
      <w:r>
        <w:t>Codec and migration were proven to live entirely outside Link. A real round-trip test used endpoint-owned encode/decode against a fresh tree. Malformed durable values rejected explicit `retrieve()` and left state unchanged. A repaired backend could be retrieved again.</w:t>
      </w:r>
    </w:p>
    <w:p>
      <w:pPr>
        <w:widowControl w:val="true"/>
      </w:pPr>
      <w:r>
        <w:t>The error boundary held: automatic outbound `set()` failure reached `onTreeError` with state path, never storage key; explicit failing `retrieve()` rejected its caller. Storage-specific detail remained outside the generic tree event.</w:t>
      </w:r>
    </w:p>
    <w:p>
      <w:pPr>
        <w:widowControl w:val="true"/>
      </w:pPr>
      <w:r>
        <w:t>Clear/remove decomposition exposed a real ergonomic cost. Writing the default is not equivalent to removing durable state. If removal happens while Link remains active, reconciliation can write the current value back. The measured destructive-clear ordering became: reset intended state → await settlement → dispose relationship → remove durable bytes. Whether continuing persistence requires relinking was intentionally deferred to the retirement pin rather than hidden.</w:t>
      </w:r>
    </w:p>
    <w:p>
      <w:pPr>
        <w:sectPr>
          <w:pgSz w:w="12240" w:h="15840"/>
          <w:pgMar w:top="1037" w:right="1123" w:bottom="1037" w:left="1123" w:header="403" w:footer="403" w:gutter="0"/>
          <w:cols w:space="720"/>
          <w:docGrid w:linePitch="360"/>
        </w:sectPr>
        <w:widowControl w:val="true"/>
      </w:pPr>
    </w:p>
    <w:p>
      <w:pPr>
        <w:pStyle w:val="Heading2"/>
        <w:widowControl w:val="true"/>
      </w:pPr>
      <w:r>
        <w:t>16.1 Persistence overlap matrix</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160"/>
            <w:shd w:fill="18324A"/>
            <w:vAlign w:val="center"/>
          </w:tcPr>
          <w:p>
            <w:r>
              <w:rPr>
                <w:b/>
                <w:color w:val="FFFFFF"/>
                <w:sz w:val="15"/>
              </w:rPr>
              <w:t>Concept</w:t>
            </w:r>
          </w:p>
        </w:tc>
        <w:tc>
          <w:tcPr>
            <w:tcW w:type="dxa" w:w="4032"/>
            <w:shd w:fill="18324A"/>
            <w:vAlign w:val="center"/>
          </w:tcPr>
          <w:p>
            <w:r>
              <w:rPr>
                <w:b/>
                <w:color w:val="FFFFFF"/>
                <w:sz w:val="15"/>
              </w:rPr>
              <w:t>stored</w:t>
            </w:r>
          </w:p>
        </w:tc>
        <w:tc>
          <w:tcPr>
            <w:tcW w:type="dxa" w:w="4176"/>
            <w:shd w:fill="18324A"/>
            <w:vAlign w:val="center"/>
          </w:tcPr>
          <w:p>
            <w:r>
              <w:rPr>
                <w:b/>
                <w:color w:val="FFFFFF"/>
                <w:sz w:val="15"/>
              </w:rPr>
              <w:t>loader.persist</w:t>
            </w:r>
          </w:p>
        </w:tc>
        <w:tc>
          <w:tcPr>
            <w:tcW w:type="dxa" w:w="4608"/>
            <w:shd w:fill="18324A"/>
            <w:vAlign w:val="center"/>
          </w:tcPr>
          <w:p>
            <w:r>
              <w:rPr>
                <w:b/>
                <w:color w:val="FFFFFF"/>
                <w:sz w:val="15"/>
              </w:rPr>
              <w:t>Disposition insight</w:t>
            </w:r>
          </w:p>
        </w:tc>
      </w:tr>
      <w:tr>
        <w:trPr>
          <w:cantSplit w:val="true"/>
        </w:trPr>
        <w:tc>
          <w:tcPr>
            <w:tcW w:type="dxa" w:w="2160"/>
            <w:shd w:fill="F5F7F9"/>
            <w:vAlign w:val="top"/>
          </w:tcPr>
          <w:p>
            <w:pPr>
              <w:spacing w:after="0"/>
            </w:pPr>
            <w:r>
              <w:rPr>
                <w:sz w:val="15"/>
              </w:rPr>
              <w:t>Storage backend</w:t>
            </w:r>
          </w:p>
        </w:tc>
        <w:tc>
          <w:tcPr>
            <w:tcW w:type="dxa" w:w="4032"/>
            <w:vAlign w:val="top"/>
          </w:tcPr>
          <w:p>
            <w:pPr>
              <w:spacing w:after="0"/>
            </w:pPr>
            <w:r>
              <w:rPr>
                <w:sz w:val="15"/>
              </w:rPr>
              <w:t>Injected Storage</w:t>
            </w:r>
          </w:p>
        </w:tc>
        <w:tc>
          <w:tcPr>
            <w:tcW w:type="dxa" w:w="4176"/>
            <w:vAlign w:val="top"/>
          </w:tcPr>
          <w:p>
            <w:pPr>
              <w:spacing w:after="0"/>
            </w:pPr>
            <w:r>
              <w:rPr>
                <w:sz w:val="15"/>
              </w:rPr>
              <w:t>EntityStorageAdapter</w:t>
            </w:r>
          </w:p>
        </w:tc>
        <w:tc>
          <w:tcPr>
            <w:tcW w:type="dxa" w:w="4608"/>
            <w:vAlign w:val="top"/>
          </w:tcPr>
          <w:p>
            <w:pPr>
              <w:spacing w:after="0"/>
            </w:pPr>
            <w:r>
              <w:rPr>
                <w:sz w:val="15"/>
              </w:rPr>
              <w:t>Same low-level concept</w:t>
            </w:r>
          </w:p>
        </w:tc>
      </w:tr>
      <w:tr>
        <w:trPr>
          <w:cantSplit w:val="true"/>
        </w:trPr>
        <w:tc>
          <w:tcPr>
            <w:tcW w:type="dxa" w:w="2160"/>
            <w:shd w:fill="F5F7F9"/>
            <w:vAlign w:val="top"/>
          </w:tcPr>
          <w:p>
            <w:pPr>
              <w:spacing w:after="0"/>
            </w:pPr>
            <w:r>
              <w:rPr>
                <w:sz w:val="15"/>
              </w:rPr>
              <w:t>Address / key</w:t>
            </w:r>
          </w:p>
        </w:tc>
        <w:tc>
          <w:tcPr>
            <w:tcW w:type="dxa" w:w="4032"/>
            <w:vAlign w:val="top"/>
          </w:tcPr>
          <w:p>
            <w:pPr>
              <w:spacing w:after="0"/>
            </w:pPr>
            <w:r>
              <w:rPr>
                <w:sz w:val="15"/>
              </w:rPr>
              <w:t>`key`</w:t>
            </w:r>
          </w:p>
        </w:tc>
        <w:tc>
          <w:tcPr>
            <w:tcW w:type="dxa" w:w="4176"/>
            <w:vAlign w:val="top"/>
          </w:tcPr>
          <w:p>
            <w:pPr>
              <w:spacing w:after="0"/>
            </w:pPr>
            <w:r>
              <w:rPr>
                <w:sz w:val="15"/>
              </w:rPr>
              <w:t>`key` + scope suffix</w:t>
            </w:r>
          </w:p>
        </w:tc>
        <w:tc>
          <w:tcPr>
            <w:tcW w:type="dxa" w:w="4608"/>
            <w:vAlign w:val="top"/>
          </w:tcPr>
          <w:p>
            <w:pPr>
              <w:spacing w:after="0"/>
            </w:pPr>
            <w:r>
              <w:rPr>
                <w:sz w:val="15"/>
              </w:rPr>
              <w:t>Same low-level concept</w:t>
            </w:r>
          </w:p>
        </w:tc>
      </w:tr>
      <w:tr>
        <w:trPr>
          <w:cantSplit w:val="true"/>
        </w:trPr>
        <w:tc>
          <w:tcPr>
            <w:tcW w:type="dxa" w:w="2160"/>
            <w:shd w:fill="F5F7F9"/>
            <w:vAlign w:val="top"/>
          </w:tcPr>
          <w:p>
            <w:pPr>
              <w:spacing w:after="0"/>
            </w:pPr>
            <w:r>
              <w:rPr>
                <w:sz w:val="15"/>
              </w:rPr>
              <w:t>Codec</w:t>
            </w:r>
          </w:p>
        </w:tc>
        <w:tc>
          <w:tcPr>
            <w:tcW w:type="dxa" w:w="4032"/>
            <w:vAlign w:val="top"/>
          </w:tcPr>
          <w:p>
            <w:pPr>
              <w:spacing w:after="0"/>
            </w:pPr>
            <w:r>
              <w:rPr>
                <w:sz w:val="15"/>
              </w:rPr>
              <w:t>serialize / deserialize</w:t>
            </w:r>
          </w:p>
        </w:tc>
        <w:tc>
          <w:tcPr>
            <w:tcW w:type="dxa" w:w="4176"/>
            <w:vAlign w:val="top"/>
          </w:tcPr>
          <w:p>
            <w:pPr>
              <w:spacing w:after="0"/>
            </w:pPr>
            <w:r>
              <w:rPr>
                <w:sz w:val="15"/>
              </w:rPr>
              <w:t>JSON only</w:t>
            </w:r>
          </w:p>
        </w:tc>
        <w:tc>
          <w:tcPr>
            <w:tcW w:type="dxa" w:w="4608"/>
            <w:vAlign w:val="top"/>
          </w:tcPr>
          <w:p>
            <w:pPr>
              <w:spacing w:after="0"/>
            </w:pPr>
            <w:r>
              <w:rPr>
                <w:sz w:val="15"/>
              </w:rPr>
              <w:t>Same concept; stored richer</w:t>
            </w:r>
          </w:p>
        </w:tc>
      </w:tr>
      <w:tr>
        <w:trPr>
          <w:cantSplit w:val="true"/>
        </w:trPr>
        <w:tc>
          <w:tcPr>
            <w:tcW w:type="dxa" w:w="2160"/>
            <w:shd w:fill="F5F7F9"/>
            <w:vAlign w:val="top"/>
          </w:tcPr>
          <w:p>
            <w:pPr>
              <w:spacing w:after="0"/>
            </w:pPr>
            <w:r>
              <w:rPr>
                <w:sz w:val="15"/>
              </w:rPr>
              <w:t>Durable payload</w:t>
            </w:r>
          </w:p>
        </w:tc>
        <w:tc>
          <w:tcPr>
            <w:tcW w:type="dxa" w:w="4032"/>
            <w:vAlign w:val="top"/>
          </w:tcPr>
          <w:p>
            <w:pPr>
              <w:spacing w:after="0"/>
            </w:pPr>
            <w:r>
              <w:rPr>
                <w:sz w:val="15"/>
              </w:rPr>
              <w:t>Leaf value</w:t>
            </w:r>
          </w:p>
        </w:tc>
        <w:tc>
          <w:tcPr>
            <w:tcW w:type="dxa" w:w="4176"/>
            <w:vAlign w:val="top"/>
          </w:tcPr>
          <w:p>
            <w:pPr>
              <w:spacing w:after="0"/>
            </w:pPr>
            <w:r>
              <w:rPr>
                <w:sz w:val="15"/>
              </w:rPr>
              <w:t>`entity.all()` rows</w:t>
            </w:r>
          </w:p>
        </w:tc>
        <w:tc>
          <w:tcPr>
            <w:tcW w:type="dxa" w:w="4608"/>
            <w:vAlign w:val="top"/>
          </w:tcPr>
          <w:p>
            <w:pPr>
              <w:spacing w:after="0"/>
            </w:pPr>
            <w:r>
              <w:rPr>
                <w:sz w:val="15"/>
              </w:rPr>
              <w:t>Both persist node value snapshots</w:t>
            </w:r>
          </w:p>
        </w:tc>
      </w:tr>
      <w:tr>
        <w:trPr>
          <w:cantSplit w:val="true"/>
        </w:trPr>
        <w:tc>
          <w:tcPr>
            <w:tcW w:type="dxa" w:w="2160"/>
            <w:shd w:fill="F5F7F9"/>
            <w:vAlign w:val="top"/>
          </w:tcPr>
          <w:p>
            <w:pPr>
              <w:spacing w:after="0"/>
            </w:pPr>
            <w:r>
              <w:rPr>
                <w:sz w:val="15"/>
              </w:rPr>
              <w:t>Version / migration</w:t>
            </w:r>
          </w:p>
        </w:tc>
        <w:tc>
          <w:tcPr>
            <w:tcW w:type="dxa" w:w="4032"/>
            <w:vAlign w:val="top"/>
          </w:tcPr>
          <w:p>
            <w:pPr>
              <w:spacing w:after="0"/>
            </w:pPr>
            <w:r>
              <w:rPr>
                <w:sz w:val="15"/>
              </w:rPr>
              <w:t>version / migrate / clearOnMigrationFailure</w:t>
            </w:r>
          </w:p>
        </w:tc>
        <w:tc>
          <w:tcPr>
            <w:tcW w:type="dxa" w:w="4176"/>
            <w:vAlign w:val="top"/>
          </w:tcPr>
          <w:p>
            <w:pPr>
              <w:spacing w:after="0"/>
            </w:pPr>
            <w:r>
              <w:rPr>
                <w:sz w:val="15"/>
              </w:rPr>
              <w:t>None</w:t>
            </w:r>
          </w:p>
        </w:tc>
        <w:tc>
          <w:tcPr>
            <w:tcW w:type="dxa" w:w="4608"/>
            <w:vAlign w:val="top"/>
          </w:tcPr>
          <w:p>
            <w:pPr>
              <w:spacing w:after="0"/>
            </w:pPr>
            <w:r>
              <w:rPr>
                <w:sz w:val="15"/>
              </w:rPr>
              <w:t>Stored-only policy</w:t>
            </w:r>
          </w:p>
        </w:tc>
      </w:tr>
      <w:tr>
        <w:trPr>
          <w:cantSplit w:val="true"/>
        </w:trPr>
        <w:tc>
          <w:tcPr>
            <w:tcW w:type="dxa" w:w="2160"/>
            <w:shd w:fill="F5F7F9"/>
            <w:vAlign w:val="top"/>
          </w:tcPr>
          <w:p>
            <w:pPr>
              <w:spacing w:after="0"/>
            </w:pPr>
            <w:r>
              <w:rPr>
                <w:sz w:val="15"/>
              </w:rPr>
              <w:t>Write scheduling</w:t>
            </w:r>
          </w:p>
        </w:tc>
        <w:tc>
          <w:tcPr>
            <w:tcW w:type="dxa" w:w="4032"/>
            <w:vAlign w:val="top"/>
          </w:tcPr>
          <w:p>
            <w:pPr>
              <w:spacing w:after="0"/>
            </w:pPr>
            <w:r>
              <w:rPr>
                <w:sz w:val="15"/>
              </w:rPr>
              <w:t>debounceMs / maxWaitMs</w:t>
            </w:r>
          </w:p>
        </w:tc>
        <w:tc>
          <w:tcPr>
            <w:tcW w:type="dxa" w:w="4176"/>
            <w:vAlign w:val="top"/>
          </w:tcPr>
          <w:p>
            <w:pPr>
              <w:spacing w:after="0"/>
            </w:pPr>
            <w:r>
              <w:rPr>
                <w:sz w:val="15"/>
              </w:rPr>
              <w:t>Immediate write-through</w:t>
            </w:r>
          </w:p>
        </w:tc>
        <w:tc>
          <w:tcPr>
            <w:tcW w:type="dxa" w:w="4608"/>
            <w:vAlign w:val="top"/>
          </w:tcPr>
          <w:p>
            <w:pPr>
              <w:spacing w:after="0"/>
            </w:pPr>
            <w:r>
              <w:rPr>
                <w:sz w:val="15"/>
              </w:rPr>
              <w:t>Related but different</w:t>
            </w:r>
          </w:p>
        </w:tc>
      </w:tr>
      <w:tr>
        <w:trPr>
          <w:cantSplit w:val="true"/>
        </w:trPr>
        <w:tc>
          <w:tcPr>
            <w:tcW w:type="dxa" w:w="2160"/>
            <w:shd w:fill="F5F7F9"/>
            <w:vAlign w:val="top"/>
          </w:tcPr>
          <w:p>
            <w:pPr>
              <w:spacing w:after="0"/>
            </w:pPr>
            <w:r>
              <w:rPr>
                <w:sz w:val="15"/>
              </w:rPr>
              <w:t>Failure policy</w:t>
            </w:r>
          </w:p>
        </w:tc>
        <w:tc>
          <w:tcPr>
            <w:tcW w:type="dxa" w:w="4032"/>
            <w:vAlign w:val="top"/>
          </w:tcPr>
          <w:p>
            <w:pPr>
              <w:spacing w:after="0"/>
            </w:pPr>
            <w:r>
              <w:rPr>
                <w:sz w:val="15"/>
              </w:rPr>
              <w:t>Reporter + local onError</w:t>
            </w:r>
          </w:p>
        </w:tc>
        <w:tc>
          <w:tcPr>
            <w:tcW w:type="dxa" w:w="4176"/>
            <w:vAlign w:val="top"/>
          </w:tcPr>
          <w:p>
            <w:pPr>
              <w:spacing w:after="0"/>
            </w:pPr>
            <w:r>
              <w:rPr>
                <w:sz w:val="15"/>
              </w:rPr>
              <w:t>Silent best-effort</w:t>
            </w:r>
          </w:p>
        </w:tc>
        <w:tc>
          <w:tcPr>
            <w:tcW w:type="dxa" w:w="4608"/>
            <w:vAlign w:val="top"/>
          </w:tcPr>
          <w:p>
            <w:pPr>
              <w:spacing w:after="0"/>
            </w:pPr>
            <w:r>
              <w:rPr>
                <w:sz w:val="15"/>
              </w:rPr>
              <w:t>Related but different</w:t>
            </w:r>
          </w:p>
        </w:tc>
      </w:tr>
      <w:tr>
        <w:trPr>
          <w:cantSplit w:val="true"/>
        </w:trPr>
        <w:tc>
          <w:tcPr>
            <w:tcW w:type="dxa" w:w="2160"/>
            <w:shd w:fill="F5F7F9"/>
            <w:vAlign w:val="top"/>
          </w:tcPr>
          <w:p>
            <w:pPr>
              <w:spacing w:after="0"/>
            </w:pPr>
            <w:r>
              <w:rPr>
                <w:sz w:val="15"/>
              </w:rPr>
              <w:t>Removal</w:t>
            </w:r>
          </w:p>
        </w:tc>
        <w:tc>
          <w:tcPr>
            <w:tcW w:type="dxa" w:w="4032"/>
            <w:vAlign w:val="top"/>
          </w:tcPr>
          <w:p>
            <w:pPr>
              <w:spacing w:after="0"/>
            </w:pPr>
            <w:r>
              <w:rPr>
                <w:sz w:val="15"/>
              </w:rPr>
              <w:t>`clear()` compound</w:t>
            </w:r>
          </w:p>
        </w:tc>
        <w:tc>
          <w:tcPr>
            <w:tcW w:type="dxa" w:w="4176"/>
            <w:vAlign w:val="top"/>
          </w:tcPr>
          <w:p>
            <w:pPr>
              <w:spacing w:after="0"/>
            </w:pPr>
            <w:r>
              <w:rPr>
                <w:sz w:val="15"/>
              </w:rPr>
              <w:t>adapter.removeItem</w:t>
            </w:r>
          </w:p>
        </w:tc>
        <w:tc>
          <w:tcPr>
            <w:tcW w:type="dxa" w:w="4608"/>
            <w:vAlign w:val="top"/>
          </w:tcPr>
          <w:p>
            <w:pPr>
              <w:spacing w:after="0"/>
            </w:pPr>
            <w:r>
              <w:rPr>
                <w:sz w:val="15"/>
              </w:rPr>
              <w:t>Related but different</w:t>
            </w:r>
          </w:p>
        </w:tc>
      </w:tr>
      <w:tr>
        <w:trPr>
          <w:cantSplit w:val="true"/>
        </w:trPr>
        <w:tc>
          <w:tcPr>
            <w:tcW w:type="dxa" w:w="2160"/>
            <w:shd w:fill="F5F7F9"/>
            <w:vAlign w:val="top"/>
          </w:tcPr>
          <w:p>
            <w:pPr>
              <w:spacing w:after="0"/>
            </w:pPr>
            <w:r>
              <w:rPr>
                <w:sz w:val="15"/>
              </w:rPr>
              <w:t>Hydration precedence</w:t>
            </w:r>
          </w:p>
        </w:tc>
        <w:tc>
          <w:tcPr>
            <w:tcW w:type="dxa" w:w="4032"/>
            <w:vAlign w:val="top"/>
          </w:tcPr>
          <w:p>
            <w:pPr>
              <w:spacing w:after="0"/>
            </w:pPr>
            <w:r>
              <w:rPr>
                <w:sz w:val="15"/>
              </w:rPr>
              <w:t>n/a</w:t>
            </w:r>
          </w:p>
        </w:tc>
        <w:tc>
          <w:tcPr>
            <w:tcW w:type="dxa" w:w="4176"/>
            <w:vAlign w:val="top"/>
          </w:tcPr>
          <w:p>
            <w:pPr>
              <w:spacing w:after="0"/>
            </w:pPr>
            <w:r>
              <w:rPr>
                <w:sz w:val="15"/>
              </w:rPr>
              <w:t>hydrateThenRevalidate</w:t>
            </w:r>
          </w:p>
        </w:tc>
        <w:tc>
          <w:tcPr>
            <w:tcW w:type="dxa" w:w="4608"/>
            <w:vAlign w:val="top"/>
          </w:tcPr>
          <w:p>
            <w:pPr>
              <w:spacing w:after="0"/>
            </w:pPr>
            <w:r>
              <w:rPr>
                <w:sz w:val="15"/>
              </w:rPr>
              <w:t>Loader-specific</w:t>
            </w:r>
          </w:p>
        </w:tc>
      </w:tr>
      <w:tr>
        <w:trPr>
          <w:cantSplit w:val="true"/>
        </w:trPr>
        <w:tc>
          <w:tcPr>
            <w:tcW w:type="dxa" w:w="2160"/>
            <w:shd w:fill="F5F7F9"/>
            <w:vAlign w:val="top"/>
          </w:tcPr>
          <w:p>
            <w:pPr>
              <w:spacing w:after="0"/>
            </w:pPr>
            <w:r>
              <w:rPr>
                <w:sz w:val="15"/>
              </w:rPr>
              <w:t>Scope identity</w:t>
            </w:r>
          </w:p>
        </w:tc>
        <w:tc>
          <w:tcPr>
            <w:tcW w:type="dxa" w:w="4032"/>
            <w:vAlign w:val="top"/>
          </w:tcPr>
          <w:p>
            <w:pPr>
              <w:spacing w:after="0"/>
            </w:pPr>
            <w:r>
              <w:rPr>
                <w:sz w:val="15"/>
              </w:rPr>
              <w:t>n/a</w:t>
            </w:r>
          </w:p>
        </w:tc>
        <w:tc>
          <w:tcPr>
            <w:tcW w:type="dxa" w:w="4176"/>
            <w:vAlign w:val="top"/>
          </w:tcPr>
          <w:p>
            <w:pPr>
              <w:spacing w:after="0"/>
            </w:pPr>
            <w:r>
              <w:rPr>
                <w:sz w:val="15"/>
              </w:rPr>
              <w:t>scopeStorageKey(params)</w:t>
            </w:r>
          </w:p>
        </w:tc>
        <w:tc>
          <w:tcPr>
            <w:tcW w:type="dxa" w:w="4608"/>
            <w:vAlign w:val="top"/>
          </w:tcPr>
          <w:p>
            <w:pPr>
              <w:spacing w:after="0"/>
            </w:pPr>
            <w:r>
              <w:rPr>
                <w:sz w:val="15"/>
              </w:rPr>
              <w:t>Loader-specific</w:t>
            </w:r>
          </w:p>
        </w:tc>
      </w:tr>
      <w:tr>
        <w:trPr>
          <w:cantSplit w:val="true"/>
        </w:trPr>
        <w:tc>
          <w:tcPr>
            <w:tcW w:type="dxa" w:w="2160"/>
            <w:shd w:fill="F5F7F9"/>
            <w:vAlign w:val="top"/>
          </w:tcPr>
          <w:p>
            <w:pPr>
              <w:spacing w:after="0"/>
            </w:pPr>
            <w:r>
              <w:rPr>
                <w:sz w:val="15"/>
              </w:rPr>
              <w:t>Scope index / GC</w:t>
            </w:r>
          </w:p>
        </w:tc>
        <w:tc>
          <w:tcPr>
            <w:tcW w:type="dxa" w:w="4032"/>
            <w:vAlign w:val="top"/>
          </w:tcPr>
          <w:p>
            <w:pPr>
              <w:spacing w:after="0"/>
            </w:pPr>
            <w:r>
              <w:rPr>
                <w:sz w:val="15"/>
              </w:rPr>
              <w:t>n/a</w:t>
            </w:r>
          </w:p>
        </w:tc>
        <w:tc>
          <w:tcPr>
            <w:tcW w:type="dxa" w:w="4176"/>
            <w:vAlign w:val="top"/>
          </w:tcPr>
          <w:p>
            <w:pPr>
              <w:spacing w:after="0"/>
            </w:pPr>
            <w:r>
              <w:rPr>
                <w:sz w:val="15"/>
              </w:rPr>
              <w:t>`::__scopes` + maxScopes</w:t>
            </w:r>
          </w:p>
        </w:tc>
        <w:tc>
          <w:tcPr>
            <w:tcW w:type="dxa" w:w="4608"/>
            <w:vAlign w:val="top"/>
          </w:tcPr>
          <w:p>
            <w:pPr>
              <w:spacing w:after="0"/>
            </w:pPr>
            <w:r>
              <w:rPr>
                <w:sz w:val="15"/>
              </w:rPr>
              <w:t>Loader persistence retention</w:t>
            </w:r>
          </w:p>
        </w:tc>
      </w:tr>
      <w:tr>
        <w:trPr>
          <w:cantSplit w:val="true"/>
        </w:trPr>
        <w:tc>
          <w:tcPr>
            <w:tcW w:type="dxa" w:w="2160"/>
            <w:shd w:fill="F5F7F9"/>
            <w:vAlign w:val="top"/>
          </w:tcPr>
          <w:p>
            <w:pPr>
              <w:spacing w:after="0"/>
            </w:pPr>
            <w:r>
              <w:rPr>
                <w:sz w:val="15"/>
              </w:rPr>
              <w:t>Staleness / SWR</w:t>
            </w:r>
          </w:p>
        </w:tc>
        <w:tc>
          <w:tcPr>
            <w:tcW w:type="dxa" w:w="4032"/>
            <w:vAlign w:val="top"/>
          </w:tcPr>
          <w:p>
            <w:pPr>
              <w:spacing w:after="0"/>
            </w:pPr>
            <w:r>
              <w:rPr>
                <w:sz w:val="15"/>
              </w:rPr>
              <w:t>n/a</w:t>
            </w:r>
          </w:p>
        </w:tc>
        <w:tc>
          <w:tcPr>
            <w:tcW w:type="dxa" w:w="4176"/>
            <w:vAlign w:val="top"/>
          </w:tcPr>
          <w:p>
            <w:pPr>
              <w:spacing w:after="0"/>
            </w:pPr>
            <w:r>
              <w:rPr>
                <w:sz w:val="15"/>
              </w:rPr>
              <w:t>In-memory only</w:t>
            </w:r>
          </w:p>
        </w:tc>
        <w:tc>
          <w:tcPr>
            <w:tcW w:type="dxa" w:w="4608"/>
            <w:vAlign w:val="top"/>
          </w:tcPr>
          <w:p>
            <w:pPr>
              <w:spacing w:after="0"/>
            </w:pPr>
            <w:r>
              <w:rPr>
                <w:sz w:val="15"/>
              </w:rPr>
              <w:t>Cache-only</w:t>
            </w:r>
          </w:p>
        </w:tc>
      </w:tr>
      <w:tr>
        <w:trPr>
          <w:cantSplit w:val="true"/>
        </w:trPr>
        <w:tc>
          <w:tcPr>
            <w:tcW w:type="dxa" w:w="2160"/>
            <w:shd w:fill="F5F7F9"/>
            <w:vAlign w:val="top"/>
          </w:tcPr>
          <w:p>
            <w:pPr>
              <w:spacing w:after="0"/>
            </w:pPr>
            <w:r>
              <w:rPr>
                <w:sz w:val="15"/>
              </w:rPr>
              <w:t>Tags / equality</w:t>
            </w:r>
          </w:p>
        </w:tc>
        <w:tc>
          <w:tcPr>
            <w:tcW w:type="dxa" w:w="4032"/>
            <w:vAlign w:val="top"/>
          </w:tcPr>
          <w:p>
            <w:pPr>
              <w:spacing w:after="0"/>
            </w:pPr>
            <w:r>
              <w:rPr>
                <w:sz w:val="15"/>
              </w:rPr>
              <w:t>n/a</w:t>
            </w:r>
          </w:p>
        </w:tc>
        <w:tc>
          <w:tcPr>
            <w:tcW w:type="dxa" w:w="4176"/>
            <w:vAlign w:val="top"/>
          </w:tcPr>
          <w:p>
            <w:pPr>
              <w:spacing w:after="0"/>
            </w:pPr>
            <w:r>
              <w:rPr>
                <w:sz w:val="15"/>
              </w:rPr>
              <w:t>In-memory only</w:t>
            </w:r>
          </w:p>
        </w:tc>
        <w:tc>
          <w:tcPr>
            <w:tcW w:type="dxa" w:w="4608"/>
            <w:vAlign w:val="top"/>
          </w:tcPr>
          <w:p>
            <w:pPr>
              <w:spacing w:after="0"/>
            </w:pPr>
            <w:r>
              <w:rPr>
                <w:sz w:val="15"/>
              </w:rPr>
              <w:t>Cache-only</w:t>
            </w:r>
          </w:p>
        </w:tc>
      </w:tr>
    </w:tbl>
    <w:p>
      <w:pPr>
        <w:spacing w:after="20"/>
        <w:widowControl w:val="true"/>
      </w:pPr>
    </w:p>
    <w:p>
      <w:pPr>
        <w:sectPr>
          <w:pgSz w:w="15840" w:h="12240" w:orient="landscape"/>
          <w:pgMar w:top="792" w:right="792" w:bottom="792" w:left="792" w:header="403" w:footer="403" w:gutter="0"/>
          <w:cols w:space="720"/>
          <w:docGrid w:linePitch="360"/>
        </w:sectPr>
        <w:widowControl w:val="true"/>
      </w:pPr>
    </w:p>
    <w:tbl>
      <w:tblPr>
        <w:tblW w:type="auto" w:w="0"/>
        <w:jc w:val="center"/>
        <w:tblLayout w:type="autofit"/>
        <w:tblLook w:firstColumn="1" w:firstRow="1" w:lastColumn="0" w:lastRow="0" w:noHBand="0" w:noVBand="1" w:val="04A0"/>
      </w:tblPr>
      <w:tblGrid>
        <w:gridCol w:w="9994"/>
      </w:tblGrid>
      <w:tr>
        <w:tc>
          <w:tcPr>
            <w:tcW w:type="dxa" w:w="9994"/>
            <w:shd w:fill="EEF7F1"/>
            <w:tcBorders>
              <w:top w:val="single" w:sz="8" w:color="C9D2D9"/>
              <w:left w:val="single" w:sz="8" w:color="C9D2D9"/>
              <w:bottom w:val="single" w:sz="8" w:color="C9D2D9"/>
              <w:right w:val="single" w:sz="8" w:color="C9D2D9"/>
            </w:tcBorders>
            <w:vAlign w:val="center"/>
          </w:tcPr>
          <w:p>
            <w:r>
              <w:rPr>
                <w:b/>
                <w:color w:val="2D6A4F"/>
                <w:sz w:val="19"/>
              </w:rPr>
              <w:t>PERSISTENCE CLOSURE</w:t>
            </w:r>
            <w:r>
              <w:rPr>
                <w:color w:val="222222"/>
                <w:sz w:val="18"/>
              </w:rPr>
              <w:br/>
              <w:t>No new core API was earned. Link stayed frozen. `stored()` remained DELETE. Storage-specific policy moved to adapter/application ownership; the loader cache remained a separate later question.</w:t>
            </w:r>
          </w:p>
        </w:tc>
      </w:tr>
    </w:tbl>
    <w:p>
      <w:pPr>
        <w:spacing w:after="0"/>
        <w:widowControl w:val="true"/>
      </w:pPr>
    </w:p>
    <w:p>
      <w:pPr>
        <w:pStyle w:val="Heading1"/>
        <w:widowControl w:val="true"/>
      </w:pPr>
      <w:r>
        <w:t>17. The correction ledger</w:t>
      </w:r>
    </w:p>
    <w:p>
      <w:pPr>
        <w:widowControl w:val="true"/>
      </w:pPr>
      <w:r>
        <w:t>The correction ledger is one of the most reusable parts of the SignalTree case study. Each correction narrowed a claim without invalidating the entire program. The discipline was to record the mistake explicitly, repair the test or model, and retain the corrected evidence.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232"/>
            <w:shd w:fill="18324A"/>
            <w:vAlign w:val="center"/>
          </w:tcPr>
          <w:p>
            <w:r>
              <w:rPr>
                <w:b/>
                <w:color w:val="FFFFFF"/>
                <w:sz w:val="15"/>
              </w:rPr>
              <w:t>Episode</w:t>
            </w:r>
          </w:p>
        </w:tc>
        <w:tc>
          <w:tcPr>
            <w:tcW w:type="dxa" w:w="3240"/>
            <w:shd w:fill="18324A"/>
            <w:vAlign w:val="center"/>
          </w:tcPr>
          <w:p>
            <w:r>
              <w:rPr>
                <w:b/>
                <w:color w:val="FFFFFF"/>
                <w:sz w:val="15"/>
              </w:rPr>
              <w:t>Initial claim</w:t>
            </w:r>
          </w:p>
        </w:tc>
        <w:tc>
          <w:tcPr>
            <w:tcW w:type="dxa" w:w="4680"/>
            <w:shd w:fill="18324A"/>
            <w:vAlign w:val="center"/>
          </w:tcPr>
          <w:p>
            <w:r>
              <w:rPr>
                <w:b/>
                <w:color w:val="FFFFFF"/>
                <w:sz w:val="15"/>
              </w:rPr>
              <w:t>Falsifying / corrective evidence</w:t>
            </w:r>
          </w:p>
        </w:tc>
        <w:tc>
          <w:tcPr>
            <w:tcW w:type="dxa" w:w="2520"/>
            <w:shd w:fill="18324A"/>
            <w:vAlign w:val="center"/>
          </w:tcPr>
          <w:p>
            <w:r>
              <w:rPr>
                <w:b/>
                <w:color w:val="FFFFFF"/>
                <w:sz w:val="15"/>
              </w:rPr>
              <w:t>Effect</w:t>
            </w:r>
          </w:p>
        </w:tc>
      </w:tr>
      <w:tr>
        <w:trPr>
          <w:cantSplit w:val="true"/>
        </w:trPr>
        <w:tc>
          <w:tcPr>
            <w:tcW w:type="dxa" w:w="2232"/>
            <w:shd w:fill="F5F7F9"/>
            <w:vAlign w:val="top"/>
          </w:tcPr>
          <w:p>
            <w:pPr>
              <w:spacing w:after="0"/>
            </w:pPr>
            <w:r>
              <w:rPr>
                <w:sz w:val="15"/>
              </w:rPr>
              <w:t>History scope</w:t>
            </w:r>
          </w:p>
        </w:tc>
        <w:tc>
          <w:tcPr>
            <w:tcW w:type="dxa" w:w="3240"/>
            <w:vAlign w:val="top"/>
          </w:tcPr>
          <w:p>
            <w:pPr>
              <w:spacing w:after="0"/>
            </w:pPr>
            <w:r>
              <w:rPr>
                <w:sz w:val="15"/>
              </w:rPr>
              <w:t>Location filtering looked plausible</w:t>
            </w:r>
          </w:p>
        </w:tc>
        <w:tc>
          <w:tcPr>
            <w:tcW w:type="dxa" w:w="4680"/>
            <w:vAlign w:val="top"/>
          </w:tcPr>
          <w:p>
            <w:pPr>
              <w:spacing w:after="0"/>
            </w:pPr>
            <w:r>
              <w:rPr>
                <w:sz w:val="15"/>
              </w:rPr>
              <w:t>Same causal turn can cross locations; undo must preserve authored atomicity</w:t>
            </w:r>
          </w:p>
        </w:tc>
        <w:tc>
          <w:tcPr>
            <w:tcW w:type="dxa" w:w="2520"/>
            <w:vAlign w:val="top"/>
          </w:tcPr>
          <w:p>
            <w:pPr>
              <w:spacing w:after="0"/>
            </w:pPr>
            <w:r>
              <w:rPr>
                <w:sz w:val="15"/>
              </w:rPr>
              <w:t>Changed scope model</w:t>
            </w:r>
          </w:p>
        </w:tc>
      </w:tr>
      <w:tr>
        <w:trPr>
          <w:cantSplit w:val="true"/>
        </w:trPr>
        <w:tc>
          <w:tcPr>
            <w:tcW w:type="dxa" w:w="2232"/>
            <w:shd w:fill="F5F7F9"/>
            <w:vAlign w:val="top"/>
          </w:tcPr>
          <w:p>
            <w:pPr>
              <w:spacing w:after="0"/>
            </w:pPr>
            <w:r>
              <w:rPr>
                <w:sz w:val="15"/>
              </w:rPr>
              <w:t>Link loop mutation</w:t>
            </w:r>
          </w:p>
        </w:tc>
        <w:tc>
          <w:tcPr>
            <w:tcW w:type="dxa" w:w="3240"/>
            <w:vAlign w:val="top"/>
          </w:tcPr>
          <w:p>
            <w:pPr>
              <w:spacing w:after="0"/>
            </w:pPr>
            <w:r>
              <w:rPr>
                <w:sz w:val="15"/>
              </w:rPr>
              <w:t>A surviving mutation might justify deletion</w:t>
            </w:r>
          </w:p>
        </w:tc>
        <w:tc>
          <w:tcPr>
            <w:tcW w:type="dxa" w:w="4680"/>
            <w:vAlign w:val="top"/>
          </w:tcPr>
          <w:p>
            <w:pPr>
              <w:spacing w:after="0"/>
            </w:pPr>
            <w:r>
              <w:rPr>
                <w:sz w:val="15"/>
              </w:rPr>
              <w:t>Mutation did not cross an authoritative checker</w:t>
            </w:r>
          </w:p>
        </w:tc>
        <w:tc>
          <w:tcPr>
            <w:tcW w:type="dxa" w:w="2520"/>
            <w:vAlign w:val="top"/>
          </w:tcPr>
          <w:p>
            <w:pPr>
              <w:spacing w:after="0"/>
            </w:pPr>
            <w:r>
              <w:rPr>
                <w:sz w:val="15"/>
              </w:rPr>
              <w:t>No deletion authority</w:t>
            </w:r>
          </w:p>
        </w:tc>
      </w:tr>
      <w:tr>
        <w:trPr>
          <w:cantSplit w:val="true"/>
        </w:trPr>
        <w:tc>
          <w:tcPr>
            <w:tcW w:type="dxa" w:w="2232"/>
            <w:shd w:fill="F5F7F9"/>
            <w:vAlign w:val="top"/>
          </w:tcPr>
          <w:p>
            <w:pPr>
              <w:spacing w:after="0"/>
            </w:pPr>
            <w:r>
              <w:rPr>
                <w:sz w:val="15"/>
              </w:rPr>
              <w:t>Demo asyncQuery replacement</w:t>
            </w:r>
          </w:p>
        </w:tc>
        <w:tc>
          <w:tcPr>
            <w:tcW w:type="dxa" w:w="3240"/>
            <w:vAlign w:val="top"/>
          </w:tcPr>
          <w:p>
            <w:pPr>
              <w:spacing w:after="0"/>
            </w:pPr>
            <w:r>
              <w:rPr>
                <w:sz w:val="15"/>
              </w:rPr>
              <w:t>Rendered `switchMap` text implied scenario preserved</w:t>
            </w:r>
          </w:p>
        </w:tc>
        <w:tc>
          <w:tcPr>
            <w:tcW w:type="dxa" w:w="4680"/>
            <w:vAlign w:val="top"/>
          </w:tcPr>
          <w:p>
            <w:pPr>
              <w:spacing w:after="0"/>
            </w:pPr>
            <w:r>
              <w:rPr>
                <w:sz w:val="15"/>
              </w:rPr>
              <w:t>Runtime recovery test failed after first error</w:t>
            </w:r>
          </w:p>
        </w:tc>
        <w:tc>
          <w:tcPr>
            <w:tcW w:type="dxa" w:w="2520"/>
            <w:vAlign w:val="top"/>
          </w:tcPr>
          <w:p>
            <w:pPr>
              <w:spacing w:after="0"/>
            </w:pPr>
            <w:r>
              <w:rPr>
                <w:sz w:val="15"/>
              </w:rPr>
              <w:t>Added real behavioral proof; fixed catchError placement</w:t>
            </w:r>
          </w:p>
        </w:tc>
      </w:tr>
      <w:tr>
        <w:trPr>
          <w:cantSplit w:val="true"/>
        </w:trPr>
        <w:tc>
          <w:tcPr>
            <w:tcW w:type="dxa" w:w="2232"/>
            <w:shd w:fill="F5F7F9"/>
            <w:vAlign w:val="top"/>
          </w:tcPr>
          <w:p>
            <w:pPr>
              <w:spacing w:after="0"/>
            </w:pPr>
            <w:r>
              <w:rPr>
                <w:sz w:val="15"/>
              </w:rPr>
              <w:t>Loader retirement</w:t>
            </w:r>
          </w:p>
        </w:tc>
        <w:tc>
          <w:tcPr>
            <w:tcW w:type="dxa" w:w="3240"/>
            <w:vAlign w:val="top"/>
          </w:tcPr>
          <w:p>
            <w:pPr>
              <w:spacing w:after="0"/>
            </w:pPr>
            <w:r>
              <w:rPr>
                <w:sz w:val="15"/>
              </w:rPr>
              <w:t>Async marker analogy implied delete</w:t>
            </w:r>
          </w:p>
        </w:tc>
        <w:tc>
          <w:tcPr>
            <w:tcW w:type="dxa" w:w="4680"/>
            <w:vAlign w:val="top"/>
          </w:tcPr>
          <w:p>
            <w:pPr>
              <w:spacing w:after="0"/>
            </w:pPr>
            <w:r>
              <w:rPr>
                <w:sz w:val="15"/>
              </w:rPr>
              <w:t>Loader contained cache/SWR/persistence capability</w:t>
            </w:r>
          </w:p>
        </w:tc>
        <w:tc>
          <w:tcPr>
            <w:tcW w:type="dxa" w:w="2520"/>
            <w:vAlign w:val="top"/>
          </w:tcPr>
          <w:p>
            <w:pPr>
              <w:spacing w:after="0"/>
            </w:pPr>
            <w:r>
              <w:rPr>
                <w:sz w:val="15"/>
              </w:rPr>
              <w:t>Stopped before deletion; added cache-policy category</w:t>
            </w:r>
          </w:p>
        </w:tc>
      </w:tr>
      <w:tr>
        <w:trPr>
          <w:cantSplit w:val="true"/>
        </w:trPr>
        <w:tc>
          <w:tcPr>
            <w:tcW w:type="dxa" w:w="2232"/>
            <w:shd w:fill="F5F7F9"/>
            <w:vAlign w:val="top"/>
          </w:tcPr>
          <w:p>
            <w:pPr>
              <w:spacing w:after="0"/>
            </w:pPr>
            <w:r>
              <w:rPr>
                <w:sz w:val="15"/>
              </w:rPr>
              <w:t>asyncSource race</w:t>
            </w:r>
          </w:p>
        </w:tc>
        <w:tc>
          <w:tcPr>
            <w:tcW w:type="dxa" w:w="3240"/>
            <w:vAlign w:val="top"/>
          </w:tcPr>
          <w:p>
            <w:pPr>
              <w:spacing w:after="0"/>
            </w:pPr>
            <w:r>
              <w:rPr>
                <w:sz w:val="15"/>
              </w:rPr>
              <w:t>Promise and Observable paths assumed equivalent</w:t>
            </w:r>
          </w:p>
        </w:tc>
        <w:tc>
          <w:tcPr>
            <w:tcW w:type="dxa" w:w="4680"/>
            <w:vAlign w:val="top"/>
          </w:tcPr>
          <w:p>
            <w:pPr>
              <w:spacing w:after="0"/>
            </w:pPr>
            <w:r>
              <w:rPr>
                <w:sz w:val="15"/>
              </w:rPr>
              <w:t>Promise stale A overwrote B; Observable latest-wins</w:t>
            </w:r>
          </w:p>
        </w:tc>
        <w:tc>
          <w:tcPr>
            <w:tcW w:type="dxa" w:w="2520"/>
            <w:vAlign w:val="top"/>
          </w:tcPr>
          <w:p>
            <w:pPr>
              <w:spacing w:after="0"/>
            </w:pPr>
            <w:r>
              <w:rPr>
                <w:sz w:val="15"/>
              </w:rPr>
              <w:t>Recorded fix, not preservation</w:t>
            </w:r>
          </w:p>
        </w:tc>
      </w:tr>
      <w:tr>
        <w:trPr>
          <w:cantSplit w:val="true"/>
        </w:trPr>
        <w:tc>
          <w:tcPr>
            <w:tcW w:type="dxa" w:w="2232"/>
            <w:shd w:fill="F5F7F9"/>
            <w:vAlign w:val="top"/>
          </w:tcPr>
          <w:p>
            <w:pPr>
              <w:spacing w:after="0"/>
            </w:pPr>
            <w:r>
              <w:rPr>
                <w:sz w:val="15"/>
              </w:rPr>
              <w:t>Persistence rollback</w:t>
            </w:r>
          </w:p>
        </w:tc>
        <w:tc>
          <w:tcPr>
            <w:tcW w:type="dxa" w:w="3240"/>
            <w:vAlign w:val="top"/>
          </w:tcPr>
          <w:p>
            <w:pPr>
              <w:spacing w:after="0"/>
            </w:pPr>
            <w:r>
              <w:rPr>
                <w:sz w:val="15"/>
              </w:rPr>
              <w:t>Rollback should produce zero writes</w:t>
            </w:r>
          </w:p>
        </w:tc>
        <w:tc>
          <w:tcPr>
            <w:tcW w:type="dxa" w:w="4680"/>
            <w:vAlign w:val="top"/>
          </w:tcPr>
          <w:p>
            <w:pPr>
              <w:spacing w:after="0"/>
            </w:pPr>
            <w:r>
              <w:rPr>
                <w:sz w:val="15"/>
              </w:rPr>
              <w:t>Committed post-rollback truth may reconcile outward</w:t>
            </w:r>
          </w:p>
        </w:tc>
        <w:tc>
          <w:tcPr>
            <w:tcW w:type="dxa" w:w="2520"/>
            <w:vAlign w:val="top"/>
          </w:tcPr>
          <w:p>
            <w:pPr>
              <w:spacing w:after="0"/>
            </w:pPr>
            <w:r>
              <w:rPr>
                <w:sz w:val="15"/>
              </w:rPr>
              <w:t>Narrowed invariant to “no speculative value durable”</w:t>
            </w:r>
          </w:p>
        </w:tc>
      </w:tr>
      <w:tr>
        <w:trPr>
          <w:cantSplit w:val="true"/>
        </w:trPr>
        <w:tc>
          <w:tcPr>
            <w:tcW w:type="dxa" w:w="2232"/>
            <w:shd w:fill="F5F7F9"/>
            <w:vAlign w:val="top"/>
          </w:tcPr>
          <w:p>
            <w:pPr>
              <w:spacing w:after="0"/>
            </w:pPr>
            <w:r>
              <w:rPr>
                <w:sz w:val="15"/>
              </w:rPr>
              <w:t>Persistence coalescing</w:t>
            </w:r>
          </w:p>
        </w:tc>
        <w:tc>
          <w:tcPr>
            <w:tcW w:type="dxa" w:w="3240"/>
            <w:vAlign w:val="top"/>
          </w:tcPr>
          <w:p>
            <w:pPr>
              <w:spacing w:after="0"/>
            </w:pPr>
            <w:r>
              <w:rPr>
                <w:sz w:val="15"/>
              </w:rPr>
              <w:t>Final C implied endpoint coalescing</w:t>
            </w:r>
          </w:p>
        </w:tc>
        <w:tc>
          <w:tcPr>
            <w:tcW w:type="dxa" w:w="4680"/>
            <w:vAlign w:val="top"/>
          </w:tcPr>
          <w:p>
            <w:pPr>
              <w:spacing w:after="0"/>
            </w:pPr>
            <w:r>
              <w:rPr>
                <w:sz w:val="15"/>
              </w:rPr>
              <w:t>Instrumentation showed A and C durable; B never reached endpoint</w:t>
            </w:r>
          </w:p>
        </w:tc>
        <w:tc>
          <w:tcPr>
            <w:tcW w:type="dxa" w:w="2520"/>
            <w:vAlign w:val="top"/>
          </w:tcPr>
          <w:p>
            <w:pPr>
              <w:spacing w:after="0"/>
            </w:pPr>
            <w:r>
              <w:rPr>
                <w:sz w:val="15"/>
              </w:rPr>
              <w:t>Moved coalescing ownership to Link</w:t>
            </w:r>
          </w:p>
        </w:tc>
      </w:tr>
      <w:tr>
        <w:trPr>
          <w:cantSplit w:val="true"/>
        </w:trPr>
        <w:tc>
          <w:tcPr>
            <w:tcW w:type="dxa" w:w="2232"/>
            <w:shd w:fill="F5F7F9"/>
            <w:vAlign w:val="top"/>
          </w:tcPr>
          <w:p>
            <w:pPr>
              <w:spacing w:after="0"/>
            </w:pPr>
            <w:r>
              <w:rPr>
                <w:sz w:val="15"/>
              </w:rPr>
              <w:t>maxWait wording</w:t>
            </w:r>
          </w:p>
        </w:tc>
        <w:tc>
          <w:tcPr>
            <w:tcW w:type="dxa" w:w="3240"/>
            <w:vAlign w:val="top"/>
          </w:tcPr>
          <w:p>
            <w:pPr>
              <w:spacing w:after="0"/>
            </w:pPr>
            <w:r>
              <w:rPr>
                <w:sz w:val="15"/>
              </w:rPr>
              <w:t>Serialization “provides what debounce was for”</w:t>
            </w:r>
          </w:p>
        </w:tc>
        <w:tc>
          <w:tcPr>
            <w:tcW w:type="dxa" w:w="4680"/>
            <w:vAlign w:val="top"/>
          </w:tcPr>
          <w:p>
            <w:pPr>
              <w:spacing w:after="0"/>
            </w:pPr>
            <w:r>
              <w:rPr>
                <w:sz w:val="15"/>
              </w:rPr>
              <w:t>Write-rate reduction remains separate endpoint policy</w:t>
            </w:r>
          </w:p>
        </w:tc>
        <w:tc>
          <w:tcPr>
            <w:tcW w:type="dxa" w:w="2520"/>
            <w:vAlign w:val="top"/>
          </w:tcPr>
          <w:p>
            <w:pPr>
              <w:spacing w:after="0"/>
            </w:pPr>
            <w:r>
              <w:rPr>
                <w:sz w:val="15"/>
              </w:rPr>
              <w:t>Narrowed to starvation argument only</w:t>
            </w:r>
          </w:p>
        </w:tc>
      </w:tr>
      <w:tr>
        <w:trPr>
          <w:cantSplit w:val="true"/>
        </w:trPr>
        <w:tc>
          <w:tcPr>
            <w:tcW w:type="dxa" w:w="2232"/>
            <w:shd w:fill="F5F7F9"/>
            <w:vAlign w:val="top"/>
          </w:tcPr>
          <w:p>
            <w:pPr>
              <w:spacing w:after="0"/>
            </w:pPr>
            <w:r>
              <w:rPr>
                <w:sz w:val="15"/>
              </w:rPr>
              <w:t>Dispose proof</w:t>
            </w:r>
          </w:p>
        </w:tc>
        <w:tc>
          <w:tcPr>
            <w:tcW w:type="dxa" w:w="3240"/>
            <w:vAlign w:val="top"/>
          </w:tcPr>
          <w:p>
            <w:pPr>
              <w:spacing w:after="0"/>
            </w:pPr>
            <w:r>
              <w:rPr>
                <w:sz w:val="15"/>
              </w:rPr>
              <w:t>`expect(true)` accompanied plausible prose</w:t>
            </w:r>
          </w:p>
        </w:tc>
        <w:tc>
          <w:tcPr>
            <w:tcW w:type="dxa" w:w="4680"/>
            <w:vAlign w:val="top"/>
          </w:tcPr>
          <w:p>
            <w:pPr>
              <w:spacing w:after="0"/>
            </w:pPr>
            <w:r>
              <w:rPr>
                <w:sz w:val="15"/>
              </w:rPr>
              <w:t>Test asserted nothing</w:t>
            </w:r>
          </w:p>
        </w:tc>
        <w:tc>
          <w:tcPr>
            <w:tcW w:type="dxa" w:w="2520"/>
            <w:vAlign w:val="top"/>
          </w:tcPr>
          <w:p>
            <w:pPr>
              <w:spacing w:after="0"/>
            </w:pPr>
            <w:r>
              <w:rPr>
                <w:sz w:val="15"/>
              </w:rPr>
              <w:t>Added actual boundary assertion</w:t>
            </w:r>
          </w:p>
        </w:tc>
      </w:tr>
      <w:tr>
        <w:trPr>
          <w:cantSplit w:val="true"/>
        </w:trPr>
        <w:tc>
          <w:tcPr>
            <w:tcW w:type="dxa" w:w="2232"/>
            <w:shd w:fill="F5F7F9"/>
            <w:vAlign w:val="top"/>
          </w:tcPr>
          <w:p>
            <w:pPr>
              <w:spacing w:after="0"/>
            </w:pPr>
            <w:r>
              <w:rPr>
                <w:sz w:val="15"/>
              </w:rPr>
              <w:t>Package reachability</w:t>
            </w:r>
          </w:p>
        </w:tc>
        <w:tc>
          <w:tcPr>
            <w:tcW w:type="dxa" w:w="3240"/>
            <w:vAlign w:val="top"/>
          </w:tcPr>
          <w:p>
            <w:pPr>
              <w:spacing w:after="0"/>
            </w:pPr>
            <w:r>
              <w:rPr>
                <w:sz w:val="15"/>
              </w:rPr>
              <w:t>Internal barrels implied public break</w:t>
            </w:r>
          </w:p>
        </w:tc>
        <w:tc>
          <w:tcPr>
            <w:tcW w:type="dxa" w:w="4680"/>
            <w:vAlign w:val="top"/>
          </w:tcPr>
          <w:p>
            <w:pPr>
              <w:spacing w:after="0"/>
            </w:pPr>
            <w:r>
              <w:rPr>
                <w:sz w:val="15"/>
              </w:rPr>
              <w:t>Exports map did not expose retiring primitives</w:t>
            </w:r>
          </w:p>
        </w:tc>
        <w:tc>
          <w:tcPr>
            <w:tcW w:type="dxa" w:w="2520"/>
            <w:vAlign w:val="top"/>
          </w:tcPr>
          <w:p>
            <w:pPr>
              <w:spacing w:after="0"/>
            </w:pPr>
            <w:r>
              <w:rPr>
                <w:sz w:val="15"/>
              </w:rPr>
              <w:t>Reclassified migration risk</w:t>
            </w:r>
          </w:p>
        </w:tc>
      </w:tr>
    </w:tbl>
    <w:p>
      <w:pPr>
        <w:spacing w:after="20"/>
        <w:widowControl w:val="true"/>
      </w:pPr>
    </w:p>
    <w:tbl>
      <w:tblPr>
        <w:tblW w:type="auto" w:w="0"/>
        <w:jc w:val="center"/>
        <w:tblLayout w:type="autofit"/>
        <w:tblLook w:firstColumn="1" w:firstRow="1" w:lastColumn="0" w:lastRow="0" w:noHBand="0" w:noVBand="1" w:val="04A0"/>
      </w:tblPr>
      <w:tblGrid>
        <w:gridCol w:w="9994"/>
      </w:tblGrid>
      <w:tr>
        <w:tc>
          <w:tcPr>
            <w:tcW w:type="dxa" w:w="9994"/>
            <w:shd w:fill="FBEDEA"/>
            <w:tcBorders>
              <w:top w:val="single" w:sz="8" w:color="C9D2D9"/>
              <w:left w:val="single" w:sz="8" w:color="C9D2D9"/>
              <w:bottom w:val="single" w:sz="8" w:color="C9D2D9"/>
              <w:right w:val="single" w:sz="8" w:color="C9D2D9"/>
            </w:tcBorders>
            <w:vAlign w:val="center"/>
          </w:tcPr>
          <w:p>
            <w:r>
              <w:rPr>
                <w:b/>
                <w:color w:val="A33A2B"/>
                <w:sz w:val="19"/>
              </w:rPr>
              <w:t>INSTITUTIONAL-MEMORY RULE</w:t>
            </w:r>
            <w:r>
              <w:rPr>
                <w:color w:val="222222"/>
                <w:sz w:val="18"/>
              </w:rPr>
              <w:br/>
              <w:t>A correction is not an embarrassment to hide. It is evidence that the process is capable of noticing when its own story is stronger than its measurements.</w:t>
            </w:r>
          </w:p>
        </w:tc>
      </w:tr>
    </w:tbl>
    <w:p>
      <w:pPr>
        <w:spacing w:after="0"/>
        <w:widowControl w:val="true"/>
      </w:pPr>
    </w:p>
    <w:p>
      <w:pPr>
        <w:pStyle w:val="Heading1"/>
        <w:widowControl w:val="true"/>
      </w:pPr>
      <w:r>
        <w:t>18. The freeze ledger</w:t>
      </w:r>
    </w:p>
    <w:p>
      <w:pPr>
        <w:widowControl w:val="true"/>
      </w:pPr>
      <w:r>
        <w:t>Discovery work is only useful if later work cannot casually reopen it. SignalTree used explicit freezes to turn measured conclusions into constraints on migration and cleanup.</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18324A"/>
            <w:vAlign w:val="center"/>
          </w:tcPr>
          <w:p>
            <w:r>
              <w:rPr>
                <w:b/>
                <w:color w:val="FFFFFF"/>
                <w:sz w:val="16"/>
              </w:rPr>
              <w:t>Area</w:t>
            </w:r>
          </w:p>
        </w:tc>
        <w:tc>
          <w:tcPr>
            <w:tcW w:type="dxa" w:w="4320"/>
            <w:shd w:fill="18324A"/>
            <w:vAlign w:val="center"/>
          </w:tcPr>
          <w:p>
            <w:r>
              <w:rPr>
                <w:b/>
                <w:color w:val="FFFFFF"/>
                <w:sz w:val="16"/>
              </w:rPr>
              <w:t>Earned contract</w:t>
            </w:r>
          </w:p>
        </w:tc>
        <w:tc>
          <w:tcPr>
            <w:tcW w:type="dxa" w:w="1584"/>
            <w:shd w:fill="18324A"/>
            <w:vAlign w:val="center"/>
          </w:tcPr>
          <w:p>
            <w:r>
              <w:rPr>
                <w:b/>
                <w:color w:val="FFFFFF"/>
                <w:sz w:val="16"/>
              </w:rPr>
              <w:t>Status</w:t>
            </w:r>
          </w:p>
        </w:tc>
        <w:tc>
          <w:tcPr>
            <w:tcW w:type="dxa" w:w="3960"/>
            <w:shd w:fill="18324A"/>
            <w:vAlign w:val="center"/>
          </w:tcPr>
          <w:p>
            <w:r>
              <w:rPr>
                <w:b/>
                <w:color w:val="FFFFFF"/>
                <w:sz w:val="16"/>
              </w:rPr>
              <w:t>Migration constraint</w:t>
            </w:r>
          </w:p>
        </w:tc>
      </w:tr>
      <w:tr>
        <w:trPr>
          <w:cantSplit w:val="true"/>
        </w:trPr>
        <w:tc>
          <w:tcPr>
            <w:tcW w:type="dxa" w:w="2088"/>
            <w:shd w:fill="F5F7F9"/>
            <w:vAlign w:val="top"/>
          </w:tcPr>
          <w:p>
            <w:pPr>
              <w:spacing w:after="0"/>
            </w:pPr>
            <w:r>
              <w:rPr>
                <w:sz w:val="16"/>
              </w:rPr>
              <w:t>Link public shape</w:t>
            </w:r>
          </w:p>
        </w:tc>
        <w:tc>
          <w:tcPr>
            <w:tcW w:type="dxa" w:w="4320"/>
            <w:vAlign w:val="top"/>
          </w:tcPr>
          <w:p>
            <w:pPr>
              <w:spacing w:after="0"/>
            </w:pPr>
            <w:r>
              <w:rPr>
                <w:sz w:val="16"/>
              </w:rPr>
              <w:t>`link`, `Link`, `LinkEndpoint`</w:t>
            </w:r>
          </w:p>
        </w:tc>
        <w:tc>
          <w:tcPr>
            <w:tcW w:type="dxa" w:w="1584"/>
            <w:vAlign w:val="top"/>
          </w:tcPr>
          <w:p>
            <w:pPr>
              <w:spacing w:after="0"/>
            </w:pPr>
            <w:r>
              <w:rPr>
                <w:sz w:val="16"/>
              </w:rPr>
              <w:t>Frozen</w:t>
            </w:r>
          </w:p>
        </w:tc>
        <w:tc>
          <w:tcPr>
            <w:tcW w:type="dxa" w:w="3960"/>
            <w:vAlign w:val="top"/>
          </w:tcPr>
          <w:p>
            <w:pPr>
              <w:spacing w:after="0"/>
            </w:pPr>
            <w:r>
              <w:rPr>
                <w:sz w:val="16"/>
              </w:rPr>
              <w:t>No migration convenience methods or modes</w:t>
            </w:r>
          </w:p>
        </w:tc>
      </w:tr>
      <w:tr>
        <w:trPr>
          <w:cantSplit w:val="true"/>
        </w:trPr>
        <w:tc>
          <w:tcPr>
            <w:tcW w:type="dxa" w:w="2088"/>
            <w:shd w:fill="F5F7F9"/>
            <w:vAlign w:val="top"/>
          </w:tcPr>
          <w:p>
            <w:pPr>
              <w:spacing w:after="0"/>
            </w:pPr>
            <w:r>
              <w:rPr>
                <w:sz w:val="16"/>
              </w:rPr>
              <w:t>Link semantics</w:t>
            </w:r>
          </w:p>
        </w:tc>
        <w:tc>
          <w:tcPr>
            <w:tcW w:type="dxa" w:w="4320"/>
            <w:vAlign w:val="top"/>
          </w:tcPr>
          <w:p>
            <w:pPr>
              <w:spacing w:after="0"/>
            </w:pPr>
            <w:r>
              <w:rPr>
                <w:sz w:val="16"/>
              </w:rPr>
              <w:t>explicit retrieve; strong settled; serial outbound; full-value replacement; structural equality; dispose</w:t>
            </w:r>
          </w:p>
        </w:tc>
        <w:tc>
          <w:tcPr>
            <w:tcW w:type="dxa" w:w="1584"/>
            <w:vAlign w:val="top"/>
          </w:tcPr>
          <w:p>
            <w:pPr>
              <w:spacing w:after="0"/>
            </w:pPr>
            <w:r>
              <w:rPr>
                <w:sz w:val="16"/>
              </w:rPr>
              <w:t>Frozen</w:t>
            </w:r>
          </w:p>
        </w:tc>
        <w:tc>
          <w:tcPr>
            <w:tcW w:type="dxa" w:w="3960"/>
            <w:vAlign w:val="top"/>
          </w:tcPr>
          <w:p>
            <w:pPr>
              <w:spacing w:after="0"/>
            </w:pPr>
            <w:r>
              <w:rPr>
                <w:sz w:val="16"/>
              </w:rPr>
              <w:t>No patch/comparator/status/retry additions absent falsifier</w:t>
            </w:r>
          </w:p>
        </w:tc>
      </w:tr>
      <w:tr>
        <w:trPr>
          <w:cantSplit w:val="true"/>
        </w:trPr>
        <w:tc>
          <w:tcPr>
            <w:tcW w:type="dxa" w:w="2088"/>
            <w:shd w:fill="F5F7F9"/>
            <w:vAlign w:val="top"/>
          </w:tcPr>
          <w:p>
            <w:pPr>
              <w:spacing w:after="0"/>
            </w:pPr>
            <w:r>
              <w:rPr>
                <w:sz w:val="16"/>
              </w:rPr>
              <w:t>Error surface</w:t>
            </w:r>
          </w:p>
        </w:tc>
        <w:tc>
          <w:tcPr>
            <w:tcW w:type="dxa" w:w="4320"/>
            <w:vAlign w:val="top"/>
          </w:tcPr>
          <w:p>
            <w:pPr>
              <w:spacing w:after="0"/>
            </w:pPr>
            <w:r>
              <w:rPr>
                <w:sz w:val="16"/>
              </w:rPr>
              <w:t>`onTreeError`, `TreeErrorEvent`, `TreeId`</w:t>
            </w:r>
          </w:p>
        </w:tc>
        <w:tc>
          <w:tcPr>
            <w:tcW w:type="dxa" w:w="1584"/>
            <w:vAlign w:val="top"/>
          </w:tcPr>
          <w:p>
            <w:pPr>
              <w:spacing w:after="0"/>
            </w:pPr>
            <w:r>
              <w:rPr>
                <w:sz w:val="16"/>
              </w:rPr>
              <w:t>Frozen</w:t>
            </w:r>
          </w:p>
        </w:tc>
        <w:tc>
          <w:tcPr>
            <w:tcW w:type="dxa" w:w="3960"/>
            <w:vAlign w:val="top"/>
          </w:tcPr>
          <w:p>
            <w:pPr>
              <w:spacing w:after="0"/>
            </w:pPr>
            <w:r>
              <w:rPr>
                <w:sz w:val="16"/>
              </w:rPr>
              <w:t>No storageKey/source/detail leakage</w:t>
            </w:r>
          </w:p>
        </w:tc>
      </w:tr>
      <w:tr>
        <w:trPr>
          <w:cantSplit w:val="true"/>
        </w:trPr>
        <w:tc>
          <w:tcPr>
            <w:tcW w:type="dxa" w:w="2088"/>
            <w:shd w:fill="F5F7F9"/>
            <w:vAlign w:val="top"/>
          </w:tcPr>
          <w:p>
            <w:pPr>
              <w:spacing w:after="0"/>
            </w:pPr>
            <w:r>
              <w:rPr>
                <w:sz w:val="16"/>
              </w:rPr>
              <w:t>TreeId meaning</w:t>
            </w:r>
          </w:p>
        </w:tc>
        <w:tc>
          <w:tcPr>
            <w:tcW w:type="dxa" w:w="4320"/>
            <w:vAlign w:val="top"/>
          </w:tcPr>
          <w:p>
            <w:pPr>
              <w:spacing w:after="0"/>
            </w:pPr>
            <w:r>
              <w:rPr>
                <w:sz w:val="16"/>
              </w:rPr>
              <w:t>Runtime-local live-tree correlation</w:t>
            </w:r>
          </w:p>
        </w:tc>
        <w:tc>
          <w:tcPr>
            <w:tcW w:type="dxa" w:w="1584"/>
            <w:vAlign w:val="top"/>
          </w:tcPr>
          <w:p>
            <w:pPr>
              <w:spacing w:after="0"/>
            </w:pPr>
            <w:r>
              <w:rPr>
                <w:sz w:val="16"/>
              </w:rPr>
              <w:t>Frozen</w:t>
            </w:r>
          </w:p>
        </w:tc>
        <w:tc>
          <w:tcPr>
            <w:tcW w:type="dxa" w:w="3960"/>
            <w:vAlign w:val="top"/>
          </w:tcPr>
          <w:p>
            <w:pPr>
              <w:spacing w:after="0"/>
            </w:pPr>
            <w:r>
              <w:rPr>
                <w:sz w:val="16"/>
              </w:rPr>
              <w:t>Not persistent, ordinal, serialized, cross-process</w:t>
            </w:r>
          </w:p>
        </w:tc>
      </w:tr>
      <w:tr>
        <w:trPr>
          <w:cantSplit w:val="true"/>
        </w:trPr>
        <w:tc>
          <w:tcPr>
            <w:tcW w:type="dxa" w:w="2088"/>
            <w:shd w:fill="F5F7F9"/>
            <w:vAlign w:val="top"/>
          </w:tcPr>
          <w:p>
            <w:pPr>
              <w:spacing w:after="0"/>
            </w:pPr>
            <w:r>
              <w:rPr>
                <w:sz w:val="16"/>
              </w:rPr>
              <w:t>Demarcation</w:t>
            </w:r>
          </w:p>
        </w:tc>
        <w:tc>
          <w:tcPr>
            <w:tcW w:type="dxa" w:w="4320"/>
            <w:vAlign w:val="top"/>
          </w:tcPr>
          <w:p>
            <w:pPr>
              <w:spacing w:after="0"/>
            </w:pPr>
            <w:r>
              <w:rPr>
                <w:sz w:val="16"/>
              </w:rPr>
              <w:t>No public afterCommit/onCommitted</w:t>
            </w:r>
          </w:p>
        </w:tc>
        <w:tc>
          <w:tcPr>
            <w:tcW w:type="dxa" w:w="1584"/>
            <w:vAlign w:val="top"/>
          </w:tcPr>
          <w:p>
            <w:pPr>
              <w:spacing w:after="0"/>
            </w:pPr>
            <w:r>
              <w:rPr>
                <w:sz w:val="16"/>
              </w:rPr>
              <w:t>Frozen</w:t>
            </w:r>
          </w:p>
        </w:tc>
        <w:tc>
          <w:tcPr>
            <w:tcW w:type="dxa" w:w="3960"/>
            <w:vAlign w:val="top"/>
          </w:tcPr>
          <w:p>
            <w:pPr>
              <w:spacing w:after="0"/>
            </w:pPr>
            <w:r>
              <w:rPr>
                <w:sz w:val="16"/>
              </w:rPr>
              <w:t>Application effects remain application-owned</w:t>
            </w:r>
          </w:p>
        </w:tc>
      </w:tr>
      <w:tr>
        <w:trPr>
          <w:cantSplit w:val="true"/>
        </w:trPr>
        <w:tc>
          <w:tcPr>
            <w:tcW w:type="dxa" w:w="2088"/>
            <w:shd w:fill="F5F7F9"/>
            <w:vAlign w:val="top"/>
          </w:tcPr>
          <w:p>
            <w:pPr>
              <w:spacing w:after="0"/>
            </w:pPr>
            <w:r>
              <w:rPr>
                <w:sz w:val="16"/>
              </w:rPr>
              <w:t>Comparison boundary</w:t>
            </w:r>
          </w:p>
        </w:tc>
        <w:tc>
          <w:tcPr>
            <w:tcW w:type="dxa" w:w="4320"/>
            <w:vAlign w:val="top"/>
          </w:tcPr>
          <w:p>
            <w:pPr>
              <w:spacing w:after="0"/>
            </w:pPr>
            <w:r>
              <w:rPr>
                <w:sz w:val="16"/>
              </w:rPr>
              <w:t>Complete NaturalValue snapshots</w:t>
            </w:r>
          </w:p>
        </w:tc>
        <w:tc>
          <w:tcPr>
            <w:tcW w:type="dxa" w:w="1584"/>
            <w:vAlign w:val="top"/>
          </w:tcPr>
          <w:p>
            <w:pPr>
              <w:spacing w:after="0"/>
            </w:pPr>
            <w:r>
              <w:rPr>
                <w:sz w:val="16"/>
              </w:rPr>
              <w:t>Frozen</w:t>
            </w:r>
          </w:p>
        </w:tc>
        <w:tc>
          <w:tcPr>
            <w:tcW w:type="dxa" w:w="3960"/>
            <w:vAlign w:val="top"/>
          </w:tcPr>
          <w:p>
            <w:pPr>
              <w:spacing w:after="0"/>
            </w:pPr>
            <w:r>
              <w:rPr>
                <w:sz w:val="16"/>
              </w:rPr>
              <w:t>Internal granularity does not change external Link truth</w:t>
            </w:r>
          </w:p>
        </w:tc>
      </w:tr>
      <w:tr>
        <w:trPr>
          <w:cantSplit w:val="true"/>
        </w:trPr>
        <w:tc>
          <w:tcPr>
            <w:tcW w:type="dxa" w:w="2088"/>
            <w:shd w:fill="F5F7F9"/>
            <w:vAlign w:val="top"/>
          </w:tcPr>
          <w:p>
            <w:pPr>
              <w:spacing w:after="0"/>
            </w:pPr>
            <w:r>
              <w:rPr>
                <w:sz w:val="16"/>
              </w:rPr>
              <w:t>Global persistence drain</w:t>
            </w:r>
          </w:p>
        </w:tc>
        <w:tc>
          <w:tcPr>
            <w:tcW w:type="dxa" w:w="4320"/>
            <w:vAlign w:val="top"/>
          </w:tcPr>
          <w:p>
            <w:pPr>
              <w:spacing w:after="0"/>
            </w:pPr>
            <w:r>
              <w:rPr>
                <w:sz w:val="16"/>
              </w:rPr>
              <w:t>`flushAllStoredSignals`</w:t>
            </w:r>
          </w:p>
        </w:tc>
        <w:tc>
          <w:tcPr>
            <w:tcW w:type="dxa" w:w="1584"/>
            <w:vAlign w:val="top"/>
          </w:tcPr>
          <w:p>
            <w:pPr>
              <w:spacing w:after="0"/>
            </w:pPr>
            <w:r>
              <w:rPr>
                <w:sz w:val="16"/>
              </w:rPr>
              <w:t>Rejected / delete</w:t>
            </w:r>
          </w:p>
        </w:tc>
        <w:tc>
          <w:tcPr>
            <w:tcW w:type="dxa" w:w="3960"/>
            <w:vAlign w:val="top"/>
          </w:tcPr>
          <w:p>
            <w:pPr>
              <w:spacing w:after="0"/>
            </w:pPr>
            <w:r>
              <w:rPr>
                <w:sz w:val="16"/>
              </w:rPr>
              <w:t>Local relationship settlement replaces process-wide authority</w:t>
            </w:r>
          </w:p>
        </w:tc>
      </w:tr>
    </w:tbl>
    <w:p>
      <w:pPr>
        <w:spacing w:after="20"/>
        <w:widowControl w:val="true"/>
      </w:pPr>
    </w:p>
    <w:p>
      <w:pPr>
        <w:widowControl w:val="true"/>
      </w:pPr>
      <w:r>
        <w:t>A freeze was never “we are tired of discussing this.” It meant the current claim had a preregistered falsification history and a permanent conformance surface. Reopening required new evidence capable of falsifying the frozen statement, not merely a new preference.</w:t>
      </w:r>
    </w:p>
    <w:p>
      <w:pPr>
        <w:pStyle w:val="Heading1"/>
        <w:widowControl w:val="true"/>
      </w:pPr>
      <w:r>
        <w:t>19. What the matrices actually changed</w:t>
      </w:r>
    </w:p>
    <w:p>
      <w:pPr>
        <w:widowControl w:val="true"/>
      </w:pPr>
      <w:r>
        <w:t>The matrices did more than organize results. In several episodes they changed the experiment itself.</w:t>
      </w:r>
    </w:p>
    <w:p>
      <w:pPr>
        <w:widowControl w:val="true"/>
      </w:pPr>
      <w:r>
        <w:t>The ownership matrix prevented `asyncQuery` from surviving on convenience alone. Once every capability mapped cleanly to RxJS and no independent consumer invariant remained, the primitive had no architectural monopoly.</w:t>
      </w:r>
    </w:p>
    <w:p>
      <w:pPr>
        <w:widowControl w:val="true"/>
      </w:pPr>
      <w:r>
        <w:t>The same matrix prevented loader deletion because the original buckets were incomplete. “Cache / remote-data policy” appeared only after the inventory failed to fit the template. The matrix exposed a category error before code was removed.</w:t>
      </w:r>
    </w:p>
    <w:p>
      <w:pPr>
        <w:widowControl w:val="true"/>
      </w:pPr>
      <w:r>
        <w:t>The persistence matrix prevented a false unification. Both `stored` and `loader.persist` serialize values, but only some concepts are genuinely shared. Loader-specific scoped hydration/GC and in-memory SWR remain different from generic state persistence.</w:t>
      </w:r>
    </w:p>
    <w:p>
      <w:pPr>
        <w:widowControl w:val="true"/>
      </w:pPr>
      <w:r>
        <w:t>The mutation matrix prevented test archaeology from being mistaken for safety. Local Link harnesses could describe the history of discovery while failing to notice a catastrophic production mutation.</w:t>
      </w:r>
    </w:p>
    <w:p>
      <w:pPr>
        <w:widowControl w:val="true"/>
      </w:pPr>
      <w:r>
        <w:t>The claim matrix prevented prose from outrunning proof. “Final C” was not allowed to stand as evidence of coalescing once count/timing were identified as the relevant dimensions.</w:t>
      </w: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MATRIX DESIGN RULE</w:t>
            </w:r>
            <w:r>
              <w:rPr>
                <w:color w:val="222222"/>
                <w:sz w:val="18"/>
              </w:rPr>
              <w:br/>
              <w:t>A good matrix makes it uncomfortable to hide an unmeasured dimension. When a result does not fit the available categories, repair the classification model before repairing the code.</w:t>
            </w:r>
          </w:p>
        </w:tc>
      </w:tr>
    </w:tbl>
    <w:p>
      <w:pPr>
        <w:spacing w:after="0"/>
        <w:widowControl w:val="true"/>
      </w:pPr>
    </w:p>
    <w:p>
      <w:pPr>
        <w:pStyle w:val="Heading1"/>
        <w:widowControl w:val="true"/>
      </w:pPr>
      <w:r>
        <w:t>20. How discovery became solidification</w:t>
      </w:r>
    </w:p>
    <w:p>
      <w:pPr>
        <w:widowControl w:val="true"/>
      </w:pPr>
      <w:r>
        <w:t>The program gradually changed modes. Early work maximized falsification. Later work minimized degrees of freedom.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8324A"/>
            <w:vAlign w:val="center"/>
          </w:tcPr>
          <w:p>
            <w:r>
              <w:rPr>
                <w:b/>
                <w:color w:val="FFFFFF"/>
                <w:sz w:val="16"/>
              </w:rPr>
              <w:t>Mode</w:t>
            </w:r>
          </w:p>
        </w:tc>
        <w:tc>
          <w:tcPr>
            <w:tcW w:type="dxa" w:w="3744"/>
            <w:shd w:fill="18324A"/>
            <w:vAlign w:val="center"/>
          </w:tcPr>
          <w:p>
            <w:r>
              <w:rPr>
                <w:b/>
                <w:color w:val="FFFFFF"/>
                <w:sz w:val="16"/>
              </w:rPr>
              <w:t>Primary question</w:t>
            </w:r>
          </w:p>
        </w:tc>
        <w:tc>
          <w:tcPr>
            <w:tcW w:type="dxa" w:w="6336"/>
            <w:shd w:fill="18324A"/>
            <w:vAlign w:val="center"/>
          </w:tcPr>
          <w:p>
            <w:r>
              <w:rPr>
                <w:b/>
                <w:color w:val="FFFFFF"/>
                <w:sz w:val="16"/>
              </w:rPr>
              <w:t>Typical proof</w:t>
            </w:r>
          </w:p>
        </w:tc>
      </w:tr>
      <w:tr>
        <w:trPr>
          <w:cantSplit w:val="true"/>
        </w:trPr>
        <w:tc>
          <w:tcPr>
            <w:tcW w:type="dxa" w:w="1872"/>
            <w:shd w:fill="F5F7F9"/>
            <w:vAlign w:val="top"/>
          </w:tcPr>
          <w:p>
            <w:pPr>
              <w:spacing w:after="0"/>
            </w:pPr>
            <w:r>
              <w:rPr>
                <w:sz w:val="16"/>
              </w:rPr>
              <w:t>Discovery</w:t>
            </w:r>
          </w:p>
        </w:tc>
        <w:tc>
          <w:tcPr>
            <w:tcW w:type="dxa" w:w="3744"/>
            <w:vAlign w:val="top"/>
          </w:tcPr>
          <w:p>
            <w:pPr>
              <w:spacing w:after="0"/>
            </w:pPr>
            <w:r>
              <w:rPr>
                <w:sz w:val="16"/>
              </w:rPr>
              <w:t>What is the true semantic owner?</w:t>
            </w:r>
          </w:p>
        </w:tc>
        <w:tc>
          <w:tcPr>
            <w:tcW w:type="dxa" w:w="6336"/>
            <w:vAlign w:val="top"/>
          </w:tcPr>
          <w:p>
            <w:pPr>
              <w:spacing w:after="0"/>
            </w:pPr>
            <w:r>
              <w:rPr>
                <w:sz w:val="16"/>
              </w:rPr>
              <w:t>Competing hypotheses; focused experiments; mutations; race tests; type negatives</w:t>
            </w:r>
          </w:p>
        </w:tc>
      </w:tr>
      <w:tr>
        <w:trPr>
          <w:cantSplit w:val="true"/>
        </w:trPr>
        <w:tc>
          <w:tcPr>
            <w:tcW w:type="dxa" w:w="1872"/>
            <w:shd w:fill="F5F7F9"/>
            <w:vAlign w:val="top"/>
          </w:tcPr>
          <w:p>
            <w:pPr>
              <w:spacing w:after="0"/>
            </w:pPr>
            <w:r>
              <w:rPr>
                <w:sz w:val="16"/>
              </w:rPr>
              <w:t>Closure</w:t>
            </w:r>
          </w:p>
        </w:tc>
        <w:tc>
          <w:tcPr>
            <w:tcW w:type="dxa" w:w="3744"/>
            <w:vAlign w:val="top"/>
          </w:tcPr>
          <w:p>
            <w:pPr>
              <w:spacing w:after="0"/>
            </w:pPr>
            <w:r>
              <w:rPr>
                <w:sz w:val="16"/>
              </w:rPr>
              <w:t>Which hypothesis survived?</w:t>
            </w:r>
          </w:p>
        </w:tc>
        <w:tc>
          <w:tcPr>
            <w:tcW w:type="dxa" w:w="6336"/>
            <w:vAlign w:val="top"/>
          </w:tcPr>
          <w:p>
            <w:pPr>
              <w:spacing w:after="0"/>
            </w:pPr>
            <w:r>
              <w:rPr>
                <w:sz w:val="16"/>
              </w:rPr>
              <w:t>Explicit decision record; corrected assumptions; non-claims</w:t>
            </w:r>
          </w:p>
        </w:tc>
      </w:tr>
      <w:tr>
        <w:trPr>
          <w:cantSplit w:val="true"/>
        </w:trPr>
        <w:tc>
          <w:tcPr>
            <w:tcW w:type="dxa" w:w="1872"/>
            <w:shd w:fill="F5F7F9"/>
            <w:vAlign w:val="top"/>
          </w:tcPr>
          <w:p>
            <w:pPr>
              <w:spacing w:after="0"/>
            </w:pPr>
            <w:r>
              <w:rPr>
                <w:sz w:val="16"/>
              </w:rPr>
              <w:t>Freeze</w:t>
            </w:r>
          </w:p>
        </w:tc>
        <w:tc>
          <w:tcPr>
            <w:tcW w:type="dxa" w:w="3744"/>
            <w:vAlign w:val="top"/>
          </w:tcPr>
          <w:p>
            <w:pPr>
              <w:spacing w:after="0"/>
            </w:pPr>
            <w:r>
              <w:rPr>
                <w:sz w:val="16"/>
              </w:rPr>
              <w:t>What may migration no longer change casually?</w:t>
            </w:r>
          </w:p>
        </w:tc>
        <w:tc>
          <w:tcPr>
            <w:tcW w:type="dxa" w:w="6336"/>
            <w:vAlign w:val="top"/>
          </w:tcPr>
          <w:p>
            <w:pPr>
              <w:spacing w:after="0"/>
            </w:pPr>
            <w:r>
              <w:rPr>
                <w:sz w:val="16"/>
              </w:rPr>
              <w:t>Public contract + semantics + permanent conformance</w:t>
            </w:r>
          </w:p>
        </w:tc>
      </w:tr>
      <w:tr>
        <w:trPr>
          <w:cantSplit w:val="true"/>
        </w:trPr>
        <w:tc>
          <w:tcPr>
            <w:tcW w:type="dxa" w:w="1872"/>
            <w:shd w:fill="F5F7F9"/>
            <w:vAlign w:val="top"/>
          </w:tcPr>
          <w:p>
            <w:pPr>
              <w:spacing w:after="0"/>
            </w:pPr>
            <w:r>
              <w:rPr>
                <w:sz w:val="16"/>
              </w:rPr>
              <w:t>Consolidation</w:t>
            </w:r>
          </w:p>
        </w:tc>
        <w:tc>
          <w:tcPr>
            <w:tcW w:type="dxa" w:w="3744"/>
            <w:vAlign w:val="top"/>
          </w:tcPr>
          <w:p>
            <w:pPr>
              <w:spacing w:after="0"/>
            </w:pPr>
            <w:r>
              <w:rPr>
                <w:sz w:val="16"/>
              </w:rPr>
              <w:t>Which evidence remains authoritative?</w:t>
            </w:r>
          </w:p>
        </w:tc>
        <w:tc>
          <w:tcPr>
            <w:tcW w:type="dxa" w:w="6336"/>
            <w:vAlign w:val="top"/>
          </w:tcPr>
          <w:p>
            <w:pPr>
              <w:spacing w:after="0"/>
            </w:pPr>
            <w:r>
              <w:rPr>
                <w:sz w:val="16"/>
              </w:rPr>
              <w:t>Archive/delete local harnesses; retain production-facing invariants</w:t>
            </w:r>
          </w:p>
        </w:tc>
      </w:tr>
      <w:tr>
        <w:trPr>
          <w:cantSplit w:val="true"/>
        </w:trPr>
        <w:tc>
          <w:tcPr>
            <w:tcW w:type="dxa" w:w="1872"/>
            <w:shd w:fill="F5F7F9"/>
            <w:vAlign w:val="top"/>
          </w:tcPr>
          <w:p>
            <w:pPr>
              <w:spacing w:after="0"/>
            </w:pPr>
            <w:r>
              <w:rPr>
                <w:sz w:val="16"/>
              </w:rPr>
              <w:t>Migration</w:t>
            </w:r>
          </w:p>
        </w:tc>
        <w:tc>
          <w:tcPr>
            <w:tcW w:type="dxa" w:w="3744"/>
            <w:vAlign w:val="top"/>
          </w:tcPr>
          <w:p>
            <w:pPr>
              <w:spacing w:after="0"/>
            </w:pPr>
            <w:r>
              <w:rPr>
                <w:sz w:val="16"/>
              </w:rPr>
              <w:t>How do callers express the frozen architecture?</w:t>
            </w:r>
          </w:p>
        </w:tc>
        <w:tc>
          <w:tcPr>
            <w:tcW w:type="dxa" w:w="6336"/>
            <w:vAlign w:val="top"/>
          </w:tcPr>
          <w:p>
            <w:pPr>
              <w:spacing w:after="0"/>
            </w:pPr>
            <w:r>
              <w:rPr>
                <w:sz w:val="16"/>
              </w:rPr>
              <w:t>Zero-reference gates; scenario preservation; tool/docs updates</w:t>
            </w:r>
          </w:p>
        </w:tc>
      </w:tr>
      <w:tr>
        <w:trPr>
          <w:cantSplit w:val="true"/>
        </w:trPr>
        <w:tc>
          <w:tcPr>
            <w:tcW w:type="dxa" w:w="1872"/>
            <w:shd w:fill="F5F7F9"/>
            <w:vAlign w:val="top"/>
          </w:tcPr>
          <w:p>
            <w:pPr>
              <w:spacing w:after="0"/>
            </w:pPr>
            <w:r>
              <w:rPr>
                <w:sz w:val="16"/>
              </w:rPr>
              <w:t>Release solidification</w:t>
            </w:r>
          </w:p>
        </w:tc>
        <w:tc>
          <w:tcPr>
            <w:tcW w:type="dxa" w:w="3744"/>
            <w:vAlign w:val="top"/>
          </w:tcPr>
          <w:p>
            <w:pPr>
              <w:spacing w:after="0"/>
            </w:pPr>
            <w:r>
              <w:rPr>
                <w:sz w:val="16"/>
              </w:rPr>
              <w:t>Does the published artifact and real consumer agree?</w:t>
            </w:r>
          </w:p>
        </w:tc>
        <w:tc>
          <w:tcPr>
            <w:tcW w:type="dxa" w:w="6336"/>
            <w:vAlign w:val="top"/>
          </w:tcPr>
          <w:p>
            <w:pPr>
              <w:spacing w:after="0"/>
            </w:pPr>
            <w:r>
              <w:rPr>
                <w:sz w:val="16"/>
              </w:rPr>
              <w:t>Demo, packaging gates, production consumer audit, performance proof</w:t>
            </w:r>
          </w:p>
        </w:tc>
      </w:tr>
    </w:tbl>
    <w:p>
      <w:pPr>
        <w:spacing w:after="20"/>
        <w:widowControl w:val="true"/>
      </w:pPr>
    </w:p>
    <w:p>
      <w:pPr>
        <w:widowControl w:val="true"/>
      </w:pPr>
      <w:r>
        <w:t>This mode shift matters. Continuing to brainstorm after a public contract is frozen is destabilizing. Conversely, freezing too early turns assumptions into doctrine. ADSP therefore treats “freeze” as a state transition earned by falsification, not as a stylistic preference.</w:t>
      </w:r>
    </w:p>
    <w:p>
      <w:pPr>
        <w:pStyle w:val="Heading1"/>
        <w:widowControl w:val="true"/>
      </w:pPr>
      <w:r>
        <w:t>21. What is still open</w:t>
      </w:r>
    </w:p>
    <w:p>
      <w:pPr>
        <w:widowControl w:val="true"/>
      </w:pPr>
      <w:r>
        <w:t>This case study is current through commit 08e38603 and deliberately stops at the real frontier instead of inventing a completed ending.</w:t>
      </w:r>
    </w:p>
    <w:p>
      <w:pPr>
        <w:widowControl w:val="true"/>
      </w:pPr>
      <w:r>
        <w:t>As of that point:</w:t>
      </w:r>
    </w:p>
    <w:p>
      <w:pPr>
        <w:pStyle w:val="ListBullet"/>
        <w:spacing w:after="50"/>
        <w:widowControl w:val="true"/>
      </w:pPr>
      <w:r>
        <w:t>Production Link is landed and frozen.</w:t>
      </w:r>
    </w:p>
    <w:p>
      <w:pPr>
        <w:pStyle w:val="ListBullet"/>
        <w:spacing w:after="50"/>
        <w:widowControl w:val="true"/>
      </w:pPr>
      <w:r>
        <w:t>The public error contract is landed and frozen.</w:t>
      </w:r>
    </w:p>
    <w:p>
      <w:pPr>
        <w:pStyle w:val="ListBullet"/>
        <w:spacing w:after="50"/>
        <w:widowControl w:val="true"/>
      </w:pPr>
      <w:r>
        <w:t>Comparison/full-state semantics are closed.</w:t>
      </w:r>
    </w:p>
    <w:p>
      <w:pPr>
        <w:pStyle w:val="ListBullet"/>
        <w:spacing w:after="50"/>
        <w:widowControl w:val="true"/>
      </w:pPr>
      <w:r>
        <w:t>Experimental Link archaeology has been consolidated.</w:t>
      </w:r>
    </w:p>
    <w:p>
      <w:pPr>
        <w:pStyle w:val="ListBullet"/>
        <w:spacing w:after="50"/>
        <w:widowControl w:val="true"/>
      </w:pPr>
      <w:r>
        <w:t>`asyncQuery` and `asyncSource` are deleted.</w:t>
      </w:r>
    </w:p>
    <w:p>
      <w:pPr>
        <w:pStyle w:val="ListBullet"/>
        <w:spacing w:after="50"/>
        <w:widowControl w:val="true"/>
      </w:pPr>
      <w:r>
        <w:t>Loader deletion was falsified; the cache/remote-data subsystem remains under disposition.</w:t>
      </w:r>
    </w:p>
    <w:p>
      <w:pPr>
        <w:pStyle w:val="ListBullet"/>
        <w:spacing w:after="50"/>
        <w:widowControl w:val="true"/>
      </w:pPr>
      <w:r>
        <w:t>Persistence decomposition is closed; frozen Link + endpoint/application policy requires no new core API.</w:t>
      </w:r>
    </w:p>
    <w:p>
      <w:pPr>
        <w:pStyle w:val="ListBullet"/>
        <w:spacing w:after="50"/>
        <w:widowControl w:val="true"/>
      </w:pPr>
      <w:r>
        <w:t>`stored()` and `flushAllStoredSignals()` remain preregistered DELETE, with STORED-RETIRE-0 next.</w:t>
      </w:r>
    </w:p>
    <w:p>
      <w:pPr>
        <w:pStyle w:val="ListBullet"/>
        <w:spacing w:after="50"/>
        <w:widowControl w:val="true"/>
      </w:pPr>
      <w:r>
        <w:t>LOADER-CACHE-DISPOSITION-0 follows stored retirement.</w:t>
      </w:r>
    </w:p>
    <w:p>
      <w:pPr>
        <w:pStyle w:val="ListBullet"/>
        <w:spacing w:after="50"/>
        <w:widowControl w:val="true"/>
      </w:pPr>
      <w:r>
        <w:t>A full DEMO-COVERAGE-0 release gate still follows migration.</w:t>
      </w:r>
    </w:p>
    <w:p>
      <w:pPr>
        <w:pStyle w:val="ListBullet"/>
        <w:spacing w:after="50"/>
        <w:widowControl w:val="true"/>
      </w:pPr>
      <w:r>
        <w:t>PERF-PROOF-0 still needs robust measurement to replace the known wall-clock flake.</w:t>
      </w:r>
    </w:p>
    <w:p>
      <w:pPr>
        <w:pStyle w:val="ListBullet"/>
        <w:spacing w:after="50"/>
        <w:widowControl w:val="true"/>
      </w:pPr>
      <w:r>
        <w:t>Clean-head release gates and TruckTrax production-consumer migration remain later validation layers.</w:t>
      </w:r>
    </w:p>
    <w:tbl>
      <w:tblPr>
        <w:tblW w:type="auto" w:w="0"/>
        <w:jc w:val="center"/>
        <w:tblLayout w:type="autofit"/>
        <w:tblLook w:firstColumn="1" w:firstRow="1" w:lastColumn="0" w:lastRow="0" w:noHBand="0" w:noVBand="1" w:val="04A0"/>
      </w:tblPr>
      <w:tblGrid>
        <w:gridCol w:w="9994"/>
      </w:tblGrid>
      <w:tr>
        <w:tc>
          <w:tcPr>
            <w:tcW w:type="dxa" w:w="9994"/>
            <w:shd w:fill="FFF7E3"/>
            <w:tcBorders>
              <w:top w:val="single" w:sz="8" w:color="C9D2D9"/>
              <w:left w:val="single" w:sz="8" w:color="C9D2D9"/>
              <w:bottom w:val="single" w:sz="8" w:color="C9D2D9"/>
              <w:right w:val="single" w:sz="8" w:color="C9D2D9"/>
            </w:tcBorders>
            <w:vAlign w:val="center"/>
          </w:tcPr>
          <w:p>
            <w:r>
              <w:rPr>
                <w:b/>
                <w:color w:val="8A6D1D"/>
                <w:sz w:val="19"/>
              </w:rPr>
              <w:t>WHY STOPPING HERE MATTERS</w:t>
            </w:r>
            <w:r>
              <w:rPr>
                <w:color w:val="222222"/>
                <w:sz w:val="18"/>
              </w:rPr>
              <w:br/>
              <w:t>A case study that fabricates closure teaches the wrong lesson. The protocol requires the current unknowns and blocked decisions to remain visible.</w:t>
            </w:r>
          </w:p>
        </w:tc>
      </w:tr>
    </w:tbl>
    <w:p>
      <w:pPr>
        <w:spacing w:after="0"/>
        <w:widowControl w:val="true"/>
      </w:pPr>
    </w:p>
    <w:p>
      <w:pPr>
        <w:pStyle w:val="Heading1"/>
        <w:widowControl w:val="true"/>
      </w:pPr>
      <w:r>
        <w:t>22. Reusable lessons from the SignalTree program</w:t>
      </w:r>
    </w:p>
    <w:p>
      <w:pPr>
        <w:spacing w:after="80"/>
        <w:widowControl w:val="true"/>
      </w:pPr>
      <w:r>
        <w:rPr>
          <w:b/>
          <w:color w:val="18324A"/>
        </w:rPr>
        <w:t xml:space="preserve">Ask ownership questions, not replacement questions. </w:t>
      </w:r>
      <w:r>
        <w:t>“What owns this behavior?” is more useful than “what can we rewrite this with?”</w:t>
      </w:r>
    </w:p>
    <w:p>
      <w:pPr>
        <w:spacing w:after="80"/>
        <w:widowControl w:val="true"/>
      </w:pPr>
      <w:r>
        <w:rPr>
          <w:b/>
          <w:color w:val="18324A"/>
        </w:rPr>
        <w:t xml:space="preserve">Preregister before implementation pressure arrives. </w:t>
      </w:r>
      <w:r>
        <w:t>Once a migration is half-written, it becomes psychologically expensive to accept a falsifier.</w:t>
      </w:r>
    </w:p>
    <w:p>
      <w:pPr>
        <w:spacing w:after="80"/>
        <w:widowControl w:val="true"/>
      </w:pPr>
      <w:r>
        <w:rPr>
          <w:b/>
          <w:color w:val="18324A"/>
        </w:rPr>
        <w:t xml:space="preserve">No causal authority does not mean no capability. </w:t>
      </w:r>
      <w:r>
        <w:t>Loader proved that policy/caching capability can be real even when the state engine should not own it.</w:t>
      </w:r>
    </w:p>
    <w:p>
      <w:pPr>
        <w:spacing w:after="80"/>
        <w:widowControl w:val="true"/>
      </w:pPr>
      <w:r>
        <w:rPr>
          <w:b/>
          <w:color w:val="18324A"/>
        </w:rPr>
        <w:t xml:space="preserve">Operational knowledge can survive abstraction deletion. </w:t>
      </w:r>
      <w:r>
        <w:t>The asyncQuery catchError placement was worth carrying forward even though the primitive was not.</w:t>
      </w:r>
    </w:p>
    <w:p>
      <w:pPr>
        <w:spacing w:after="80"/>
        <w:widowControl w:val="true"/>
      </w:pPr>
      <w:r>
        <w:rPr>
          <w:b/>
          <w:color w:val="18324A"/>
        </w:rPr>
        <w:t xml:space="preserve">Final-value assertions are weak for scheduling claims. </w:t>
      </w:r>
      <w:r>
        <w:t>Count, order, and timing are separate dimensions.</w:t>
      </w:r>
    </w:p>
    <w:p>
      <w:pPr>
        <w:spacing w:after="80"/>
        <w:widowControl w:val="true"/>
      </w:pPr>
      <w:r>
        <w:rPr>
          <w:b/>
          <w:color w:val="18324A"/>
        </w:rPr>
        <w:t xml:space="preserve">A green test is not automatically an authoritative test. </w:t>
      </w:r>
      <w:r>
        <w:t>Mutate production and see which gates die.</w:t>
      </w:r>
    </w:p>
    <w:p>
      <w:pPr>
        <w:spacing w:after="80"/>
        <w:widowControl w:val="true"/>
      </w:pPr>
      <w:r>
        <w:rPr>
          <w:b/>
          <w:color w:val="18324A"/>
        </w:rPr>
        <w:t xml:space="preserve">Compiler-driven deletion is safer than text-driven cleanup. </w:t>
      </w:r>
      <w:r>
        <w:t>Types reveal whether supposedly generic machinery still has a reachable use.</w:t>
      </w:r>
    </w:p>
    <w:p>
      <w:pPr>
        <w:spacing w:after="80"/>
        <w:widowControl w:val="true"/>
      </w:pPr>
      <w:r>
        <w:rPr>
          <w:b/>
          <w:color w:val="18324A"/>
        </w:rPr>
        <w:t xml:space="preserve">Public reachability must be measured. </w:t>
      </w:r>
      <w:r>
        <w:t>Root barrel, exports map, supported subpaths, docs, and consumer fixtures are different things.</w:t>
      </w:r>
    </w:p>
    <w:p>
      <w:pPr>
        <w:spacing w:after="80"/>
        <w:widowControl w:val="true"/>
      </w:pPr>
      <w:r>
        <w:rPr>
          <w:b/>
          <w:color w:val="18324A"/>
        </w:rPr>
        <w:t xml:space="preserve">Freeze after evidence, not before. </w:t>
      </w:r>
      <w:r>
        <w:t>Migration should conform to an earned contract rather than continuously renegotiate it.</w:t>
      </w:r>
    </w:p>
    <w:p>
      <w:pPr>
        <w:spacing w:after="80"/>
        <w:widowControl w:val="true"/>
      </w:pPr>
      <w:r>
        <w:rPr>
          <w:b/>
          <w:color w:val="18324A"/>
        </w:rPr>
        <w:t xml:space="preserve">Keep non-claims. </w:t>
      </w:r>
      <w:r>
        <w:t>Knowing what was not proven is part of the reusable engineering record.</w:t>
      </w:r>
    </w:p>
    <w:p>
      <w:pPr>
        <w:spacing w:after="80"/>
        <w:widowControl w:val="true"/>
      </w:pPr>
      <w:r>
        <w:rPr>
          <w:b/>
          <w:color w:val="18324A"/>
        </w:rPr>
        <w:t xml:space="preserve">Separate current guidance from historical evidence. </w:t>
      </w:r>
      <w:r>
        <w:t>Live docs should stop teaching deleted APIs; archaeology should preserve what actually happened.</w:t>
      </w:r>
    </w:p>
    <w:p>
      <w:pPr>
        <w:spacing w:after="80"/>
        <w:widowControl w:val="true"/>
      </w:pPr>
      <w:r>
        <w:rPr>
          <w:b/>
          <w:color w:val="18324A"/>
        </w:rPr>
        <w:t xml:space="preserve">Use real consumers as a distinct proof layer. </w:t>
      </w:r>
      <w:r>
        <w:t>Core correctness, demo usability, and production-consumer behavior answer different questions.</w:t>
      </w:r>
    </w:p>
    <w:p>
      <w:pPr>
        <w:sectPr>
          <w:pgSz w:w="12240" w:h="15840"/>
          <w:pgMar w:top="1037" w:right="1123" w:bottom="1037" w:left="1123" w:header="403" w:footer="403" w:gutter="0"/>
          <w:cols w:space="720"/>
          <w:docGrid w:linePitch="360"/>
        </w:sectPr>
        <w:widowControl w:val="true"/>
      </w:pPr>
    </w:p>
    <w:p>
      <w:pPr>
        <w:pStyle w:val="Heading1"/>
        <w:widowControl w:val="true"/>
      </w:pPr>
      <w:r>
        <w:t>Appendix A. Experiment and commit ledger</w:t>
      </w:r>
    </w:p>
    <w:p>
      <w:pPr>
        <w:widowControl w:val="true"/>
      </w:pPr>
      <w:r>
        <w:t>This ledger is not intended to reproduce every commit message. It provides chronological anchors showing how the discovery program accumulated constraints. Commit IDs are included because reproducibility was part of the method.</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8324A"/>
            <w:vAlign w:val="center"/>
          </w:tcPr>
          <w:p>
            <w:r>
              <w:rPr>
                <w:b/>
                <w:color w:val="FFFFFF"/>
                <w:sz w:val="14"/>
              </w:rPr>
              <w:t>Experiment / milestone</w:t>
            </w:r>
          </w:p>
        </w:tc>
        <w:tc>
          <w:tcPr>
            <w:tcW w:type="dxa" w:w="2016"/>
            <w:shd w:fill="18324A"/>
            <w:vAlign w:val="center"/>
          </w:tcPr>
          <w:p>
            <w:r>
              <w:rPr>
                <w:b/>
                <w:color w:val="FFFFFF"/>
                <w:sz w:val="14"/>
              </w:rPr>
              <w:t>Commit</w:t>
            </w:r>
          </w:p>
        </w:tc>
        <w:tc>
          <w:tcPr>
            <w:tcW w:type="dxa" w:w="8352"/>
            <w:shd w:fill="18324A"/>
            <w:vAlign w:val="center"/>
          </w:tcPr>
          <w:p>
            <w:r>
              <w:rPr>
                <w:b/>
                <w:color w:val="FFFFFF"/>
                <w:sz w:val="14"/>
              </w:rPr>
              <w:t>What it contributed</w:t>
            </w:r>
          </w:p>
        </w:tc>
      </w:tr>
      <w:tr>
        <w:trPr>
          <w:cantSplit w:val="true"/>
        </w:trPr>
        <w:tc>
          <w:tcPr>
            <w:tcW w:type="dxa" w:w="4320"/>
            <w:shd w:fill="F5F7F9"/>
            <w:vAlign w:val="top"/>
          </w:tcPr>
          <w:p>
            <w:pPr>
              <w:spacing w:after="0"/>
            </w:pPr>
            <w:r>
              <w:rPr>
                <w:sz w:val="14"/>
              </w:rPr>
              <w:t>HIST baseline</w:t>
            </w:r>
          </w:p>
        </w:tc>
        <w:tc>
          <w:tcPr>
            <w:tcW w:type="dxa" w:w="2016"/>
            <w:vAlign w:val="top"/>
          </w:tcPr>
          <w:p>
            <w:pPr>
              <w:spacing w:after="0"/>
            </w:pPr>
            <w:r>
              <w:rPr>
                <w:sz w:val="14"/>
              </w:rPr>
              <w:t>93cb931d</w:t>
            </w:r>
          </w:p>
        </w:tc>
        <w:tc>
          <w:tcPr>
            <w:tcW w:type="dxa" w:w="8352"/>
            <w:vAlign w:val="top"/>
          </w:tcPr>
          <w:p>
            <w:pPr>
              <w:spacing w:after="0"/>
            </w:pPr>
            <w:r>
              <w:rPr>
                <w:sz w:val="14"/>
              </w:rPr>
              <w:t>History scope baseline</w:t>
            </w:r>
          </w:p>
        </w:tc>
      </w:tr>
      <w:tr>
        <w:trPr>
          <w:cantSplit w:val="true"/>
        </w:trPr>
        <w:tc>
          <w:tcPr>
            <w:tcW w:type="dxa" w:w="4320"/>
            <w:shd w:fill="F5F7F9"/>
            <w:vAlign w:val="top"/>
          </w:tcPr>
          <w:p>
            <w:pPr>
              <w:spacing w:after="0"/>
            </w:pPr>
            <w:r>
              <w:rPr>
                <w:sz w:val="14"/>
              </w:rPr>
              <w:t>HIST-C2 second flip</w:t>
            </w:r>
          </w:p>
        </w:tc>
        <w:tc>
          <w:tcPr>
            <w:tcW w:type="dxa" w:w="2016"/>
            <w:vAlign w:val="top"/>
          </w:tcPr>
          <w:p>
            <w:pPr>
              <w:spacing w:after="0"/>
            </w:pPr>
            <w:r>
              <w:rPr>
                <w:sz w:val="14"/>
              </w:rPr>
              <w:t>e89e72bd</w:t>
            </w:r>
          </w:p>
        </w:tc>
        <w:tc>
          <w:tcPr>
            <w:tcW w:type="dxa" w:w="8352"/>
            <w:vAlign w:val="top"/>
          </w:tcPr>
          <w:p>
            <w:pPr>
              <w:spacing w:after="0"/>
            </w:pPr>
            <w:r>
              <w:rPr>
                <w:sz w:val="14"/>
              </w:rPr>
              <w:t>Causal-turn scope evidence</w:t>
            </w:r>
          </w:p>
        </w:tc>
      </w:tr>
      <w:tr>
        <w:trPr>
          <w:cantSplit w:val="true"/>
        </w:trPr>
        <w:tc>
          <w:tcPr>
            <w:tcW w:type="dxa" w:w="4320"/>
            <w:shd w:fill="F5F7F9"/>
            <w:vAlign w:val="top"/>
          </w:tcPr>
          <w:p>
            <w:pPr>
              <w:spacing w:after="0"/>
            </w:pPr>
            <w:r>
              <w:rPr>
                <w:sz w:val="14"/>
              </w:rPr>
              <w:t>Opt-in permanent</w:t>
            </w:r>
          </w:p>
        </w:tc>
        <w:tc>
          <w:tcPr>
            <w:tcW w:type="dxa" w:w="2016"/>
            <w:vAlign w:val="top"/>
          </w:tcPr>
          <w:p>
            <w:pPr>
              <w:spacing w:after="0"/>
            </w:pPr>
            <w:r>
              <w:rPr>
                <w:sz w:val="14"/>
              </w:rPr>
              <w:t>c271f77b</w:t>
            </w:r>
          </w:p>
        </w:tc>
        <w:tc>
          <w:tcPr>
            <w:tcW w:type="dxa" w:w="8352"/>
            <w:vAlign w:val="top"/>
          </w:tcPr>
          <w:p>
            <w:pPr>
              <w:spacing w:after="0"/>
            </w:pPr>
            <w:r>
              <w:rPr>
                <w:sz w:val="14"/>
              </w:rPr>
              <w:t>History participation boundary</w:t>
            </w:r>
          </w:p>
        </w:tc>
      </w:tr>
      <w:tr>
        <w:trPr>
          <w:cantSplit w:val="true"/>
        </w:trPr>
        <w:tc>
          <w:tcPr>
            <w:tcW w:type="dxa" w:w="4320"/>
            <w:shd w:fill="F5F7F9"/>
            <w:vAlign w:val="top"/>
          </w:tcPr>
          <w:p>
            <w:pPr>
              <w:spacing w:after="0"/>
            </w:pPr>
            <w:r>
              <w:rPr>
                <w:sz w:val="14"/>
              </w:rPr>
              <w:t>TX-LEDGER C3</w:t>
            </w:r>
          </w:p>
        </w:tc>
        <w:tc>
          <w:tcPr>
            <w:tcW w:type="dxa" w:w="2016"/>
            <w:vAlign w:val="top"/>
          </w:tcPr>
          <w:p>
            <w:pPr>
              <w:spacing w:after="0"/>
            </w:pPr>
            <w:r>
              <w:rPr>
                <w:sz w:val="14"/>
              </w:rPr>
              <w:t>e4e0463b</w:t>
            </w:r>
          </w:p>
        </w:tc>
        <w:tc>
          <w:tcPr>
            <w:tcW w:type="dxa" w:w="8352"/>
            <w:vAlign w:val="top"/>
          </w:tcPr>
          <w:p>
            <w:pPr>
              <w:spacing w:after="0"/>
            </w:pPr>
            <w:r>
              <w:rPr>
                <w:sz w:val="14"/>
              </w:rPr>
              <w:t>Transaction authority / consequence ledger</w:t>
            </w:r>
          </w:p>
        </w:tc>
      </w:tr>
      <w:tr>
        <w:trPr>
          <w:cantSplit w:val="true"/>
        </w:trPr>
        <w:tc>
          <w:tcPr>
            <w:tcW w:type="dxa" w:w="4320"/>
            <w:shd w:fill="F5F7F9"/>
            <w:vAlign w:val="top"/>
          </w:tcPr>
          <w:p>
            <w:pPr>
              <w:spacing w:after="0"/>
            </w:pPr>
            <w:r>
              <w:rPr>
                <w:sz w:val="14"/>
              </w:rPr>
              <w:t>Undoable</w:t>
            </w:r>
          </w:p>
        </w:tc>
        <w:tc>
          <w:tcPr>
            <w:tcW w:type="dxa" w:w="2016"/>
            <w:vAlign w:val="top"/>
          </w:tcPr>
          <w:p>
            <w:pPr>
              <w:spacing w:after="0"/>
            </w:pPr>
            <w:r>
              <w:rPr>
                <w:sz w:val="14"/>
              </w:rPr>
              <w:t>300dd121</w:t>
            </w:r>
          </w:p>
        </w:tc>
        <w:tc>
          <w:tcPr>
            <w:tcW w:type="dxa" w:w="8352"/>
            <w:vAlign w:val="top"/>
          </w:tcPr>
          <w:p>
            <w:pPr>
              <w:spacing w:after="0"/>
            </w:pPr>
            <w:r>
              <w:rPr>
                <w:sz w:val="14"/>
              </w:rPr>
              <w:t>Restoration semantics</w:t>
            </w:r>
          </w:p>
        </w:tc>
      </w:tr>
      <w:tr>
        <w:trPr>
          <w:cantSplit w:val="true"/>
        </w:trPr>
        <w:tc>
          <w:tcPr>
            <w:tcW w:type="dxa" w:w="4320"/>
            <w:shd w:fill="F5F7F9"/>
            <w:vAlign w:val="top"/>
          </w:tcPr>
          <w:p>
            <w:pPr>
              <w:spacing w:after="0"/>
            </w:pPr>
            <w:r>
              <w:rPr>
                <w:sz w:val="14"/>
              </w:rPr>
              <w:t>external rename</w:t>
            </w:r>
          </w:p>
        </w:tc>
        <w:tc>
          <w:tcPr>
            <w:tcW w:type="dxa" w:w="2016"/>
            <w:vAlign w:val="top"/>
          </w:tcPr>
          <w:p>
            <w:pPr>
              <w:spacing w:after="0"/>
            </w:pPr>
            <w:r>
              <w:rPr>
                <w:sz w:val="14"/>
              </w:rPr>
              <w:t>98edd3c1</w:t>
            </w:r>
          </w:p>
        </w:tc>
        <w:tc>
          <w:tcPr>
            <w:tcW w:type="dxa" w:w="8352"/>
            <w:vAlign w:val="top"/>
          </w:tcPr>
          <w:p>
            <w:pPr>
              <w:spacing w:after="0"/>
            </w:pPr>
            <w:r>
              <w:rPr>
                <w:sz w:val="14"/>
              </w:rPr>
              <w:t>External authorship naming</w:t>
            </w:r>
          </w:p>
        </w:tc>
      </w:tr>
      <w:tr>
        <w:trPr>
          <w:cantSplit w:val="true"/>
        </w:trPr>
        <w:tc>
          <w:tcPr>
            <w:tcW w:type="dxa" w:w="4320"/>
            <w:shd w:fill="F5F7F9"/>
            <w:vAlign w:val="top"/>
          </w:tcPr>
          <w:p>
            <w:pPr>
              <w:spacing w:after="0"/>
            </w:pPr>
            <w:r>
              <w:rPr>
                <w:sz w:val="14"/>
              </w:rPr>
              <w:t>PER-B boundary</w:t>
            </w:r>
          </w:p>
        </w:tc>
        <w:tc>
          <w:tcPr>
            <w:tcW w:type="dxa" w:w="2016"/>
            <w:vAlign w:val="top"/>
          </w:tcPr>
          <w:p>
            <w:pPr>
              <w:spacing w:after="0"/>
            </w:pPr>
            <w:r>
              <w:rPr>
                <w:sz w:val="14"/>
              </w:rPr>
              <w:t>0ed78578</w:t>
            </w:r>
          </w:p>
        </w:tc>
        <w:tc>
          <w:tcPr>
            <w:tcW w:type="dxa" w:w="8352"/>
            <w:vAlign w:val="top"/>
          </w:tcPr>
          <w:p>
            <w:pPr>
              <w:spacing w:after="0"/>
            </w:pPr>
            <w:r>
              <w:rPr>
                <w:sz w:val="14"/>
              </w:rPr>
              <w:t>Persistence boundary experiment</w:t>
            </w:r>
          </w:p>
        </w:tc>
      </w:tr>
      <w:tr>
        <w:trPr>
          <w:cantSplit w:val="true"/>
        </w:trPr>
        <w:tc>
          <w:tcPr>
            <w:tcW w:type="dxa" w:w="4320"/>
            <w:shd w:fill="F5F7F9"/>
            <w:vAlign w:val="top"/>
          </w:tcPr>
          <w:p>
            <w:pPr>
              <w:spacing w:after="0"/>
            </w:pPr>
            <w:r>
              <w:rPr>
                <w:sz w:val="14"/>
              </w:rPr>
              <w:t>MATRIX</w:t>
            </w:r>
          </w:p>
        </w:tc>
        <w:tc>
          <w:tcPr>
            <w:tcW w:type="dxa" w:w="2016"/>
            <w:vAlign w:val="top"/>
          </w:tcPr>
          <w:p>
            <w:pPr>
              <w:spacing w:after="0"/>
            </w:pPr>
            <w:r>
              <w:rPr>
                <w:sz w:val="14"/>
              </w:rPr>
              <w:t>f1a1d09c</w:t>
            </w:r>
          </w:p>
        </w:tc>
        <w:tc>
          <w:tcPr>
            <w:tcW w:type="dxa" w:w="8352"/>
            <w:vAlign w:val="top"/>
          </w:tcPr>
          <w:p>
            <w:pPr>
              <w:spacing w:after="0"/>
            </w:pPr>
            <w:r>
              <w:rPr>
                <w:sz w:val="14"/>
              </w:rPr>
              <w:t>Decision-matrix hardening</w:t>
            </w:r>
          </w:p>
        </w:tc>
      </w:tr>
      <w:tr>
        <w:trPr>
          <w:cantSplit w:val="true"/>
        </w:trPr>
        <w:tc>
          <w:tcPr>
            <w:tcW w:type="dxa" w:w="4320"/>
            <w:shd w:fill="F5F7F9"/>
            <w:vAlign w:val="top"/>
          </w:tcPr>
          <w:p>
            <w:pPr>
              <w:spacing w:after="0"/>
            </w:pPr>
            <w:r>
              <w:rPr>
                <w:sz w:val="14"/>
              </w:rPr>
              <w:t>Notifier impact</w:t>
            </w:r>
          </w:p>
        </w:tc>
        <w:tc>
          <w:tcPr>
            <w:tcW w:type="dxa" w:w="2016"/>
            <w:vAlign w:val="top"/>
          </w:tcPr>
          <w:p>
            <w:pPr>
              <w:spacing w:after="0"/>
            </w:pPr>
            <w:r>
              <w:rPr>
                <w:sz w:val="14"/>
              </w:rPr>
              <w:t>192627e8</w:t>
            </w:r>
          </w:p>
        </w:tc>
        <w:tc>
          <w:tcPr>
            <w:tcW w:type="dxa" w:w="8352"/>
            <w:vAlign w:val="top"/>
          </w:tcPr>
          <w:p>
            <w:pPr>
              <w:spacing w:after="0"/>
            </w:pPr>
            <w:r>
              <w:rPr>
                <w:sz w:val="14"/>
              </w:rPr>
              <w:t>Scheduling/notifier semantics</w:t>
            </w:r>
          </w:p>
        </w:tc>
      </w:tr>
      <w:tr>
        <w:trPr>
          <w:cantSplit w:val="true"/>
        </w:trPr>
        <w:tc>
          <w:tcPr>
            <w:tcW w:type="dxa" w:w="4320"/>
            <w:shd w:fill="F5F7F9"/>
            <w:vAlign w:val="top"/>
          </w:tcPr>
          <w:p>
            <w:pPr>
              <w:spacing w:after="0"/>
            </w:pPr>
            <w:r>
              <w:rPr>
                <w:sz w:val="14"/>
              </w:rPr>
              <w:t>Ownership + LINK-0</w:t>
            </w:r>
          </w:p>
        </w:tc>
        <w:tc>
          <w:tcPr>
            <w:tcW w:type="dxa" w:w="2016"/>
            <w:vAlign w:val="top"/>
          </w:tcPr>
          <w:p>
            <w:pPr>
              <w:spacing w:after="0"/>
            </w:pPr>
            <w:r>
              <w:rPr>
                <w:sz w:val="14"/>
              </w:rPr>
              <w:t>8074522e</w:t>
            </w:r>
          </w:p>
        </w:tc>
        <w:tc>
          <w:tcPr>
            <w:tcW w:type="dxa" w:w="8352"/>
            <w:vAlign w:val="top"/>
          </w:tcPr>
          <w:p>
            <w:pPr>
              <w:spacing w:after="0"/>
            </w:pPr>
            <w:r>
              <w:rPr>
                <w:sz w:val="14"/>
              </w:rPr>
              <w:t>Initial Link ownership</w:t>
            </w:r>
          </w:p>
        </w:tc>
      </w:tr>
      <w:tr>
        <w:trPr>
          <w:cantSplit w:val="true"/>
        </w:trPr>
        <w:tc>
          <w:tcPr>
            <w:tcW w:type="dxa" w:w="4320"/>
            <w:shd w:fill="F5F7F9"/>
            <w:vAlign w:val="top"/>
          </w:tcPr>
          <w:p>
            <w:pPr>
              <w:spacing w:after="0"/>
            </w:pPr>
            <w:r>
              <w:rPr>
                <w:sz w:val="14"/>
              </w:rPr>
              <w:t>LINK-1</w:t>
            </w:r>
          </w:p>
        </w:tc>
        <w:tc>
          <w:tcPr>
            <w:tcW w:type="dxa" w:w="2016"/>
            <w:vAlign w:val="top"/>
          </w:tcPr>
          <w:p>
            <w:pPr>
              <w:spacing w:after="0"/>
            </w:pPr>
            <w:r>
              <w:rPr>
                <w:sz w:val="14"/>
              </w:rPr>
              <w:t>f9fc94a6</w:t>
            </w:r>
          </w:p>
        </w:tc>
        <w:tc>
          <w:tcPr>
            <w:tcW w:type="dxa" w:w="8352"/>
            <w:vAlign w:val="top"/>
          </w:tcPr>
          <w:p>
            <w:pPr>
              <w:spacing w:after="0"/>
            </w:pPr>
            <w:r>
              <w:rPr>
                <w:sz w:val="14"/>
              </w:rPr>
              <w:t>Link semantics</w:t>
            </w:r>
          </w:p>
        </w:tc>
      </w:tr>
      <w:tr>
        <w:trPr>
          <w:cantSplit w:val="true"/>
        </w:trPr>
        <w:tc>
          <w:tcPr>
            <w:tcW w:type="dxa" w:w="4320"/>
            <w:shd w:fill="F5F7F9"/>
            <w:vAlign w:val="top"/>
          </w:tcPr>
          <w:p>
            <w:pPr>
              <w:spacing w:after="0"/>
            </w:pPr>
            <w:r>
              <w:rPr>
                <w:sz w:val="14"/>
              </w:rPr>
              <w:t>LINK-ECHO-1 + LINK-2</w:t>
            </w:r>
          </w:p>
        </w:tc>
        <w:tc>
          <w:tcPr>
            <w:tcW w:type="dxa" w:w="2016"/>
            <w:vAlign w:val="top"/>
          </w:tcPr>
          <w:p>
            <w:pPr>
              <w:spacing w:after="0"/>
            </w:pPr>
            <w:r>
              <w:rPr>
                <w:sz w:val="14"/>
              </w:rPr>
              <w:t>f1b3fb18</w:t>
            </w:r>
          </w:p>
        </w:tc>
        <w:tc>
          <w:tcPr>
            <w:tcW w:type="dxa" w:w="8352"/>
            <w:vAlign w:val="top"/>
          </w:tcPr>
          <w:p>
            <w:pPr>
              <w:spacing w:after="0"/>
            </w:pPr>
            <w:r>
              <w:rPr>
                <w:sz w:val="14"/>
              </w:rPr>
              <w:t>Echo suppression / handle semantics</w:t>
            </w:r>
          </w:p>
        </w:tc>
      </w:tr>
      <w:tr>
        <w:trPr>
          <w:cantSplit w:val="true"/>
        </w:trPr>
        <w:tc>
          <w:tcPr>
            <w:tcW w:type="dxa" w:w="4320"/>
            <w:shd w:fill="F5F7F9"/>
            <w:vAlign w:val="top"/>
          </w:tcPr>
          <w:p>
            <w:pPr>
              <w:spacing w:after="0"/>
            </w:pPr>
            <w:r>
              <w:rPr>
                <w:sz w:val="14"/>
              </w:rPr>
              <w:t>EGRESS-0 + LINK-RACE-0</w:t>
            </w:r>
          </w:p>
        </w:tc>
        <w:tc>
          <w:tcPr>
            <w:tcW w:type="dxa" w:w="2016"/>
            <w:vAlign w:val="top"/>
          </w:tcPr>
          <w:p>
            <w:pPr>
              <w:spacing w:after="0"/>
            </w:pPr>
            <w:r>
              <w:rPr>
                <w:sz w:val="14"/>
              </w:rPr>
              <w:t>892672e9</w:t>
            </w:r>
          </w:p>
        </w:tc>
        <w:tc>
          <w:tcPr>
            <w:tcW w:type="dxa" w:w="8352"/>
            <w:vAlign w:val="top"/>
          </w:tcPr>
          <w:p>
            <w:pPr>
              <w:spacing w:after="0"/>
            </w:pPr>
            <w:r>
              <w:rPr>
                <w:sz w:val="14"/>
              </w:rPr>
              <w:t>Outbound consequences / race</w:t>
            </w:r>
          </w:p>
        </w:tc>
      </w:tr>
      <w:tr>
        <w:trPr>
          <w:cantSplit w:val="true"/>
        </w:trPr>
        <w:tc>
          <w:tcPr>
            <w:tcW w:type="dxa" w:w="4320"/>
            <w:shd w:fill="F5F7F9"/>
            <w:vAlign w:val="top"/>
          </w:tcPr>
          <w:p>
            <w:pPr>
              <w:spacing w:after="0"/>
            </w:pPr>
            <w:r>
              <w:rPr>
                <w:sz w:val="14"/>
              </w:rPr>
              <w:t>LINK-RACE-1 + EGRESS-1</w:t>
            </w:r>
          </w:p>
        </w:tc>
        <w:tc>
          <w:tcPr>
            <w:tcW w:type="dxa" w:w="2016"/>
            <w:vAlign w:val="top"/>
          </w:tcPr>
          <w:p>
            <w:pPr>
              <w:spacing w:after="0"/>
            </w:pPr>
            <w:r>
              <w:rPr>
                <w:sz w:val="14"/>
              </w:rPr>
              <w:t>d2de5b9d</w:t>
            </w:r>
          </w:p>
        </w:tc>
        <w:tc>
          <w:tcPr>
            <w:tcW w:type="dxa" w:w="8352"/>
            <w:vAlign w:val="top"/>
          </w:tcPr>
          <w:p>
            <w:pPr>
              <w:spacing w:after="0"/>
            </w:pPr>
            <w:r>
              <w:rPr>
                <w:sz w:val="14"/>
              </w:rPr>
              <w:t>Reconciliation / settlement</w:t>
            </w:r>
          </w:p>
        </w:tc>
      </w:tr>
      <w:tr>
        <w:trPr>
          <w:cantSplit w:val="true"/>
        </w:trPr>
        <w:tc>
          <w:tcPr>
            <w:tcW w:type="dxa" w:w="4320"/>
            <w:shd w:fill="F5F7F9"/>
            <w:vAlign w:val="top"/>
          </w:tcPr>
          <w:p>
            <w:pPr>
              <w:spacing w:after="0"/>
            </w:pPr>
            <w:r>
              <w:rPr>
                <w:sz w:val="14"/>
              </w:rPr>
              <w:t>OWNER-REPLAY-1</w:t>
            </w:r>
          </w:p>
        </w:tc>
        <w:tc>
          <w:tcPr>
            <w:tcW w:type="dxa" w:w="2016"/>
            <w:vAlign w:val="top"/>
          </w:tcPr>
          <w:p>
            <w:pPr>
              <w:spacing w:after="0"/>
            </w:pPr>
            <w:r>
              <w:rPr>
                <w:sz w:val="14"/>
              </w:rPr>
              <w:t>c8903c32</w:t>
            </w:r>
          </w:p>
        </w:tc>
        <w:tc>
          <w:tcPr>
            <w:tcW w:type="dxa" w:w="8352"/>
            <w:vAlign w:val="top"/>
          </w:tcPr>
          <w:p>
            <w:pPr>
              <w:spacing w:after="0"/>
            </w:pPr>
            <w:r>
              <w:rPr>
                <w:sz w:val="14"/>
              </w:rPr>
              <w:t>Identity under replay</w:t>
            </w:r>
          </w:p>
        </w:tc>
      </w:tr>
      <w:tr>
        <w:trPr>
          <w:cantSplit w:val="true"/>
        </w:trPr>
        <w:tc>
          <w:tcPr>
            <w:tcW w:type="dxa" w:w="4320"/>
            <w:shd w:fill="F5F7F9"/>
            <w:vAlign w:val="top"/>
          </w:tcPr>
          <w:p>
            <w:pPr>
              <w:spacing w:after="0"/>
            </w:pPr>
            <w:r>
              <w:rPr>
                <w:sz w:val="14"/>
              </w:rPr>
              <w:t>OWNER-REPLAY-2</w:t>
            </w:r>
          </w:p>
        </w:tc>
        <w:tc>
          <w:tcPr>
            <w:tcW w:type="dxa" w:w="2016"/>
            <w:vAlign w:val="top"/>
          </w:tcPr>
          <w:p>
            <w:pPr>
              <w:spacing w:after="0"/>
            </w:pPr>
            <w:r>
              <w:rPr>
                <w:sz w:val="14"/>
              </w:rPr>
              <w:t>4454e55d</w:t>
            </w:r>
          </w:p>
        </w:tc>
        <w:tc>
          <w:tcPr>
            <w:tcW w:type="dxa" w:w="8352"/>
            <w:vAlign w:val="top"/>
          </w:tcPr>
          <w:p>
            <w:pPr>
              <w:spacing w:after="0"/>
            </w:pPr>
            <w:r>
              <w:rPr>
                <w:sz w:val="14"/>
              </w:rPr>
              <w:t>Replay refinement</w:t>
            </w:r>
          </w:p>
        </w:tc>
      </w:tr>
      <w:tr>
        <w:trPr>
          <w:cantSplit w:val="true"/>
        </w:trPr>
        <w:tc>
          <w:tcPr>
            <w:tcW w:type="dxa" w:w="4320"/>
            <w:shd w:fill="F5F7F9"/>
            <w:vAlign w:val="top"/>
          </w:tcPr>
          <w:p>
            <w:pPr>
              <w:spacing w:after="0"/>
            </w:pPr>
            <w:r>
              <w:rPr>
                <w:sz w:val="14"/>
              </w:rPr>
              <w:t>AFTER-COMMIT-0</w:t>
            </w:r>
          </w:p>
        </w:tc>
        <w:tc>
          <w:tcPr>
            <w:tcW w:type="dxa" w:w="2016"/>
            <w:vAlign w:val="top"/>
          </w:tcPr>
          <w:p>
            <w:pPr>
              <w:spacing w:after="0"/>
            </w:pPr>
            <w:r>
              <w:rPr>
                <w:sz w:val="14"/>
              </w:rPr>
              <w:t>909f5a6c</w:t>
            </w:r>
          </w:p>
        </w:tc>
        <w:tc>
          <w:tcPr>
            <w:tcW w:type="dxa" w:w="8352"/>
            <w:vAlign w:val="top"/>
          </w:tcPr>
          <w:p>
            <w:pPr>
              <w:spacing w:after="0"/>
            </w:pPr>
            <w:r>
              <w:rPr>
                <w:sz w:val="14"/>
              </w:rPr>
              <w:t>Public after-commit hypothesis</w:t>
            </w:r>
          </w:p>
        </w:tc>
      </w:tr>
      <w:tr>
        <w:trPr>
          <w:cantSplit w:val="true"/>
        </w:trPr>
        <w:tc>
          <w:tcPr>
            <w:tcW w:type="dxa" w:w="4320"/>
            <w:shd w:fill="F5F7F9"/>
            <w:vAlign w:val="top"/>
          </w:tcPr>
          <w:p>
            <w:pPr>
              <w:spacing w:after="0"/>
            </w:pPr>
            <w:r>
              <w:rPr>
                <w:sz w:val="14"/>
              </w:rPr>
              <w:t>AFTER-COMMIT-1</w:t>
            </w:r>
          </w:p>
        </w:tc>
        <w:tc>
          <w:tcPr>
            <w:tcW w:type="dxa" w:w="2016"/>
            <w:vAlign w:val="top"/>
          </w:tcPr>
          <w:p>
            <w:pPr>
              <w:spacing w:after="0"/>
            </w:pPr>
            <w:r>
              <w:rPr>
                <w:sz w:val="14"/>
              </w:rPr>
              <w:t>454b9c57</w:t>
            </w:r>
          </w:p>
        </w:tc>
        <w:tc>
          <w:tcPr>
            <w:tcW w:type="dxa" w:w="8352"/>
            <w:vAlign w:val="top"/>
          </w:tcPr>
          <w:p>
            <w:pPr>
              <w:spacing w:after="0"/>
            </w:pPr>
            <w:r>
              <w:rPr>
                <w:sz w:val="14"/>
              </w:rPr>
              <w:t>After-commit null survives</w:t>
            </w:r>
          </w:p>
        </w:tc>
      </w:tr>
      <w:tr>
        <w:trPr>
          <w:cantSplit w:val="true"/>
        </w:trPr>
        <w:tc>
          <w:tcPr>
            <w:tcW w:type="dxa" w:w="4320"/>
            <w:shd w:fill="F5F7F9"/>
            <w:vAlign w:val="top"/>
          </w:tcPr>
          <w:p>
            <w:pPr>
              <w:spacing w:after="0"/>
            </w:pPr>
            <w:r>
              <w:rPr>
                <w:sz w:val="14"/>
              </w:rPr>
              <w:t>DEMARCATION-0</w:t>
            </w:r>
          </w:p>
        </w:tc>
        <w:tc>
          <w:tcPr>
            <w:tcW w:type="dxa" w:w="2016"/>
            <w:vAlign w:val="top"/>
          </w:tcPr>
          <w:p>
            <w:pPr>
              <w:spacing w:after="0"/>
            </w:pPr>
            <w:r>
              <w:rPr>
                <w:sz w:val="14"/>
              </w:rPr>
              <w:t>ad3f50a7</w:t>
            </w:r>
          </w:p>
        </w:tc>
        <w:tc>
          <w:tcPr>
            <w:tcW w:type="dxa" w:w="8352"/>
            <w:vAlign w:val="top"/>
          </w:tcPr>
          <w:p>
            <w:pPr>
              <w:spacing w:after="0"/>
            </w:pPr>
            <w:r>
              <w:rPr>
                <w:sz w:val="14"/>
              </w:rPr>
              <w:t>Core/application boundary</w:t>
            </w:r>
          </w:p>
        </w:tc>
      </w:tr>
      <w:tr>
        <w:trPr>
          <w:cantSplit w:val="true"/>
        </w:trPr>
        <w:tc>
          <w:tcPr>
            <w:tcW w:type="dxa" w:w="4320"/>
            <w:shd w:fill="F5F7F9"/>
            <w:vAlign w:val="top"/>
          </w:tcPr>
          <w:p>
            <w:pPr>
              <w:spacing w:after="0"/>
            </w:pPr>
            <w:r>
              <w:rPr>
                <w:sz w:val="14"/>
              </w:rPr>
              <w:t>ENTITY-LINK-0 + HANDLE</w:t>
            </w:r>
          </w:p>
        </w:tc>
        <w:tc>
          <w:tcPr>
            <w:tcW w:type="dxa" w:w="2016"/>
            <w:vAlign w:val="top"/>
          </w:tcPr>
          <w:p>
            <w:pPr>
              <w:spacing w:after="0"/>
            </w:pPr>
            <w:r>
              <w:rPr>
                <w:sz w:val="14"/>
              </w:rPr>
              <w:t>0d85aa59</w:t>
            </w:r>
          </w:p>
        </w:tc>
        <w:tc>
          <w:tcPr>
            <w:tcW w:type="dxa" w:w="8352"/>
            <w:vAlign w:val="top"/>
          </w:tcPr>
          <w:p>
            <w:pPr>
              <w:spacing w:after="0"/>
            </w:pPr>
            <w:r>
              <w:rPr>
                <w:sz w:val="14"/>
              </w:rPr>
              <w:t>Entity Link shape / handle mode</w:t>
            </w:r>
          </w:p>
        </w:tc>
      </w:tr>
      <w:tr>
        <w:trPr>
          <w:cantSplit w:val="true"/>
        </w:trPr>
        <w:tc>
          <w:tcPr>
            <w:tcW w:type="dxa" w:w="4320"/>
            <w:shd w:fill="F5F7F9"/>
            <w:vAlign w:val="top"/>
          </w:tcPr>
          <w:p>
            <w:pPr>
              <w:spacing w:after="0"/>
            </w:pPr>
            <w:r>
              <w:rPr>
                <w:sz w:val="14"/>
              </w:rPr>
              <w:t>OWNER-LOCATION + COLLECTION</w:t>
            </w:r>
          </w:p>
        </w:tc>
        <w:tc>
          <w:tcPr>
            <w:tcW w:type="dxa" w:w="2016"/>
            <w:vAlign w:val="top"/>
          </w:tcPr>
          <w:p>
            <w:pPr>
              <w:spacing w:after="0"/>
            </w:pPr>
            <w:r>
              <w:rPr>
                <w:sz w:val="14"/>
              </w:rPr>
              <w:t>cb0c8c5a</w:t>
            </w:r>
          </w:p>
        </w:tc>
        <w:tc>
          <w:tcPr>
            <w:tcW w:type="dxa" w:w="8352"/>
            <w:vAlign w:val="top"/>
          </w:tcPr>
          <w:p>
            <w:pPr>
              <w:spacing w:after="0"/>
            </w:pPr>
            <w:r>
              <w:rPr>
                <w:sz w:val="14"/>
              </w:rPr>
              <w:t>Ownership location / collection boundary</w:t>
            </w:r>
          </w:p>
        </w:tc>
      </w:tr>
      <w:tr>
        <w:trPr>
          <w:cantSplit w:val="true"/>
        </w:trPr>
        <w:tc>
          <w:tcPr>
            <w:tcW w:type="dxa" w:w="4320"/>
            <w:shd w:fill="F5F7F9"/>
            <w:vAlign w:val="top"/>
          </w:tcPr>
          <w:p>
            <w:pPr>
              <w:spacing w:after="0"/>
            </w:pPr>
            <w:r>
              <w:rPr>
                <w:sz w:val="14"/>
              </w:rPr>
              <w:t>Nested rollback</w:t>
            </w:r>
          </w:p>
        </w:tc>
        <w:tc>
          <w:tcPr>
            <w:tcW w:type="dxa" w:w="2016"/>
            <w:vAlign w:val="top"/>
          </w:tcPr>
          <w:p>
            <w:pPr>
              <w:spacing w:after="0"/>
            </w:pPr>
            <w:r>
              <w:rPr>
                <w:sz w:val="14"/>
              </w:rPr>
              <w:t>e886cd5d</w:t>
            </w:r>
          </w:p>
        </w:tc>
        <w:tc>
          <w:tcPr>
            <w:tcW w:type="dxa" w:w="8352"/>
            <w:vAlign w:val="top"/>
          </w:tcPr>
          <w:p>
            <w:pPr>
              <w:spacing w:after="0"/>
            </w:pPr>
            <w:r>
              <w:rPr>
                <w:sz w:val="14"/>
              </w:rPr>
              <w:t>Structural rollback</w:t>
            </w:r>
          </w:p>
        </w:tc>
      </w:tr>
      <w:tr>
        <w:trPr>
          <w:cantSplit w:val="true"/>
        </w:trPr>
        <w:tc>
          <w:tcPr>
            <w:tcW w:type="dxa" w:w="4320"/>
            <w:shd w:fill="F5F7F9"/>
            <w:vAlign w:val="top"/>
          </w:tcPr>
          <w:p>
            <w:pPr>
              <w:spacing w:after="0"/>
            </w:pPr>
            <w:r>
              <w:rPr>
                <w:sz w:val="14"/>
              </w:rPr>
              <w:t>Realization namespace</w:t>
            </w:r>
          </w:p>
        </w:tc>
        <w:tc>
          <w:tcPr>
            <w:tcW w:type="dxa" w:w="2016"/>
            <w:vAlign w:val="top"/>
          </w:tcPr>
          <w:p>
            <w:pPr>
              <w:spacing w:after="0"/>
            </w:pPr>
            <w:r>
              <w:rPr>
                <w:sz w:val="14"/>
              </w:rPr>
              <w:t>f2a58ca8</w:t>
            </w:r>
          </w:p>
        </w:tc>
        <w:tc>
          <w:tcPr>
            <w:tcW w:type="dxa" w:w="8352"/>
            <w:vAlign w:val="top"/>
          </w:tcPr>
          <w:p>
            <w:pPr>
              <w:spacing w:after="0"/>
            </w:pPr>
            <w:r>
              <w:rPr>
                <w:sz w:val="14"/>
              </w:rPr>
              <w:t>External realization identity</w:t>
            </w:r>
          </w:p>
        </w:tc>
      </w:tr>
      <w:tr>
        <w:trPr>
          <w:cantSplit w:val="true"/>
        </w:trPr>
        <w:tc>
          <w:tcPr>
            <w:tcW w:type="dxa" w:w="4320"/>
            <w:shd w:fill="F5F7F9"/>
            <w:vAlign w:val="top"/>
          </w:tcPr>
          <w:p>
            <w:pPr>
              <w:spacing w:after="0"/>
            </w:pPr>
            <w:r>
              <w:rPr>
                <w:sz w:val="14"/>
              </w:rPr>
              <w:t>Owner ping</w:t>
            </w:r>
          </w:p>
        </w:tc>
        <w:tc>
          <w:tcPr>
            <w:tcW w:type="dxa" w:w="2016"/>
            <w:vAlign w:val="top"/>
          </w:tcPr>
          <w:p>
            <w:pPr>
              <w:spacing w:after="0"/>
            </w:pPr>
            <w:r>
              <w:rPr>
                <w:sz w:val="14"/>
              </w:rPr>
              <w:t>2de13d4a</w:t>
            </w:r>
          </w:p>
        </w:tc>
        <w:tc>
          <w:tcPr>
            <w:tcW w:type="dxa" w:w="8352"/>
            <w:vAlign w:val="top"/>
          </w:tcPr>
          <w:p>
            <w:pPr>
              <w:spacing w:after="0"/>
            </w:pPr>
            <w:r>
              <w:rPr>
                <w:sz w:val="14"/>
              </w:rPr>
              <w:t>Ownership notification</w:t>
            </w:r>
          </w:p>
        </w:tc>
      </w:tr>
      <w:tr>
        <w:trPr>
          <w:cantSplit w:val="true"/>
        </w:trPr>
        <w:tc>
          <w:tcPr>
            <w:tcW w:type="dxa" w:w="4320"/>
            <w:shd w:fill="F5F7F9"/>
            <w:vAlign w:val="top"/>
          </w:tcPr>
          <w:p>
            <w:pPr>
              <w:spacing w:after="0"/>
            </w:pPr>
            <w:r>
              <w:rPr>
                <w:sz w:val="14"/>
              </w:rPr>
              <w:t>Realization address</w:t>
            </w:r>
          </w:p>
        </w:tc>
        <w:tc>
          <w:tcPr>
            <w:tcW w:type="dxa" w:w="2016"/>
            <w:vAlign w:val="top"/>
          </w:tcPr>
          <w:p>
            <w:pPr>
              <w:spacing w:after="0"/>
            </w:pPr>
            <w:r>
              <w:rPr>
                <w:sz w:val="14"/>
              </w:rPr>
              <w:t>d7e1bd55</w:t>
            </w:r>
          </w:p>
        </w:tc>
        <w:tc>
          <w:tcPr>
            <w:tcW w:type="dxa" w:w="8352"/>
            <w:vAlign w:val="top"/>
          </w:tcPr>
          <w:p>
            <w:pPr>
              <w:spacing w:after="0"/>
            </w:pPr>
            <w:r>
              <w:rPr>
                <w:sz w:val="14"/>
              </w:rPr>
              <w:t>Address semantics</w:t>
            </w:r>
          </w:p>
        </w:tc>
      </w:tr>
      <w:tr>
        <w:trPr>
          <w:cantSplit w:val="true"/>
        </w:trPr>
        <w:tc>
          <w:tcPr>
            <w:tcW w:type="dxa" w:w="4320"/>
            <w:shd w:fill="F5F7F9"/>
            <w:vAlign w:val="top"/>
          </w:tcPr>
          <w:p>
            <w:pPr>
              <w:spacing w:after="0"/>
            </w:pPr>
            <w:r>
              <w:rPr>
                <w:sz w:val="14"/>
              </w:rPr>
              <w:t>Target role</w:t>
            </w:r>
          </w:p>
        </w:tc>
        <w:tc>
          <w:tcPr>
            <w:tcW w:type="dxa" w:w="2016"/>
            <w:vAlign w:val="top"/>
          </w:tcPr>
          <w:p>
            <w:pPr>
              <w:spacing w:after="0"/>
            </w:pPr>
            <w:r>
              <w:rPr>
                <w:sz w:val="14"/>
              </w:rPr>
              <w:t>1f94c326</w:t>
            </w:r>
          </w:p>
        </w:tc>
        <w:tc>
          <w:tcPr>
            <w:tcW w:type="dxa" w:w="8352"/>
            <w:vAlign w:val="top"/>
          </w:tcPr>
          <w:p>
            <w:pPr>
              <w:spacing w:after="0"/>
            </w:pPr>
            <w:r>
              <w:rPr>
                <w:sz w:val="14"/>
              </w:rPr>
              <w:t>Realization target role</w:t>
            </w:r>
          </w:p>
        </w:tc>
      </w:tr>
      <w:tr>
        <w:trPr>
          <w:cantSplit w:val="true"/>
        </w:trPr>
        <w:tc>
          <w:tcPr>
            <w:tcW w:type="dxa" w:w="4320"/>
            <w:shd w:fill="F5F7F9"/>
            <w:vAlign w:val="top"/>
          </w:tcPr>
          <w:p>
            <w:pPr>
              <w:spacing w:after="0"/>
            </w:pPr>
            <w:r>
              <w:rPr>
                <w:sz w:val="14"/>
              </w:rPr>
              <w:t>Descriptor role</w:t>
            </w:r>
          </w:p>
        </w:tc>
        <w:tc>
          <w:tcPr>
            <w:tcW w:type="dxa" w:w="2016"/>
            <w:vAlign w:val="top"/>
          </w:tcPr>
          <w:p>
            <w:pPr>
              <w:spacing w:after="0"/>
            </w:pPr>
            <w:r>
              <w:rPr>
                <w:sz w:val="14"/>
              </w:rPr>
              <w:t>364f07ac</w:t>
            </w:r>
          </w:p>
        </w:tc>
        <w:tc>
          <w:tcPr>
            <w:tcW w:type="dxa" w:w="8352"/>
            <w:vAlign w:val="top"/>
          </w:tcPr>
          <w:p>
            <w:pPr>
              <w:spacing w:after="0"/>
            </w:pPr>
            <w:r>
              <w:rPr>
                <w:sz w:val="14"/>
              </w:rPr>
              <w:t>Descriptor semantics</w:t>
            </w:r>
          </w:p>
        </w:tc>
      </w:tr>
      <w:tr>
        <w:trPr>
          <w:cantSplit w:val="true"/>
        </w:trPr>
        <w:tc>
          <w:tcPr>
            <w:tcW w:type="dxa" w:w="4320"/>
            <w:shd w:fill="F5F7F9"/>
            <w:vAlign w:val="top"/>
          </w:tcPr>
          <w:p>
            <w:pPr>
              <w:spacing w:after="0"/>
            </w:pPr>
            <w:r>
              <w:rPr>
                <w:sz w:val="14"/>
              </w:rPr>
              <w:t>Subject address</w:t>
            </w:r>
          </w:p>
        </w:tc>
        <w:tc>
          <w:tcPr>
            <w:tcW w:type="dxa" w:w="2016"/>
            <w:vAlign w:val="top"/>
          </w:tcPr>
          <w:p>
            <w:pPr>
              <w:spacing w:after="0"/>
            </w:pPr>
            <w:r>
              <w:rPr>
                <w:sz w:val="14"/>
              </w:rPr>
              <w:t>8ef73430</w:t>
            </w:r>
          </w:p>
        </w:tc>
        <w:tc>
          <w:tcPr>
            <w:tcW w:type="dxa" w:w="8352"/>
            <w:vAlign w:val="top"/>
          </w:tcPr>
          <w:p>
            <w:pPr>
              <w:spacing w:after="0"/>
            </w:pPr>
            <w:r>
              <w:rPr>
                <w:sz w:val="14"/>
              </w:rPr>
              <w:t>Entity subject identity</w:t>
            </w:r>
          </w:p>
        </w:tc>
      </w:tr>
      <w:tr>
        <w:trPr>
          <w:cantSplit w:val="true"/>
        </w:trPr>
        <w:tc>
          <w:tcPr>
            <w:tcW w:type="dxa" w:w="4320"/>
            <w:shd w:fill="F5F7F9"/>
            <w:vAlign w:val="top"/>
          </w:tcPr>
          <w:p>
            <w:pPr>
              <w:spacing w:after="0"/>
            </w:pPr>
            <w:r>
              <w:rPr>
                <w:sz w:val="14"/>
              </w:rPr>
              <w:t>Subject cardinality</w:t>
            </w:r>
          </w:p>
        </w:tc>
        <w:tc>
          <w:tcPr>
            <w:tcW w:type="dxa" w:w="2016"/>
            <w:vAlign w:val="top"/>
          </w:tcPr>
          <w:p>
            <w:pPr>
              <w:spacing w:after="0"/>
            </w:pPr>
            <w:r>
              <w:rPr>
                <w:sz w:val="14"/>
              </w:rPr>
              <w:t>67dcd5e9</w:t>
            </w:r>
          </w:p>
        </w:tc>
        <w:tc>
          <w:tcPr>
            <w:tcW w:type="dxa" w:w="8352"/>
            <w:vAlign w:val="top"/>
          </w:tcPr>
          <w:p>
            <w:pPr>
              <w:spacing w:after="0"/>
            </w:pPr>
            <w:r>
              <w:rPr>
                <w:sz w:val="14"/>
              </w:rPr>
              <w:t>Subject/address cardinality</w:t>
            </w:r>
          </w:p>
        </w:tc>
      </w:tr>
      <w:tr>
        <w:trPr>
          <w:cantSplit w:val="true"/>
        </w:trPr>
        <w:tc>
          <w:tcPr>
            <w:tcW w:type="dxa" w:w="4320"/>
            <w:shd w:fill="F5F7F9"/>
            <w:vAlign w:val="top"/>
          </w:tcPr>
          <w:p>
            <w:pPr>
              <w:spacing w:after="0"/>
            </w:pPr>
            <w:r>
              <w:rPr>
                <w:sz w:val="14"/>
              </w:rPr>
              <w:t>Whole effect</w:t>
            </w:r>
          </w:p>
        </w:tc>
        <w:tc>
          <w:tcPr>
            <w:tcW w:type="dxa" w:w="2016"/>
            <w:vAlign w:val="top"/>
          </w:tcPr>
          <w:p>
            <w:pPr>
              <w:spacing w:after="0"/>
            </w:pPr>
            <w:r>
              <w:rPr>
                <w:sz w:val="14"/>
              </w:rPr>
              <w:t>285941d7</w:t>
            </w:r>
          </w:p>
        </w:tc>
        <w:tc>
          <w:tcPr>
            <w:tcW w:type="dxa" w:w="8352"/>
            <w:vAlign w:val="top"/>
          </w:tcPr>
          <w:p>
            <w:pPr>
              <w:spacing w:after="0"/>
            </w:pPr>
            <w:r>
              <w:rPr>
                <w:sz w:val="14"/>
              </w:rPr>
              <w:t>Whole-value effects</w:t>
            </w:r>
          </w:p>
        </w:tc>
      </w:tr>
      <w:tr>
        <w:trPr>
          <w:cantSplit w:val="true"/>
        </w:trPr>
        <w:tc>
          <w:tcPr>
            <w:tcW w:type="dxa" w:w="4320"/>
            <w:shd w:fill="F5F7F9"/>
            <w:vAlign w:val="top"/>
          </w:tcPr>
          <w:p>
            <w:pPr>
              <w:spacing w:after="0"/>
            </w:pPr>
            <w:r>
              <w:rPr>
                <w:sz w:val="14"/>
              </w:rPr>
              <w:t>Address repair</w:t>
            </w:r>
          </w:p>
        </w:tc>
        <w:tc>
          <w:tcPr>
            <w:tcW w:type="dxa" w:w="2016"/>
            <w:vAlign w:val="top"/>
          </w:tcPr>
          <w:p>
            <w:pPr>
              <w:spacing w:after="0"/>
            </w:pPr>
            <w:r>
              <w:rPr>
                <w:sz w:val="14"/>
              </w:rPr>
              <w:t>aff7e6a6</w:t>
            </w:r>
          </w:p>
        </w:tc>
        <w:tc>
          <w:tcPr>
            <w:tcW w:type="dxa" w:w="8352"/>
            <w:vAlign w:val="top"/>
          </w:tcPr>
          <w:p>
            <w:pPr>
              <w:spacing w:after="0"/>
            </w:pPr>
            <w:r>
              <w:rPr>
                <w:sz w:val="14"/>
              </w:rPr>
              <w:t>Identity/address correction</w:t>
            </w:r>
          </w:p>
        </w:tc>
      </w:tr>
      <w:tr>
        <w:trPr>
          <w:cantSplit w:val="true"/>
        </w:trPr>
        <w:tc>
          <w:tcPr>
            <w:tcW w:type="dxa" w:w="4320"/>
            <w:shd w:fill="F5F7F9"/>
            <w:vAlign w:val="top"/>
          </w:tcPr>
          <w:p>
            <w:pPr>
              <w:spacing w:after="0"/>
            </w:pPr>
            <w:r>
              <w:rPr>
                <w:sz w:val="14"/>
              </w:rPr>
              <w:t>Replace-one-subject</w:t>
            </w:r>
          </w:p>
        </w:tc>
        <w:tc>
          <w:tcPr>
            <w:tcW w:type="dxa" w:w="2016"/>
            <w:vAlign w:val="top"/>
          </w:tcPr>
          <w:p>
            <w:pPr>
              <w:spacing w:after="0"/>
            </w:pPr>
            <w:r>
              <w:rPr>
                <w:sz w:val="14"/>
              </w:rPr>
              <w:t>d50ae108</w:t>
            </w:r>
          </w:p>
        </w:tc>
        <w:tc>
          <w:tcPr>
            <w:tcW w:type="dxa" w:w="8352"/>
            <w:vAlign w:val="top"/>
          </w:tcPr>
          <w:p>
            <w:pPr>
              <w:spacing w:after="0"/>
            </w:pPr>
            <w:r>
              <w:rPr>
                <w:sz w:val="14"/>
              </w:rPr>
              <w:t>Entity replacement semantics</w:t>
            </w:r>
          </w:p>
        </w:tc>
      </w:tr>
      <w:tr>
        <w:trPr>
          <w:cantSplit w:val="true"/>
        </w:trPr>
        <w:tc>
          <w:tcPr>
            <w:tcW w:type="dxa" w:w="4320"/>
            <w:shd w:fill="F5F7F9"/>
            <w:vAlign w:val="top"/>
          </w:tcPr>
          <w:p>
            <w:pPr>
              <w:spacing w:after="0"/>
            </w:pPr>
            <w:r>
              <w:rPr>
                <w:sz w:val="14"/>
              </w:rPr>
              <w:t>Descriptor recheck</w:t>
            </w:r>
          </w:p>
        </w:tc>
        <w:tc>
          <w:tcPr>
            <w:tcW w:type="dxa" w:w="2016"/>
            <w:vAlign w:val="top"/>
          </w:tcPr>
          <w:p>
            <w:pPr>
              <w:spacing w:after="0"/>
            </w:pPr>
            <w:r>
              <w:rPr>
                <w:sz w:val="14"/>
              </w:rPr>
              <w:t>8d626e18</w:t>
            </w:r>
          </w:p>
        </w:tc>
        <w:tc>
          <w:tcPr>
            <w:tcW w:type="dxa" w:w="8352"/>
            <w:vAlign w:val="top"/>
          </w:tcPr>
          <w:p>
            <w:pPr>
              <w:spacing w:after="0"/>
            </w:pPr>
            <w:r>
              <w:rPr>
                <w:sz w:val="14"/>
              </w:rPr>
              <w:t>Pre-production descriptor validation</w:t>
            </w:r>
          </w:p>
        </w:tc>
      </w:tr>
      <w:tr>
        <w:trPr>
          <w:cantSplit w:val="true"/>
        </w:trPr>
        <w:tc>
          <w:tcPr>
            <w:tcW w:type="dxa" w:w="4320"/>
            <w:shd w:fill="F5F7F9"/>
            <w:vAlign w:val="top"/>
          </w:tcPr>
          <w:p>
            <w:pPr>
              <w:spacing w:after="0"/>
            </w:pPr>
            <w:r>
              <w:rPr>
                <w:sz w:val="14"/>
              </w:rPr>
              <w:t>Collection type</w:t>
            </w:r>
          </w:p>
        </w:tc>
        <w:tc>
          <w:tcPr>
            <w:tcW w:type="dxa" w:w="2016"/>
            <w:vAlign w:val="top"/>
          </w:tcPr>
          <w:p>
            <w:pPr>
              <w:spacing w:after="0"/>
            </w:pPr>
            <w:r>
              <w:rPr>
                <w:sz w:val="14"/>
              </w:rPr>
              <w:t>8bbc4310</w:t>
            </w:r>
          </w:p>
        </w:tc>
        <w:tc>
          <w:tcPr>
            <w:tcW w:type="dxa" w:w="8352"/>
            <w:vAlign w:val="top"/>
          </w:tcPr>
          <w:p>
            <w:pPr>
              <w:spacing w:after="0"/>
            </w:pPr>
            <w:r>
              <w:rPr>
                <w:sz w:val="14"/>
              </w:rPr>
              <w:t>Row[] Link typing</w:t>
            </w:r>
          </w:p>
        </w:tc>
      </w:tr>
      <w:tr>
        <w:trPr>
          <w:cantSplit w:val="true"/>
        </w:trPr>
        <w:tc>
          <w:tcPr>
            <w:tcW w:type="dxa" w:w="4320"/>
            <w:shd w:fill="F5F7F9"/>
            <w:vAlign w:val="top"/>
          </w:tcPr>
          <w:p>
            <w:pPr>
              <w:spacing w:after="0"/>
            </w:pPr>
            <w:r>
              <w:rPr>
                <w:sz w:val="14"/>
              </w:rPr>
              <w:t>Materialized value</w:t>
            </w:r>
          </w:p>
        </w:tc>
        <w:tc>
          <w:tcPr>
            <w:tcW w:type="dxa" w:w="2016"/>
            <w:vAlign w:val="top"/>
          </w:tcPr>
          <w:p>
            <w:pPr>
              <w:spacing w:after="0"/>
            </w:pPr>
            <w:r>
              <w:rPr>
                <w:sz w:val="14"/>
              </w:rPr>
              <w:t>86b1096f</w:t>
            </w:r>
          </w:p>
        </w:tc>
        <w:tc>
          <w:tcPr>
            <w:tcW w:type="dxa" w:w="8352"/>
            <w:vAlign w:val="top"/>
          </w:tcPr>
          <w:p>
            <w:pPr>
              <w:spacing w:after="0"/>
            </w:pPr>
            <w:r>
              <w:rPr>
                <w:sz w:val="14"/>
              </w:rPr>
              <w:t>NaturalValue boundary</w:t>
            </w:r>
          </w:p>
        </w:tc>
      </w:tr>
      <w:tr>
        <w:trPr>
          <w:cantSplit w:val="true"/>
        </w:trPr>
        <w:tc>
          <w:tcPr>
            <w:tcW w:type="dxa" w:w="4320"/>
            <w:shd w:fill="F5F7F9"/>
            <w:vAlign w:val="top"/>
          </w:tcPr>
          <w:p>
            <w:pPr>
              <w:spacing w:after="0"/>
            </w:pPr>
            <w:r>
              <w:rPr>
                <w:sz w:val="14"/>
              </w:rPr>
              <w:t>Production Link</w:t>
            </w:r>
          </w:p>
        </w:tc>
        <w:tc>
          <w:tcPr>
            <w:tcW w:type="dxa" w:w="2016"/>
            <w:vAlign w:val="top"/>
          </w:tcPr>
          <w:p>
            <w:pPr>
              <w:spacing w:after="0"/>
            </w:pPr>
            <w:r>
              <w:rPr>
                <w:sz w:val="14"/>
              </w:rPr>
              <w:t>c3d79be0</w:t>
            </w:r>
          </w:p>
        </w:tc>
        <w:tc>
          <w:tcPr>
            <w:tcW w:type="dxa" w:w="8352"/>
            <w:vAlign w:val="top"/>
          </w:tcPr>
          <w:p>
            <w:pPr>
              <w:spacing w:after="0"/>
            </w:pPr>
            <w:r>
              <w:rPr>
                <w:sz w:val="14"/>
              </w:rPr>
              <w:t>Public Link implementation lands</w:t>
            </w:r>
          </w:p>
        </w:tc>
      </w:tr>
      <w:tr>
        <w:trPr>
          <w:cantSplit w:val="true"/>
        </w:trPr>
        <w:tc>
          <w:tcPr>
            <w:tcW w:type="dxa" w:w="4320"/>
            <w:shd w:fill="F5F7F9"/>
            <w:vAlign w:val="top"/>
          </w:tcPr>
          <w:p>
            <w:pPr>
              <w:spacing w:after="0"/>
            </w:pPr>
            <w:r>
              <w:rPr>
                <w:sz w:val="14"/>
              </w:rPr>
              <w:t>Production Link conformance</w:t>
            </w:r>
          </w:p>
        </w:tc>
        <w:tc>
          <w:tcPr>
            <w:tcW w:type="dxa" w:w="2016"/>
            <w:vAlign w:val="top"/>
          </w:tcPr>
          <w:p>
            <w:pPr>
              <w:spacing w:after="0"/>
            </w:pPr>
            <w:r>
              <w:rPr>
                <w:sz w:val="14"/>
              </w:rPr>
              <w:t>c2f993a0</w:t>
            </w:r>
          </w:p>
        </w:tc>
        <w:tc>
          <w:tcPr>
            <w:tcW w:type="dxa" w:w="8352"/>
            <w:vAlign w:val="top"/>
          </w:tcPr>
          <w:p>
            <w:pPr>
              <w:spacing w:after="0"/>
            </w:pPr>
            <w:r>
              <w:rPr>
                <w:sz w:val="14"/>
              </w:rPr>
              <w:t>Permanent production contract proof</w:t>
            </w:r>
          </w:p>
        </w:tc>
      </w:tr>
      <w:tr>
        <w:trPr>
          <w:cantSplit w:val="true"/>
        </w:trPr>
        <w:tc>
          <w:tcPr>
            <w:tcW w:type="dxa" w:w="4320"/>
            <w:shd w:fill="F5F7F9"/>
            <w:vAlign w:val="top"/>
          </w:tcPr>
          <w:p>
            <w:pPr>
              <w:spacing w:after="0"/>
            </w:pPr>
            <w:r>
              <w:rPr>
                <w:sz w:val="14"/>
              </w:rPr>
              <w:t>ERROR-SURFACE-1</w:t>
            </w:r>
          </w:p>
        </w:tc>
        <w:tc>
          <w:tcPr>
            <w:tcW w:type="dxa" w:w="2016"/>
            <w:vAlign w:val="top"/>
          </w:tcPr>
          <w:p>
            <w:pPr>
              <w:spacing w:after="0"/>
            </w:pPr>
            <w:r>
              <w:rPr>
                <w:sz w:val="14"/>
              </w:rPr>
              <w:t>d4d97b9f</w:t>
            </w:r>
          </w:p>
        </w:tc>
        <w:tc>
          <w:tcPr>
            <w:tcW w:type="dxa" w:w="8352"/>
            <w:vAlign w:val="top"/>
          </w:tcPr>
          <w:p>
            <w:pPr>
              <w:spacing w:after="0"/>
            </w:pPr>
            <w:r>
              <w:rPr>
                <w:sz w:val="14"/>
              </w:rPr>
              <w:t>Generic error design</w:t>
            </w:r>
          </w:p>
        </w:tc>
      </w:tr>
      <w:tr>
        <w:trPr>
          <w:cantSplit w:val="true"/>
        </w:trPr>
        <w:tc>
          <w:tcPr>
            <w:tcW w:type="dxa" w:w="4320"/>
            <w:shd w:fill="F5F7F9"/>
            <w:vAlign w:val="top"/>
          </w:tcPr>
          <w:p>
            <w:pPr>
              <w:spacing w:after="0"/>
            </w:pPr>
            <w:r>
              <w:rPr>
                <w:sz w:val="14"/>
              </w:rPr>
              <w:t>ERROR-OWNER-IDENTITY</w:t>
            </w:r>
          </w:p>
        </w:tc>
        <w:tc>
          <w:tcPr>
            <w:tcW w:type="dxa" w:w="2016"/>
            <w:vAlign w:val="top"/>
          </w:tcPr>
          <w:p>
            <w:pPr>
              <w:spacing w:after="0"/>
            </w:pPr>
            <w:r>
              <w:rPr>
                <w:sz w:val="14"/>
              </w:rPr>
              <w:t>e7c48f38</w:t>
            </w:r>
          </w:p>
        </w:tc>
        <w:tc>
          <w:tcPr>
            <w:tcW w:type="dxa" w:w="8352"/>
            <w:vAlign w:val="top"/>
          </w:tcPr>
          <w:p>
            <w:pPr>
              <w:spacing w:after="0"/>
            </w:pPr>
            <w:r>
              <w:rPr>
                <w:sz w:val="14"/>
              </w:rPr>
              <w:t>Tree owner identity</w:t>
            </w:r>
          </w:p>
        </w:tc>
      </w:tr>
      <w:tr>
        <w:trPr>
          <w:cantSplit w:val="true"/>
        </w:trPr>
        <w:tc>
          <w:tcPr>
            <w:tcW w:type="dxa" w:w="4320"/>
            <w:shd w:fill="F5F7F9"/>
            <w:vAlign w:val="top"/>
          </w:tcPr>
          <w:p>
            <w:pPr>
              <w:spacing w:after="0"/>
            </w:pPr>
            <w:r>
              <w:rPr>
                <w:sz w:val="14"/>
              </w:rPr>
              <w:t>ASYNC-SOURCE inventory</w:t>
            </w:r>
          </w:p>
        </w:tc>
        <w:tc>
          <w:tcPr>
            <w:tcW w:type="dxa" w:w="2016"/>
            <w:vAlign w:val="top"/>
          </w:tcPr>
          <w:p>
            <w:pPr>
              <w:spacing w:after="0"/>
            </w:pPr>
            <w:r>
              <w:rPr>
                <w:sz w:val="14"/>
              </w:rPr>
              <w:t>420269d6</w:t>
            </w:r>
          </w:p>
        </w:tc>
        <w:tc>
          <w:tcPr>
            <w:tcW w:type="dxa" w:w="8352"/>
            <w:vAlign w:val="top"/>
          </w:tcPr>
          <w:p>
            <w:pPr>
              <w:spacing w:after="0"/>
            </w:pPr>
            <w:r>
              <w:rPr>
                <w:sz w:val="14"/>
              </w:rPr>
              <w:t>Retirement inventory</w:t>
            </w:r>
          </w:p>
        </w:tc>
      </w:tr>
      <w:tr>
        <w:trPr>
          <w:cantSplit w:val="true"/>
        </w:trPr>
        <w:tc>
          <w:tcPr>
            <w:tcW w:type="dxa" w:w="4320"/>
            <w:shd w:fill="F5F7F9"/>
            <w:vAlign w:val="top"/>
          </w:tcPr>
          <w:p>
            <w:pPr>
              <w:spacing w:after="0"/>
            </w:pPr>
            <w:r>
              <w:rPr>
                <w:sz w:val="14"/>
              </w:rPr>
              <w:t>ASYNC-SOURCE report retirement</w:t>
            </w:r>
          </w:p>
        </w:tc>
        <w:tc>
          <w:tcPr>
            <w:tcW w:type="dxa" w:w="2016"/>
            <w:vAlign w:val="top"/>
          </w:tcPr>
          <w:p>
            <w:pPr>
              <w:spacing w:after="0"/>
            </w:pPr>
            <w:r>
              <w:rPr>
                <w:sz w:val="14"/>
              </w:rPr>
              <w:t>e72fab2d</w:t>
            </w:r>
          </w:p>
        </w:tc>
        <w:tc>
          <w:tcPr>
            <w:tcW w:type="dxa" w:w="8352"/>
            <w:vAlign w:val="top"/>
          </w:tcPr>
          <w:p>
            <w:pPr>
              <w:spacing w:after="0"/>
            </w:pPr>
            <w:r>
              <w:rPr>
                <w:sz w:val="14"/>
              </w:rPr>
              <w:t>Remove incidental reporter producer</w:t>
            </w:r>
          </w:p>
        </w:tc>
      </w:tr>
      <w:tr>
        <w:trPr>
          <w:cantSplit w:val="true"/>
        </w:trPr>
        <w:tc>
          <w:tcPr>
            <w:tcW w:type="dxa" w:w="4320"/>
            <w:shd w:fill="F5F7F9"/>
            <w:vAlign w:val="top"/>
          </w:tcPr>
          <w:p>
            <w:pPr>
              <w:spacing w:after="0"/>
            </w:pPr>
            <w:r>
              <w:rPr>
                <w:sz w:val="14"/>
              </w:rPr>
              <w:t>STORED owner invariant</w:t>
            </w:r>
          </w:p>
        </w:tc>
        <w:tc>
          <w:tcPr>
            <w:tcW w:type="dxa" w:w="2016"/>
            <w:vAlign w:val="top"/>
          </w:tcPr>
          <w:p>
            <w:pPr>
              <w:spacing w:after="0"/>
            </w:pPr>
            <w:r>
              <w:rPr>
                <w:sz w:val="14"/>
              </w:rPr>
              <w:t>0b4f2145</w:t>
            </w:r>
          </w:p>
        </w:tc>
        <w:tc>
          <w:tcPr>
            <w:tcW w:type="dxa" w:w="8352"/>
            <w:vAlign w:val="top"/>
          </w:tcPr>
          <w:p>
            <w:pPr>
              <w:spacing w:after="0"/>
            </w:pPr>
            <w:r>
              <w:rPr>
                <w:sz w:val="14"/>
              </w:rPr>
              <w:t>Stored tree ownership attribution</w:t>
            </w:r>
          </w:p>
        </w:tc>
      </w:tr>
      <w:tr>
        <w:trPr>
          <w:cantSplit w:val="true"/>
        </w:trPr>
        <w:tc>
          <w:tcPr>
            <w:tcW w:type="dxa" w:w="4320"/>
            <w:shd w:fill="F5F7F9"/>
            <w:vAlign w:val="top"/>
          </w:tcPr>
          <w:p>
            <w:pPr>
              <w:spacing w:after="0"/>
            </w:pPr>
            <w:r>
              <w:rPr>
                <w:sz w:val="14"/>
              </w:rPr>
              <w:t>ERROR-SURFACE-2 internal</w:t>
            </w:r>
          </w:p>
        </w:tc>
        <w:tc>
          <w:tcPr>
            <w:tcW w:type="dxa" w:w="2016"/>
            <w:vAlign w:val="top"/>
          </w:tcPr>
          <w:p>
            <w:pPr>
              <w:spacing w:after="0"/>
            </w:pPr>
            <w:r>
              <w:rPr>
                <w:sz w:val="14"/>
              </w:rPr>
              <w:t>afe08611</w:t>
            </w:r>
          </w:p>
        </w:tc>
        <w:tc>
          <w:tcPr>
            <w:tcW w:type="dxa" w:w="8352"/>
            <w:vAlign w:val="top"/>
          </w:tcPr>
          <w:p>
            <w:pPr>
              <w:spacing w:after="0"/>
            </w:pPr>
            <w:r>
              <w:rPr>
                <w:sz w:val="14"/>
              </w:rPr>
              <w:t>Error implementation repair</w:t>
            </w:r>
          </w:p>
        </w:tc>
      </w:tr>
      <w:tr>
        <w:trPr>
          <w:cantSplit w:val="true"/>
        </w:trPr>
        <w:tc>
          <w:tcPr>
            <w:tcW w:type="dxa" w:w="4320"/>
            <w:shd w:fill="F5F7F9"/>
            <w:vAlign w:val="top"/>
          </w:tcPr>
          <w:p>
            <w:pPr>
              <w:spacing w:after="0"/>
            </w:pPr>
            <w:r>
              <w:rPr>
                <w:sz w:val="14"/>
              </w:rPr>
              <w:t>ERROR-SURFACE-2 public</w:t>
            </w:r>
          </w:p>
        </w:tc>
        <w:tc>
          <w:tcPr>
            <w:tcW w:type="dxa" w:w="2016"/>
            <w:vAlign w:val="top"/>
          </w:tcPr>
          <w:p>
            <w:pPr>
              <w:spacing w:after="0"/>
            </w:pPr>
            <w:r>
              <w:rPr>
                <w:sz w:val="14"/>
              </w:rPr>
              <w:t>a09aef9c</w:t>
            </w:r>
          </w:p>
        </w:tc>
        <w:tc>
          <w:tcPr>
            <w:tcW w:type="dxa" w:w="8352"/>
            <w:vAlign w:val="top"/>
          </w:tcPr>
          <w:p>
            <w:pPr>
              <w:spacing w:after="0"/>
            </w:pPr>
            <w:r>
              <w:rPr>
                <w:sz w:val="14"/>
              </w:rPr>
              <w:t>Public error contract freeze</w:t>
            </w:r>
          </w:p>
        </w:tc>
      </w:tr>
      <w:tr>
        <w:trPr>
          <w:cantSplit w:val="true"/>
        </w:trPr>
        <w:tc>
          <w:tcPr>
            <w:tcW w:type="dxa" w:w="4320"/>
            <w:shd w:fill="F5F7F9"/>
            <w:vAlign w:val="top"/>
          </w:tcPr>
          <w:p>
            <w:pPr>
              <w:spacing w:after="0"/>
            </w:pPr>
            <w:r>
              <w:rPr>
                <w:sz w:val="14"/>
              </w:rPr>
              <w:t>COMPARISON-FULL-STATE-0</w:t>
            </w:r>
          </w:p>
        </w:tc>
        <w:tc>
          <w:tcPr>
            <w:tcW w:type="dxa" w:w="2016"/>
            <w:vAlign w:val="top"/>
          </w:tcPr>
          <w:p>
            <w:pPr>
              <w:spacing w:after="0"/>
            </w:pPr>
            <w:r>
              <w:rPr>
                <w:sz w:val="14"/>
              </w:rPr>
              <w:t>a4456012</w:t>
            </w:r>
          </w:p>
        </w:tc>
        <w:tc>
          <w:tcPr>
            <w:tcW w:type="dxa" w:w="8352"/>
            <w:vAlign w:val="top"/>
          </w:tcPr>
          <w:p>
            <w:pPr>
              <w:spacing w:after="0"/>
            </w:pPr>
            <w:r>
              <w:rPr>
                <w:sz w:val="14"/>
              </w:rPr>
              <w:t>Complete-value / structural equality closure</w:t>
            </w:r>
          </w:p>
        </w:tc>
      </w:tr>
      <w:tr>
        <w:trPr>
          <w:cantSplit w:val="true"/>
        </w:trPr>
        <w:tc>
          <w:tcPr>
            <w:tcW w:type="dxa" w:w="4320"/>
            <w:shd w:fill="F5F7F9"/>
            <w:vAlign w:val="top"/>
          </w:tcPr>
          <w:p>
            <w:pPr>
              <w:spacing w:after="0"/>
            </w:pPr>
            <w:r>
              <w:rPr>
                <w:sz w:val="14"/>
              </w:rPr>
              <w:t>CONSOLIDATION-0</w:t>
            </w:r>
          </w:p>
        </w:tc>
        <w:tc>
          <w:tcPr>
            <w:tcW w:type="dxa" w:w="2016"/>
            <w:vAlign w:val="top"/>
          </w:tcPr>
          <w:p>
            <w:pPr>
              <w:spacing w:after="0"/>
            </w:pPr>
            <w:r>
              <w:rPr>
                <w:sz w:val="14"/>
              </w:rPr>
              <w:t>89f142d5</w:t>
            </w:r>
          </w:p>
        </w:tc>
        <w:tc>
          <w:tcPr>
            <w:tcW w:type="dxa" w:w="8352"/>
            <w:vAlign w:val="top"/>
          </w:tcPr>
          <w:p>
            <w:pPr>
              <w:spacing w:after="0"/>
            </w:pPr>
            <w:r>
              <w:rPr>
                <w:sz w:val="14"/>
              </w:rPr>
              <w:t>Archive experimental harnesses; retain production proofs</w:t>
            </w:r>
          </w:p>
        </w:tc>
      </w:tr>
      <w:tr>
        <w:trPr>
          <w:cantSplit w:val="true"/>
        </w:trPr>
        <w:tc>
          <w:tcPr>
            <w:tcW w:type="dxa" w:w="4320"/>
            <w:shd w:fill="F5F7F9"/>
            <w:vAlign w:val="top"/>
          </w:tcPr>
          <w:p>
            <w:pPr>
              <w:spacing w:after="0"/>
            </w:pPr>
            <w:r>
              <w:rPr>
                <w:sz w:val="14"/>
              </w:rPr>
              <w:t>MIGRATION-MAP-0</w:t>
            </w:r>
          </w:p>
        </w:tc>
        <w:tc>
          <w:tcPr>
            <w:tcW w:type="dxa" w:w="2016"/>
            <w:vAlign w:val="top"/>
          </w:tcPr>
          <w:p>
            <w:pPr>
              <w:spacing w:after="0"/>
            </w:pPr>
            <w:r>
              <w:rPr>
                <w:sz w:val="14"/>
              </w:rPr>
              <w:t>5c949a24</w:t>
            </w:r>
          </w:p>
        </w:tc>
        <w:tc>
          <w:tcPr>
            <w:tcW w:type="dxa" w:w="8352"/>
            <w:vAlign w:val="top"/>
          </w:tcPr>
          <w:p>
            <w:pPr>
              <w:spacing w:after="0"/>
            </w:pPr>
            <w:r>
              <w:rPr>
                <w:sz w:val="14"/>
              </w:rPr>
              <w:t>Package reachability / retirement sequencing</w:t>
            </w:r>
          </w:p>
        </w:tc>
      </w:tr>
      <w:tr>
        <w:trPr>
          <w:cantSplit w:val="true"/>
        </w:trPr>
        <w:tc>
          <w:tcPr>
            <w:tcW w:type="dxa" w:w="4320"/>
            <w:shd w:fill="F5F7F9"/>
            <w:vAlign w:val="top"/>
          </w:tcPr>
          <w:p>
            <w:pPr>
              <w:spacing w:after="0"/>
            </w:pPr>
            <w:r>
              <w:rPr>
                <w:sz w:val="14"/>
              </w:rPr>
              <w:t>ASYNC-QUERY-DECIDE-0</w:t>
            </w:r>
          </w:p>
        </w:tc>
        <w:tc>
          <w:tcPr>
            <w:tcW w:type="dxa" w:w="2016"/>
            <w:vAlign w:val="top"/>
          </w:tcPr>
          <w:p>
            <w:pPr>
              <w:spacing w:after="0"/>
            </w:pPr>
            <w:r>
              <w:rPr>
                <w:sz w:val="14"/>
              </w:rPr>
              <w:t>291780f8</w:t>
            </w:r>
          </w:p>
        </w:tc>
        <w:tc>
          <w:tcPr>
            <w:tcW w:type="dxa" w:w="8352"/>
            <w:vAlign w:val="top"/>
          </w:tcPr>
          <w:p>
            <w:pPr>
              <w:spacing w:after="0"/>
            </w:pPr>
            <w:r>
              <w:rPr>
                <w:sz w:val="14"/>
              </w:rPr>
              <w:t>Outcome A — delete</w:t>
            </w:r>
          </w:p>
        </w:tc>
      </w:tr>
      <w:tr>
        <w:trPr>
          <w:cantSplit w:val="true"/>
        </w:trPr>
        <w:tc>
          <w:tcPr>
            <w:tcW w:type="dxa" w:w="4320"/>
            <w:shd w:fill="F5F7F9"/>
            <w:vAlign w:val="top"/>
          </w:tcPr>
          <w:p>
            <w:pPr>
              <w:spacing w:after="0"/>
            </w:pPr>
            <w:r>
              <w:rPr>
                <w:sz w:val="14"/>
              </w:rPr>
              <w:t>ASYNC-QUERY-RETIRE-0</w:t>
            </w:r>
          </w:p>
        </w:tc>
        <w:tc>
          <w:tcPr>
            <w:tcW w:type="dxa" w:w="2016"/>
            <w:vAlign w:val="top"/>
          </w:tcPr>
          <w:p>
            <w:pPr>
              <w:spacing w:after="0"/>
            </w:pPr>
            <w:r>
              <w:rPr>
                <w:sz w:val="14"/>
              </w:rPr>
              <w:t>1ac1fdb3</w:t>
            </w:r>
          </w:p>
        </w:tc>
        <w:tc>
          <w:tcPr>
            <w:tcW w:type="dxa" w:w="8352"/>
            <w:vAlign w:val="top"/>
          </w:tcPr>
          <w:p>
            <w:pPr>
              <w:spacing w:after="0"/>
            </w:pPr>
            <w:r>
              <w:rPr>
                <w:sz w:val="14"/>
              </w:rPr>
              <w:t>Primitive deleted; lesson preserved</w:t>
            </w:r>
          </w:p>
        </w:tc>
      </w:tr>
      <w:tr>
        <w:trPr>
          <w:cantSplit w:val="true"/>
        </w:trPr>
        <w:tc>
          <w:tcPr>
            <w:tcW w:type="dxa" w:w="4320"/>
            <w:shd w:fill="F5F7F9"/>
            <w:vAlign w:val="top"/>
          </w:tcPr>
          <w:p>
            <w:pPr>
              <w:spacing w:after="0"/>
            </w:pPr>
            <w:r>
              <w:rPr>
                <w:sz w:val="14"/>
              </w:rPr>
              <w:t>ASYNC-QUERY-CLOSE-0</w:t>
            </w:r>
          </w:p>
        </w:tc>
        <w:tc>
          <w:tcPr>
            <w:tcW w:type="dxa" w:w="2016"/>
            <w:vAlign w:val="top"/>
          </w:tcPr>
          <w:p>
            <w:pPr>
              <w:spacing w:after="0"/>
            </w:pPr>
            <w:r>
              <w:rPr>
                <w:sz w:val="14"/>
              </w:rPr>
              <w:t>e2b56e35</w:t>
            </w:r>
          </w:p>
        </w:tc>
        <w:tc>
          <w:tcPr>
            <w:tcW w:type="dxa" w:w="8352"/>
            <w:vAlign w:val="top"/>
          </w:tcPr>
          <w:p>
            <w:pPr>
              <w:spacing w:after="0"/>
            </w:pPr>
            <w:r>
              <w:rPr>
                <w:sz w:val="14"/>
              </w:rPr>
              <w:t>Behavioral proof + correction + dead type cleanup</w:t>
            </w:r>
          </w:p>
        </w:tc>
      </w:tr>
      <w:tr>
        <w:trPr>
          <w:cantSplit w:val="true"/>
        </w:trPr>
        <w:tc>
          <w:tcPr>
            <w:tcW w:type="dxa" w:w="4320"/>
            <w:shd w:fill="F5F7F9"/>
            <w:vAlign w:val="top"/>
          </w:tcPr>
          <w:p>
            <w:pPr>
              <w:spacing w:after="0"/>
            </w:pPr>
            <w:r>
              <w:rPr>
                <w:sz w:val="14"/>
              </w:rPr>
              <w:t>LOADER-RETIRE-0 stop</w:t>
            </w:r>
          </w:p>
        </w:tc>
        <w:tc>
          <w:tcPr>
            <w:tcW w:type="dxa" w:w="2016"/>
            <w:vAlign w:val="top"/>
          </w:tcPr>
          <w:p>
            <w:pPr>
              <w:spacing w:after="0"/>
            </w:pPr>
            <w:r>
              <w:rPr>
                <w:sz w:val="14"/>
              </w:rPr>
              <w:t>3a212fbb</w:t>
            </w:r>
          </w:p>
        </w:tc>
        <w:tc>
          <w:tcPr>
            <w:tcW w:type="dxa" w:w="8352"/>
            <w:vAlign w:val="top"/>
          </w:tcPr>
          <w:p>
            <w:pPr>
              <w:spacing w:after="0"/>
            </w:pPr>
            <w:r>
              <w:rPr>
                <w:sz w:val="14"/>
              </w:rPr>
              <w:t>Aggressive null falsified; no deletion</w:t>
            </w:r>
          </w:p>
        </w:tc>
      </w:tr>
      <w:tr>
        <w:trPr>
          <w:cantSplit w:val="true"/>
        </w:trPr>
        <w:tc>
          <w:tcPr>
            <w:tcW w:type="dxa" w:w="4320"/>
            <w:shd w:fill="F5F7F9"/>
            <w:vAlign w:val="top"/>
          </w:tcPr>
          <w:p>
            <w:pPr>
              <w:spacing w:after="0"/>
            </w:pPr>
            <w:r>
              <w:rPr>
                <w:sz w:val="14"/>
              </w:rPr>
              <w:t>ASYNC-SOURCE-RETIRE-1</w:t>
            </w:r>
          </w:p>
        </w:tc>
        <w:tc>
          <w:tcPr>
            <w:tcW w:type="dxa" w:w="2016"/>
            <w:vAlign w:val="top"/>
          </w:tcPr>
          <w:p>
            <w:pPr>
              <w:spacing w:after="0"/>
            </w:pPr>
            <w:r>
              <w:rPr>
                <w:sz w:val="14"/>
              </w:rPr>
              <w:t>492a8760</w:t>
            </w:r>
          </w:p>
        </w:tc>
        <w:tc>
          <w:tcPr>
            <w:tcW w:type="dxa" w:w="8352"/>
            <w:vAlign w:val="top"/>
          </w:tcPr>
          <w:p>
            <w:pPr>
              <w:spacing w:after="0"/>
            </w:pPr>
            <w:r>
              <w:rPr>
                <w:sz w:val="14"/>
              </w:rPr>
              <w:t>Primitive deleted; stale Promise fix documented</w:t>
            </w:r>
          </w:p>
        </w:tc>
      </w:tr>
      <w:tr>
        <w:trPr>
          <w:cantSplit w:val="true"/>
        </w:trPr>
        <w:tc>
          <w:tcPr>
            <w:tcW w:type="dxa" w:w="4320"/>
            <w:shd w:fill="F5F7F9"/>
            <w:vAlign w:val="top"/>
          </w:tcPr>
          <w:p>
            <w:pPr>
              <w:spacing w:after="0"/>
            </w:pPr>
            <w:r>
              <w:rPr>
                <w:sz w:val="14"/>
              </w:rPr>
              <w:t>PERSISTENCE-DECOMPOSE-0A</w:t>
            </w:r>
          </w:p>
        </w:tc>
        <w:tc>
          <w:tcPr>
            <w:tcW w:type="dxa" w:w="2016"/>
            <w:vAlign w:val="top"/>
          </w:tcPr>
          <w:p>
            <w:pPr>
              <w:spacing w:after="0"/>
            </w:pPr>
            <w:r>
              <w:rPr>
                <w:sz w:val="14"/>
              </w:rPr>
              <w:t>720b0806</w:t>
            </w:r>
          </w:p>
        </w:tc>
        <w:tc>
          <w:tcPr>
            <w:tcW w:type="dxa" w:w="8352"/>
            <w:vAlign w:val="top"/>
          </w:tcPr>
          <w:p>
            <w:pPr>
              <w:spacing w:after="0"/>
            </w:pPr>
            <w:r>
              <w:rPr>
                <w:sz w:val="14"/>
              </w:rPr>
              <w:t>Frozen Link persistence prototype</w:t>
            </w:r>
          </w:p>
        </w:tc>
      </w:tr>
      <w:tr>
        <w:trPr>
          <w:cantSplit w:val="true"/>
        </w:trPr>
        <w:tc>
          <w:tcPr>
            <w:tcW w:type="dxa" w:w="4320"/>
            <w:shd w:fill="F5F7F9"/>
            <w:vAlign w:val="top"/>
          </w:tcPr>
          <w:p>
            <w:pPr>
              <w:spacing w:after="0"/>
            </w:pPr>
            <w:r>
              <w:rPr>
                <w:sz w:val="14"/>
              </w:rPr>
              <w:t>PERSISTENCE-DECOMPOSE-0B</w:t>
            </w:r>
          </w:p>
        </w:tc>
        <w:tc>
          <w:tcPr>
            <w:tcW w:type="dxa" w:w="2016"/>
            <w:vAlign w:val="top"/>
          </w:tcPr>
          <w:p>
            <w:pPr>
              <w:spacing w:after="0"/>
            </w:pPr>
            <w:r>
              <w:rPr>
                <w:sz w:val="14"/>
              </w:rPr>
              <w:t>20e5c1be</w:t>
            </w:r>
          </w:p>
        </w:tc>
        <w:tc>
          <w:tcPr>
            <w:tcW w:type="dxa" w:w="8352"/>
            <w:vAlign w:val="top"/>
          </w:tcPr>
          <w:p>
            <w:pPr>
              <w:spacing w:after="0"/>
            </w:pPr>
            <w:r>
              <w:rPr>
                <w:sz w:val="14"/>
              </w:rPr>
              <w:t>Coalescing/maxWait corrections</w:t>
            </w:r>
          </w:p>
        </w:tc>
      </w:tr>
      <w:tr>
        <w:trPr>
          <w:cantSplit w:val="true"/>
        </w:trPr>
        <w:tc>
          <w:tcPr>
            <w:tcW w:type="dxa" w:w="4320"/>
            <w:shd w:fill="F5F7F9"/>
            <w:vAlign w:val="top"/>
          </w:tcPr>
          <w:p>
            <w:pPr>
              <w:spacing w:after="0"/>
            </w:pPr>
            <w:r>
              <w:rPr>
                <w:sz w:val="14"/>
              </w:rPr>
              <w:t>PERSISTENCE-DECOMPOSE-0 close</w:t>
            </w:r>
          </w:p>
        </w:tc>
        <w:tc>
          <w:tcPr>
            <w:tcW w:type="dxa" w:w="2016"/>
            <w:vAlign w:val="top"/>
          </w:tcPr>
          <w:p>
            <w:pPr>
              <w:spacing w:after="0"/>
            </w:pPr>
            <w:r>
              <w:rPr>
                <w:sz w:val="14"/>
              </w:rPr>
              <w:t>08e38603</w:t>
            </w:r>
          </w:p>
        </w:tc>
        <w:tc>
          <w:tcPr>
            <w:tcW w:type="dxa" w:w="8352"/>
            <w:vAlign w:val="top"/>
          </w:tcPr>
          <w:p>
            <w:pPr>
              <w:spacing w:after="0"/>
            </w:pPr>
            <w:r>
              <w:rPr>
                <w:sz w:val="14"/>
              </w:rPr>
              <w:t>Complete persistence matrix; no new API</w:t>
            </w:r>
          </w:p>
        </w:tc>
      </w:tr>
    </w:tbl>
    <w:p>
      <w:pPr>
        <w:spacing w:after="20"/>
        <w:widowControl w:val="true"/>
      </w:pPr>
    </w:p>
    <w:p>
      <w:pPr>
        <w:sectPr>
          <w:pgSz w:w="15840" w:h="12240" w:orient="landscape"/>
          <w:pgMar w:top="792" w:right="792" w:bottom="792" w:left="792" w:header="403" w:footer="403" w:gutter="0"/>
          <w:cols w:space="720"/>
          <w:docGrid w:linePitch="360"/>
        </w:sectPr>
        <w:widowControl w:val="true"/>
      </w:pPr>
    </w:p>
    <w:p>
      <w:pPr>
        <w:pStyle w:val="Heading1"/>
        <w:widowControl w:val="true"/>
      </w:pPr>
      <w:r>
        <w:t>Appendix B. SignalTree-specific matrices</w:t>
      </w:r>
    </w:p>
    <w:p>
      <w:pPr>
        <w:widowControl w:val="true"/>
      </w:pPr>
      <w:r>
        <w:t>These compact matrices capture the forms of reasoning that repeatedly proved useful in the project.</w:t>
      </w:r>
    </w:p>
    <w:p>
      <w:pPr>
        <w:pStyle w:val="Heading2"/>
        <w:widowControl w:val="true"/>
      </w:pPr>
      <w:r>
        <w:t>B.1 Claim solidification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76"/>
            <w:shd w:fill="18324A"/>
            <w:vAlign w:val="center"/>
          </w:tcPr>
          <w:p>
            <w:r>
              <w:rPr>
                <w:b/>
                <w:color w:val="FFFFFF"/>
                <w:sz w:val="16"/>
              </w:rPr>
              <w:t>Claim</w:t>
            </w:r>
          </w:p>
        </w:tc>
        <w:tc>
          <w:tcPr>
            <w:tcW w:type="dxa" w:w="3384"/>
            <w:shd w:fill="18324A"/>
            <w:vAlign w:val="center"/>
          </w:tcPr>
          <w:p>
            <w:r>
              <w:rPr>
                <w:b/>
                <w:color w:val="FFFFFF"/>
                <w:sz w:val="16"/>
              </w:rPr>
              <w:t>Positive proof</w:t>
            </w:r>
          </w:p>
        </w:tc>
        <w:tc>
          <w:tcPr>
            <w:tcW w:type="dxa" w:w="3384"/>
            <w:shd w:fill="18324A"/>
            <w:vAlign w:val="center"/>
          </w:tcPr>
          <w:p>
            <w:r>
              <w:rPr>
                <w:b/>
                <w:color w:val="FFFFFF"/>
                <w:sz w:val="16"/>
              </w:rPr>
              <w:t>Negative proof / control</w:t>
            </w:r>
          </w:p>
        </w:tc>
        <w:tc>
          <w:tcPr>
            <w:tcW w:type="dxa" w:w="2808"/>
            <w:shd w:fill="18324A"/>
            <w:vAlign w:val="center"/>
          </w:tcPr>
          <w:p>
            <w:r>
              <w:rPr>
                <w:b/>
                <w:color w:val="FFFFFF"/>
                <w:sz w:val="16"/>
              </w:rPr>
              <w:t>Non-claim</w:t>
            </w:r>
          </w:p>
        </w:tc>
      </w:tr>
      <w:tr>
        <w:trPr>
          <w:cantSplit w:val="true"/>
        </w:trPr>
        <w:tc>
          <w:tcPr>
            <w:tcW w:type="dxa" w:w="2376"/>
            <w:shd w:fill="F5F7F9"/>
            <w:vAlign w:val="top"/>
          </w:tcPr>
          <w:p>
            <w:pPr>
              <w:spacing w:after="0"/>
            </w:pPr>
            <w:r>
              <w:rPr>
                <w:sz w:val="16"/>
              </w:rPr>
              <w:t>Link sends complete values</w:t>
            </w:r>
          </w:p>
        </w:tc>
        <w:tc>
          <w:tcPr>
            <w:tcW w:type="dxa" w:w="3384"/>
            <w:vAlign w:val="top"/>
          </w:tcPr>
          <w:p>
            <w:pPr>
              <w:spacing w:after="0"/>
            </w:pPr>
            <w:r>
              <w:rPr>
                <w:sz w:val="16"/>
              </w:rPr>
              <w:t>Scalar/branch/Row[] replacement tests</w:t>
            </w:r>
          </w:p>
        </w:tc>
        <w:tc>
          <w:tcPr>
            <w:tcW w:type="dxa" w:w="3384"/>
            <w:vAlign w:val="top"/>
          </w:tcPr>
          <w:p>
            <w:pPr>
              <w:spacing w:after="0"/>
            </w:pPr>
            <w:r>
              <w:rPr>
                <w:sz w:val="16"/>
              </w:rPr>
              <w:t>Partial&lt;T&gt; rejected by types</w:t>
            </w:r>
          </w:p>
        </w:tc>
        <w:tc>
          <w:tcPr>
            <w:tcW w:type="dxa" w:w="2808"/>
            <w:vAlign w:val="top"/>
          </w:tcPr>
          <w:p>
            <w:pPr>
              <w:spacing w:after="0"/>
            </w:pPr>
            <w:r>
              <w:rPr>
                <w:sz w:val="16"/>
              </w:rPr>
              <w:t>Not a patch protocol</w:t>
            </w:r>
          </w:p>
        </w:tc>
      </w:tr>
      <w:tr>
        <w:trPr>
          <w:cantSplit w:val="true"/>
        </w:trPr>
        <w:tc>
          <w:tcPr>
            <w:tcW w:type="dxa" w:w="2376"/>
            <w:shd w:fill="F5F7F9"/>
            <w:vAlign w:val="top"/>
          </w:tcPr>
          <w:p>
            <w:pPr>
              <w:spacing w:after="0"/>
            </w:pPr>
            <w:r>
              <w:rPr>
                <w:sz w:val="16"/>
              </w:rPr>
              <w:t>Echo suppression is structural</w:t>
            </w:r>
          </w:p>
        </w:tc>
        <w:tc>
          <w:tcPr>
            <w:tcW w:type="dxa" w:w="3384"/>
            <w:vAlign w:val="top"/>
          </w:tcPr>
          <w:p>
            <w:pPr>
              <w:spacing w:after="0"/>
            </w:pPr>
            <w:r>
              <w:rPr>
                <w:sz w:val="16"/>
              </w:rPr>
              <w:t>Fresh deep-equal rewrite does not send</w:t>
            </w:r>
          </w:p>
        </w:tc>
        <w:tc>
          <w:tcPr>
            <w:tcW w:type="dxa" w:w="3384"/>
            <w:vAlign w:val="top"/>
          </w:tcPr>
          <w:p>
            <w:pPr>
              <w:spacing w:after="0"/>
            </w:pPr>
            <w:r>
              <w:rPr>
                <w:sz w:val="16"/>
              </w:rPr>
              <w:t>Reference-equality mutation killed</w:t>
            </w:r>
          </w:p>
        </w:tc>
        <w:tc>
          <w:tcPr>
            <w:tcW w:type="dxa" w:w="2808"/>
            <w:vAlign w:val="top"/>
          </w:tcPr>
          <w:p>
            <w:pPr>
              <w:spacing w:after="0"/>
            </w:pPr>
            <w:r>
              <w:rPr>
                <w:sz w:val="16"/>
              </w:rPr>
              <w:t>Not arbitrary semantic equality</w:t>
            </w:r>
          </w:p>
        </w:tc>
      </w:tr>
      <w:tr>
        <w:trPr>
          <w:cantSplit w:val="true"/>
        </w:trPr>
        <w:tc>
          <w:tcPr>
            <w:tcW w:type="dxa" w:w="2376"/>
            <w:shd w:fill="F5F7F9"/>
            <w:vAlign w:val="top"/>
          </w:tcPr>
          <w:p>
            <w:pPr>
              <w:spacing w:after="0"/>
            </w:pPr>
            <w:r>
              <w:rPr>
                <w:sz w:val="16"/>
              </w:rPr>
              <w:t>settled() is strong</w:t>
            </w:r>
          </w:p>
        </w:tc>
        <w:tc>
          <w:tcPr>
            <w:tcW w:type="dxa" w:w="3384"/>
            <w:vAlign w:val="top"/>
          </w:tcPr>
          <w:p>
            <w:pPr>
              <w:spacing w:after="0"/>
            </w:pPr>
            <w:r>
              <w:rPr>
                <w:sz w:val="16"/>
              </w:rPr>
              <w:t>Waits for retrieval/outbound/held observations</w:t>
            </w:r>
          </w:p>
        </w:tc>
        <w:tc>
          <w:tcPr>
            <w:tcW w:type="dxa" w:w="3384"/>
            <w:vAlign w:val="top"/>
          </w:tcPr>
          <w:p>
            <w:pPr>
              <w:spacing w:after="0"/>
            </w:pPr>
            <w:r>
              <w:rPr>
                <w:sz w:val="16"/>
              </w:rPr>
              <w:t>Mutation breaks retrieval/settlement tests</w:t>
            </w:r>
          </w:p>
        </w:tc>
        <w:tc>
          <w:tcPr>
            <w:tcW w:type="dxa" w:w="2808"/>
            <w:vAlign w:val="top"/>
          </w:tcPr>
          <w:p>
            <w:pPr>
              <w:spacing w:after="0"/>
            </w:pPr>
            <w:r>
              <w:rPr>
                <w:sz w:val="16"/>
              </w:rPr>
              <w:t>Not a global application quiescence API</w:t>
            </w:r>
          </w:p>
        </w:tc>
      </w:tr>
      <w:tr>
        <w:trPr>
          <w:cantSplit w:val="true"/>
        </w:trPr>
        <w:tc>
          <w:tcPr>
            <w:tcW w:type="dxa" w:w="2376"/>
            <w:shd w:fill="F5F7F9"/>
            <w:vAlign w:val="top"/>
          </w:tcPr>
          <w:p>
            <w:pPr>
              <w:spacing w:after="0"/>
            </w:pPr>
            <w:r>
              <w:rPr>
                <w:sz w:val="16"/>
              </w:rPr>
              <w:t>TreeError path is state location</w:t>
            </w:r>
          </w:p>
        </w:tc>
        <w:tc>
          <w:tcPr>
            <w:tcW w:type="dxa" w:w="3384"/>
            <w:vAlign w:val="top"/>
          </w:tcPr>
          <w:p>
            <w:pPr>
              <w:spacing w:after="0"/>
            </w:pPr>
            <w:r>
              <w:rPr>
                <w:sz w:val="16"/>
              </w:rPr>
              <w:t>Link set error path = `settings`</w:t>
            </w:r>
          </w:p>
        </w:tc>
        <w:tc>
          <w:tcPr>
            <w:tcW w:type="dxa" w:w="3384"/>
            <w:vAlign w:val="top"/>
          </w:tcPr>
          <w:p>
            <w:pPr>
              <w:spacing w:after="0"/>
            </w:pPr>
            <w:r>
              <w:rPr>
                <w:sz w:val="16"/>
              </w:rPr>
              <w:t>Storage key never appears as path</w:t>
            </w:r>
          </w:p>
        </w:tc>
        <w:tc>
          <w:tcPr>
            <w:tcW w:type="dxa" w:w="2808"/>
            <w:vAlign w:val="top"/>
          </w:tcPr>
          <w:p>
            <w:pPr>
              <w:spacing w:after="0"/>
            </w:pPr>
            <w:r>
              <w:rPr>
                <w:sz w:val="16"/>
              </w:rPr>
              <w:t>Not storage address</w:t>
            </w:r>
          </w:p>
        </w:tc>
      </w:tr>
      <w:tr>
        <w:trPr>
          <w:cantSplit w:val="true"/>
        </w:trPr>
        <w:tc>
          <w:tcPr>
            <w:tcW w:type="dxa" w:w="2376"/>
            <w:shd w:fill="F5F7F9"/>
            <w:vAlign w:val="top"/>
          </w:tcPr>
          <w:p>
            <w:pPr>
              <w:spacing w:after="0"/>
            </w:pPr>
            <w:r>
              <w:rPr>
                <w:sz w:val="16"/>
              </w:rPr>
              <w:t>Persistence does not need global flush</w:t>
            </w:r>
          </w:p>
        </w:tc>
        <w:tc>
          <w:tcPr>
            <w:tcW w:type="dxa" w:w="3384"/>
            <w:vAlign w:val="top"/>
          </w:tcPr>
          <w:p>
            <w:pPr>
              <w:spacing w:after="0"/>
            </w:pPr>
            <w:r>
              <w:rPr>
                <w:sz w:val="16"/>
              </w:rPr>
              <w:t>Endpoint set Promise + local settled</w:t>
            </w:r>
          </w:p>
        </w:tc>
        <w:tc>
          <w:tcPr>
            <w:tcW w:type="dxa" w:w="3384"/>
            <w:vAlign w:val="top"/>
          </w:tcPr>
          <w:p>
            <w:pPr>
              <w:spacing w:after="0"/>
            </w:pPr>
            <w:r>
              <w:rPr>
                <w:sz w:val="16"/>
              </w:rPr>
              <w:t>Dispose-before-settle has no guarantee</w:t>
            </w:r>
          </w:p>
        </w:tc>
        <w:tc>
          <w:tcPr>
            <w:tcW w:type="dxa" w:w="2808"/>
            <w:vAlign w:val="top"/>
          </w:tcPr>
          <w:p>
            <w:pPr>
              <w:spacing w:after="0"/>
            </w:pPr>
            <w:r>
              <w:rPr>
                <w:sz w:val="16"/>
              </w:rPr>
              <w:t>Does not prove every consumer lifecycle is already correct</w:t>
            </w:r>
          </w:p>
        </w:tc>
      </w:tr>
    </w:tbl>
    <w:p>
      <w:pPr>
        <w:spacing w:after="20"/>
        <w:widowControl w:val="true"/>
      </w:pPr>
    </w:p>
    <w:p>
      <w:pPr>
        <w:pStyle w:val="Heading2"/>
        <w:widowControl w:val="true"/>
      </w:pPr>
      <w:r>
        <w:t>B.2 Migration replacement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76"/>
            <w:shd w:fill="18324A"/>
            <w:vAlign w:val="center"/>
          </w:tcPr>
          <w:p>
            <w:r>
              <w:rPr>
                <w:b/>
                <w:color w:val="FFFFFF"/>
                <w:sz w:val="16"/>
              </w:rPr>
              <w:t>Historical concept</w:t>
            </w:r>
          </w:p>
        </w:tc>
        <w:tc>
          <w:tcPr>
            <w:tcW w:type="dxa" w:w="3384"/>
            <w:shd w:fill="18324A"/>
            <w:vAlign w:val="center"/>
          </w:tcPr>
          <w:p>
            <w:r>
              <w:rPr>
                <w:b/>
                <w:color w:val="FFFFFF"/>
                <w:sz w:val="16"/>
              </w:rPr>
              <w:t>User need</w:t>
            </w:r>
          </w:p>
        </w:tc>
        <w:tc>
          <w:tcPr>
            <w:tcW w:type="dxa" w:w="4608"/>
            <w:shd w:fill="18324A"/>
            <w:vAlign w:val="center"/>
          </w:tcPr>
          <w:p>
            <w:r>
              <w:rPr>
                <w:b/>
                <w:color w:val="FFFFFF"/>
                <w:sz w:val="16"/>
              </w:rPr>
              <w:t>Final expression</w:t>
            </w:r>
          </w:p>
        </w:tc>
        <w:tc>
          <w:tcPr>
            <w:tcW w:type="dxa" w:w="1728"/>
            <w:shd w:fill="18324A"/>
            <w:vAlign w:val="center"/>
          </w:tcPr>
          <w:p>
            <w:r>
              <w:rPr>
                <w:b/>
                <w:color w:val="FFFFFF"/>
                <w:sz w:val="16"/>
              </w:rPr>
              <w:t>Disposition</w:t>
            </w:r>
          </w:p>
        </w:tc>
      </w:tr>
      <w:tr>
        <w:trPr>
          <w:cantSplit w:val="true"/>
        </w:trPr>
        <w:tc>
          <w:tcPr>
            <w:tcW w:type="dxa" w:w="2376"/>
            <w:shd w:fill="F5F7F9"/>
            <w:vAlign w:val="top"/>
          </w:tcPr>
          <w:p>
            <w:pPr>
              <w:spacing w:after="0"/>
            </w:pPr>
            <w:r>
              <w:rPr>
                <w:sz w:val="16"/>
              </w:rPr>
              <w:t>asyncQuery</w:t>
            </w:r>
          </w:p>
        </w:tc>
        <w:tc>
          <w:tcPr>
            <w:tcW w:type="dxa" w:w="3384"/>
            <w:vAlign w:val="top"/>
          </w:tcPr>
          <w:p>
            <w:pPr>
              <w:spacing w:after="0"/>
            </w:pPr>
            <w:r>
              <w:rPr>
                <w:sz w:val="16"/>
              </w:rPr>
              <w:t>Debounced input query</w:t>
            </w:r>
          </w:p>
        </w:tc>
        <w:tc>
          <w:tcPr>
            <w:tcW w:type="dxa" w:w="4608"/>
            <w:vAlign w:val="top"/>
          </w:tcPr>
          <w:p>
            <w:pPr>
              <w:spacing w:after="0"/>
            </w:pPr>
            <w:r>
              <w:rPr>
                <w:sz w:val="16"/>
              </w:rPr>
              <w:t>RxJS service pipeline + external()</w:t>
            </w:r>
          </w:p>
        </w:tc>
        <w:tc>
          <w:tcPr>
            <w:tcW w:type="dxa" w:w="1728"/>
            <w:vAlign w:val="top"/>
          </w:tcPr>
          <w:p>
            <w:pPr>
              <w:spacing w:after="0"/>
            </w:pPr>
            <w:r>
              <w:rPr>
                <w:sz w:val="16"/>
              </w:rPr>
              <w:t>Deleted</w:t>
            </w:r>
          </w:p>
        </w:tc>
      </w:tr>
      <w:tr>
        <w:trPr>
          <w:cantSplit w:val="true"/>
        </w:trPr>
        <w:tc>
          <w:tcPr>
            <w:tcW w:type="dxa" w:w="2376"/>
            <w:shd w:fill="F5F7F9"/>
            <w:vAlign w:val="top"/>
          </w:tcPr>
          <w:p>
            <w:pPr>
              <w:spacing w:after="0"/>
            </w:pPr>
            <w:r>
              <w:rPr>
                <w:sz w:val="16"/>
              </w:rPr>
              <w:t>asyncSource</w:t>
            </w:r>
          </w:p>
        </w:tc>
        <w:tc>
          <w:tcPr>
            <w:tcW w:type="dxa" w:w="3384"/>
            <w:vAlign w:val="top"/>
          </w:tcPr>
          <w:p>
            <w:pPr>
              <w:spacing w:after="0"/>
            </w:pPr>
            <w:r>
              <w:rPr>
                <w:sz w:val="16"/>
              </w:rPr>
              <w:t>Load/refresh state</w:t>
            </w:r>
          </w:p>
        </w:tc>
        <w:tc>
          <w:tcPr>
            <w:tcW w:type="dxa" w:w="4608"/>
            <w:vAlign w:val="top"/>
          </w:tcPr>
          <w:p>
            <w:pPr>
              <w:spacing w:after="0"/>
            </w:pPr>
            <w:r>
              <w:rPr>
                <w:sz w:val="16"/>
              </w:rPr>
              <w:t>Application async + plain state + external()</w:t>
            </w:r>
          </w:p>
        </w:tc>
        <w:tc>
          <w:tcPr>
            <w:tcW w:type="dxa" w:w="1728"/>
            <w:vAlign w:val="top"/>
          </w:tcPr>
          <w:p>
            <w:pPr>
              <w:spacing w:after="0"/>
            </w:pPr>
            <w:r>
              <w:rPr>
                <w:sz w:val="16"/>
              </w:rPr>
              <w:t>Deleted</w:t>
            </w:r>
          </w:p>
        </w:tc>
      </w:tr>
      <w:tr>
        <w:trPr>
          <w:cantSplit w:val="true"/>
        </w:trPr>
        <w:tc>
          <w:tcPr>
            <w:tcW w:type="dxa" w:w="2376"/>
            <w:shd w:fill="F5F7F9"/>
            <w:vAlign w:val="top"/>
          </w:tcPr>
          <w:p>
            <w:pPr>
              <w:spacing w:after="0"/>
            </w:pPr>
            <w:r>
              <w:rPr>
                <w:sz w:val="16"/>
              </w:rPr>
              <w:t>stored</w:t>
            </w:r>
          </w:p>
        </w:tc>
        <w:tc>
          <w:tcPr>
            <w:tcW w:type="dxa" w:w="3384"/>
            <w:vAlign w:val="top"/>
          </w:tcPr>
          <w:p>
            <w:pPr>
              <w:spacing w:after="0"/>
            </w:pPr>
            <w:r>
              <w:rPr>
                <w:sz w:val="16"/>
              </w:rPr>
              <w:t>Durable state relationship</w:t>
            </w:r>
          </w:p>
        </w:tc>
        <w:tc>
          <w:tcPr>
            <w:tcW w:type="dxa" w:w="4608"/>
            <w:vAlign w:val="top"/>
          </w:tcPr>
          <w:p>
            <w:pPr>
              <w:spacing w:after="0"/>
            </w:pPr>
            <w:r>
              <w:rPr>
                <w:sz w:val="16"/>
              </w:rPr>
              <w:t>Link + persistence endpoint/adapter</w:t>
            </w:r>
          </w:p>
        </w:tc>
        <w:tc>
          <w:tcPr>
            <w:tcW w:type="dxa" w:w="1728"/>
            <w:vAlign w:val="top"/>
          </w:tcPr>
          <w:p>
            <w:pPr>
              <w:spacing w:after="0"/>
            </w:pPr>
            <w:r>
              <w:rPr>
                <w:sz w:val="16"/>
              </w:rPr>
              <w:t>Delete next</w:t>
            </w:r>
          </w:p>
        </w:tc>
      </w:tr>
      <w:tr>
        <w:trPr>
          <w:cantSplit w:val="true"/>
        </w:trPr>
        <w:tc>
          <w:tcPr>
            <w:tcW w:type="dxa" w:w="2376"/>
            <w:shd w:fill="F5F7F9"/>
            <w:vAlign w:val="top"/>
          </w:tcPr>
          <w:p>
            <w:pPr>
              <w:spacing w:after="0"/>
            </w:pPr>
            <w:r>
              <w:rPr>
                <w:sz w:val="16"/>
              </w:rPr>
              <w:t>flushAllStoredSignals</w:t>
            </w:r>
          </w:p>
        </w:tc>
        <w:tc>
          <w:tcPr>
            <w:tcW w:type="dxa" w:w="3384"/>
            <w:vAlign w:val="top"/>
          </w:tcPr>
          <w:p>
            <w:pPr>
              <w:spacing w:after="0"/>
            </w:pPr>
            <w:r>
              <w:rPr>
                <w:sz w:val="16"/>
              </w:rPr>
              <w:t>Process-wide durability drain</w:t>
            </w:r>
          </w:p>
        </w:tc>
        <w:tc>
          <w:tcPr>
            <w:tcW w:type="dxa" w:w="4608"/>
            <w:vAlign w:val="top"/>
          </w:tcPr>
          <w:p>
            <w:pPr>
              <w:spacing w:after="0"/>
            </w:pPr>
            <w:r>
              <w:rPr>
                <w:sz w:val="16"/>
              </w:rPr>
              <w:t>Per-relationship `await settled()`</w:t>
            </w:r>
          </w:p>
        </w:tc>
        <w:tc>
          <w:tcPr>
            <w:tcW w:type="dxa" w:w="1728"/>
            <w:vAlign w:val="top"/>
          </w:tcPr>
          <w:p>
            <w:pPr>
              <w:spacing w:after="0"/>
            </w:pPr>
            <w:r>
              <w:rPr>
                <w:sz w:val="16"/>
              </w:rPr>
              <w:t>Delete</w:t>
            </w:r>
          </w:p>
        </w:tc>
      </w:tr>
      <w:tr>
        <w:trPr>
          <w:cantSplit w:val="true"/>
        </w:trPr>
        <w:tc>
          <w:tcPr>
            <w:tcW w:type="dxa" w:w="2376"/>
            <w:shd w:fill="F5F7F9"/>
            <w:vAlign w:val="top"/>
          </w:tcPr>
          <w:p>
            <w:pPr>
              <w:spacing w:after="0"/>
            </w:pPr>
            <w:r>
              <w:rPr>
                <w:sz w:val="16"/>
              </w:rPr>
              <w:t>loader</w:t>
            </w:r>
          </w:p>
        </w:tc>
        <w:tc>
          <w:tcPr>
            <w:tcW w:type="dxa" w:w="3384"/>
            <w:vAlign w:val="top"/>
          </w:tcPr>
          <w:p>
            <w:pPr>
              <w:spacing w:after="0"/>
            </w:pPr>
            <w:r>
              <w:rPr>
                <w:sz w:val="16"/>
              </w:rPr>
              <w:t>Remote-data/cache policy</w:t>
            </w:r>
          </w:p>
        </w:tc>
        <w:tc>
          <w:tcPr>
            <w:tcW w:type="dxa" w:w="4608"/>
            <w:vAlign w:val="top"/>
          </w:tcPr>
          <w:p>
            <w:pPr>
              <w:spacing w:after="0"/>
            </w:pPr>
            <w:r>
              <w:rPr>
                <w:sz w:val="16"/>
              </w:rPr>
              <w:t>Unresolved; not reducible by analogy</w:t>
            </w:r>
          </w:p>
        </w:tc>
        <w:tc>
          <w:tcPr>
            <w:tcW w:type="dxa" w:w="1728"/>
            <w:vAlign w:val="top"/>
          </w:tcPr>
          <w:p>
            <w:pPr>
              <w:spacing w:after="0"/>
            </w:pPr>
            <w:r>
              <w:rPr>
                <w:sz w:val="16"/>
              </w:rPr>
              <w:t>Held</w:t>
            </w:r>
          </w:p>
        </w:tc>
      </w:tr>
      <w:tr>
        <w:trPr>
          <w:cantSplit w:val="true"/>
        </w:trPr>
        <w:tc>
          <w:tcPr>
            <w:tcW w:type="dxa" w:w="2376"/>
            <w:shd w:fill="F5F7F9"/>
            <w:vAlign w:val="top"/>
          </w:tcPr>
          <w:p>
            <w:pPr>
              <w:spacing w:after="0"/>
            </w:pPr>
            <w:r>
              <w:rPr>
                <w:sz w:val="16"/>
              </w:rPr>
              <w:t>afterCommit</w:t>
            </w:r>
          </w:p>
        </w:tc>
        <w:tc>
          <w:tcPr>
            <w:tcW w:type="dxa" w:w="3384"/>
            <w:vAlign w:val="top"/>
          </w:tcPr>
          <w:p>
            <w:pPr>
              <w:spacing w:after="0"/>
            </w:pPr>
            <w:r>
              <w:rPr>
                <w:sz w:val="16"/>
              </w:rPr>
              <w:t>Application effect scheduling</w:t>
            </w:r>
          </w:p>
        </w:tc>
        <w:tc>
          <w:tcPr>
            <w:tcW w:type="dxa" w:w="4608"/>
            <w:vAlign w:val="top"/>
          </w:tcPr>
          <w:p>
            <w:pPr>
              <w:spacing w:after="0"/>
            </w:pPr>
            <w:r>
              <w:rPr>
                <w:sz w:val="16"/>
              </w:rPr>
              <w:t>Application decides after settled state</w:t>
            </w:r>
          </w:p>
        </w:tc>
        <w:tc>
          <w:tcPr>
            <w:tcW w:type="dxa" w:w="1728"/>
            <w:vAlign w:val="top"/>
          </w:tcPr>
          <w:p>
            <w:pPr>
              <w:spacing w:after="0"/>
            </w:pPr>
            <w:r>
              <w:rPr>
                <w:sz w:val="16"/>
              </w:rPr>
              <w:t>No public API</w:t>
            </w:r>
          </w:p>
        </w:tc>
      </w:tr>
      <w:tr>
        <w:trPr>
          <w:cantSplit w:val="true"/>
        </w:trPr>
        <w:tc>
          <w:tcPr>
            <w:tcW w:type="dxa" w:w="2376"/>
            <w:shd w:fill="F5F7F9"/>
            <w:vAlign w:val="top"/>
          </w:tcPr>
          <w:p>
            <w:pPr>
              <w:spacing w:after="0"/>
            </w:pPr>
            <w:r>
              <w:rPr>
                <w:sz w:val="16"/>
              </w:rPr>
              <w:t>status</w:t>
            </w:r>
          </w:p>
        </w:tc>
        <w:tc>
          <w:tcPr>
            <w:tcW w:type="dxa" w:w="3384"/>
            <w:vAlign w:val="top"/>
          </w:tcPr>
          <w:p>
            <w:pPr>
              <w:spacing w:after="0"/>
            </w:pPr>
            <w:r>
              <w:rPr>
                <w:sz w:val="16"/>
              </w:rPr>
              <w:t>Historical status primitive</w:t>
            </w:r>
          </w:p>
        </w:tc>
        <w:tc>
          <w:tcPr>
            <w:tcW w:type="dxa" w:w="4608"/>
            <w:vAlign w:val="top"/>
          </w:tcPr>
          <w:p>
            <w:pPr>
              <w:spacing w:after="0"/>
            </w:pPr>
            <w:r>
              <w:rPr>
                <w:sz w:val="16"/>
              </w:rPr>
              <w:t>Ordinary state / feature-specific state</w:t>
            </w:r>
          </w:p>
        </w:tc>
        <w:tc>
          <w:tcPr>
            <w:tcW w:type="dxa" w:w="1728"/>
            <w:vAlign w:val="top"/>
          </w:tcPr>
          <w:p>
            <w:pPr>
              <w:spacing w:after="0"/>
            </w:pPr>
            <w:r>
              <w:rPr>
                <w:sz w:val="16"/>
              </w:rPr>
              <w:t>Already gone</w:t>
            </w:r>
          </w:p>
        </w:tc>
      </w:tr>
    </w:tbl>
    <w:p>
      <w:pPr>
        <w:spacing w:after="20"/>
        <w:widowControl w:val="true"/>
      </w:pPr>
    </w:p>
    <w:p>
      <w:pPr>
        <w:pStyle w:val="Heading2"/>
        <w:widowControl w:val="true"/>
      </w:pPr>
      <w:r>
        <w:t>B.3 Gate authority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880"/>
            <w:shd w:fill="18324A"/>
            <w:vAlign w:val="center"/>
          </w:tcPr>
          <w:p>
            <w:r>
              <w:rPr>
                <w:b/>
                <w:color w:val="FFFFFF"/>
                <w:sz w:val="16"/>
              </w:rPr>
              <w:t>Gate</w:t>
            </w:r>
          </w:p>
        </w:tc>
        <w:tc>
          <w:tcPr>
            <w:tcW w:type="dxa" w:w="3168"/>
            <w:shd w:fill="18324A"/>
            <w:vAlign w:val="center"/>
          </w:tcPr>
          <w:p>
            <w:r>
              <w:rPr>
                <w:b/>
                <w:color w:val="FFFFFF"/>
                <w:sz w:val="16"/>
              </w:rPr>
              <w:t>What it is good for</w:t>
            </w:r>
          </w:p>
        </w:tc>
        <w:tc>
          <w:tcPr>
            <w:tcW w:type="dxa" w:w="2088"/>
            <w:shd w:fill="18324A"/>
            <w:vAlign w:val="center"/>
          </w:tcPr>
          <w:p>
            <w:r>
              <w:rPr>
                <w:b/>
                <w:color w:val="FFFFFF"/>
                <w:sz w:val="16"/>
              </w:rPr>
              <w:t>Authoritative?</w:t>
            </w:r>
          </w:p>
        </w:tc>
        <w:tc>
          <w:tcPr>
            <w:tcW w:type="dxa" w:w="3960"/>
            <w:shd w:fill="18324A"/>
            <w:vAlign w:val="center"/>
          </w:tcPr>
          <w:p>
            <w:r>
              <w:rPr>
                <w:b/>
                <w:color w:val="FFFFFF"/>
                <w:sz w:val="16"/>
              </w:rPr>
              <w:t>SignalTree evidence</w:t>
            </w:r>
          </w:p>
        </w:tc>
      </w:tr>
      <w:tr>
        <w:trPr>
          <w:cantSplit w:val="true"/>
        </w:trPr>
        <w:tc>
          <w:tcPr>
            <w:tcW w:type="dxa" w:w="2880"/>
            <w:shd w:fill="F5F7F9"/>
            <w:vAlign w:val="top"/>
          </w:tcPr>
          <w:p>
            <w:pPr>
              <w:spacing w:after="0"/>
            </w:pPr>
            <w:r>
              <w:rPr>
                <w:sz w:val="16"/>
              </w:rPr>
              <w:t>Local experimental Link harness</w:t>
            </w:r>
          </w:p>
        </w:tc>
        <w:tc>
          <w:tcPr>
            <w:tcW w:type="dxa" w:w="3168"/>
            <w:vAlign w:val="top"/>
          </w:tcPr>
          <w:p>
            <w:pPr>
              <w:spacing w:after="0"/>
            </w:pPr>
            <w:r>
              <w:rPr>
                <w:sz w:val="16"/>
              </w:rPr>
              <w:t>Explore candidate semantics</w:t>
            </w:r>
          </w:p>
        </w:tc>
        <w:tc>
          <w:tcPr>
            <w:tcW w:type="dxa" w:w="2088"/>
            <w:vAlign w:val="top"/>
          </w:tcPr>
          <w:p>
            <w:pPr>
              <w:spacing w:after="0"/>
            </w:pPr>
            <w:r>
              <w:rPr>
                <w:sz w:val="16"/>
              </w:rPr>
              <w:t>No, after production landing</w:t>
            </w:r>
          </w:p>
        </w:tc>
        <w:tc>
          <w:tcPr>
            <w:tcW w:type="dxa" w:w="3960"/>
            <w:vAlign w:val="top"/>
          </w:tcPr>
          <w:p>
            <w:pPr>
              <w:spacing w:after="0"/>
            </w:pPr>
            <w:r>
              <w:rPr>
                <w:sz w:val="16"/>
              </w:rPr>
              <w:t>Catastrophic production mutation killed none</w:t>
            </w:r>
          </w:p>
        </w:tc>
      </w:tr>
      <w:tr>
        <w:trPr>
          <w:cantSplit w:val="true"/>
        </w:trPr>
        <w:tc>
          <w:tcPr>
            <w:tcW w:type="dxa" w:w="2880"/>
            <w:shd w:fill="F5F7F9"/>
            <w:vAlign w:val="top"/>
          </w:tcPr>
          <w:p>
            <w:pPr>
              <w:spacing w:after="0"/>
            </w:pPr>
            <w:r>
              <w:rPr>
                <w:sz w:val="16"/>
              </w:rPr>
              <w:t>Production Link conformance</w:t>
            </w:r>
          </w:p>
        </w:tc>
        <w:tc>
          <w:tcPr>
            <w:tcW w:type="dxa" w:w="3168"/>
            <w:vAlign w:val="top"/>
          </w:tcPr>
          <w:p>
            <w:pPr>
              <w:spacing w:after="0"/>
            </w:pPr>
            <w:r>
              <w:rPr>
                <w:sz w:val="16"/>
              </w:rPr>
              <w:t>Permanent public semantics</w:t>
            </w:r>
          </w:p>
        </w:tc>
        <w:tc>
          <w:tcPr>
            <w:tcW w:type="dxa" w:w="2088"/>
            <w:vAlign w:val="top"/>
          </w:tcPr>
          <w:p>
            <w:pPr>
              <w:spacing w:after="0"/>
            </w:pPr>
            <w:r>
              <w:rPr>
                <w:sz w:val="16"/>
              </w:rPr>
              <w:t>Yes</w:t>
            </w:r>
          </w:p>
        </w:tc>
        <w:tc>
          <w:tcPr>
            <w:tcW w:type="dxa" w:w="3960"/>
            <w:vAlign w:val="top"/>
          </w:tcPr>
          <w:p>
            <w:pPr>
              <w:spacing w:after="0"/>
            </w:pPr>
            <w:r>
              <w:rPr>
                <w:sz w:val="16"/>
              </w:rPr>
              <w:t>Killed production outbound mutation</w:t>
            </w:r>
          </w:p>
        </w:tc>
      </w:tr>
      <w:tr>
        <w:trPr>
          <w:cantSplit w:val="true"/>
        </w:trPr>
        <w:tc>
          <w:tcPr>
            <w:tcW w:type="dxa" w:w="2880"/>
            <w:shd w:fill="F5F7F9"/>
            <w:vAlign w:val="top"/>
          </w:tcPr>
          <w:p>
            <w:pPr>
              <w:spacing w:after="0"/>
            </w:pPr>
            <w:r>
              <w:rPr>
                <w:sz w:val="16"/>
              </w:rPr>
              <w:t>Typing specs</w:t>
            </w:r>
          </w:p>
        </w:tc>
        <w:tc>
          <w:tcPr>
            <w:tcW w:type="dxa" w:w="3168"/>
            <w:vAlign w:val="top"/>
          </w:tcPr>
          <w:p>
            <w:pPr>
              <w:spacing w:after="0"/>
            </w:pPr>
            <w:r>
              <w:rPr>
                <w:sz w:val="16"/>
              </w:rPr>
              <w:t>Admission / readonly / full-value API</w:t>
            </w:r>
          </w:p>
        </w:tc>
        <w:tc>
          <w:tcPr>
            <w:tcW w:type="dxa" w:w="2088"/>
            <w:vAlign w:val="top"/>
          </w:tcPr>
          <w:p>
            <w:pPr>
              <w:spacing w:after="0"/>
            </w:pPr>
            <w:r>
              <w:rPr>
                <w:sz w:val="16"/>
              </w:rPr>
              <w:t>Yes for type claims</w:t>
            </w:r>
          </w:p>
        </w:tc>
        <w:tc>
          <w:tcPr>
            <w:tcW w:type="dxa" w:w="3960"/>
            <w:vAlign w:val="top"/>
          </w:tcPr>
          <w:p>
            <w:pPr>
              <w:spacing w:after="0"/>
            </w:pPr>
            <w:r>
              <w:rPr>
                <w:sz w:val="16"/>
              </w:rPr>
              <w:t>Compiler negatives / exact equality</w:t>
            </w:r>
          </w:p>
        </w:tc>
      </w:tr>
      <w:tr>
        <w:trPr>
          <w:cantSplit w:val="true"/>
        </w:trPr>
        <w:tc>
          <w:tcPr>
            <w:tcW w:type="dxa" w:w="2880"/>
            <w:shd w:fill="F5F7F9"/>
            <w:vAlign w:val="top"/>
          </w:tcPr>
          <w:p>
            <w:pPr>
              <w:spacing w:after="0"/>
            </w:pPr>
            <w:r>
              <w:rPr>
                <w:sz w:val="16"/>
              </w:rPr>
              <w:t>Demo suite</w:t>
            </w:r>
          </w:p>
        </w:tc>
        <w:tc>
          <w:tcPr>
            <w:tcW w:type="dxa" w:w="3168"/>
            <w:vAlign w:val="top"/>
          </w:tcPr>
          <w:p>
            <w:pPr>
              <w:spacing w:after="0"/>
            </w:pPr>
            <w:r>
              <w:rPr>
                <w:sz w:val="16"/>
              </w:rPr>
              <w:t>Public usability / teaching scenarios</w:t>
            </w:r>
          </w:p>
        </w:tc>
        <w:tc>
          <w:tcPr>
            <w:tcW w:type="dxa" w:w="2088"/>
            <w:vAlign w:val="top"/>
          </w:tcPr>
          <w:p>
            <w:pPr>
              <w:spacing w:after="0"/>
            </w:pPr>
            <w:r>
              <w:rPr>
                <w:sz w:val="16"/>
              </w:rPr>
              <w:t>Yes for demo ergonomics</w:t>
            </w:r>
          </w:p>
        </w:tc>
        <w:tc>
          <w:tcPr>
            <w:tcW w:type="dxa" w:w="3960"/>
            <w:vAlign w:val="top"/>
          </w:tcPr>
          <w:p>
            <w:pPr>
              <w:spacing w:after="0"/>
            </w:pPr>
            <w:r>
              <w:rPr>
                <w:sz w:val="16"/>
              </w:rPr>
              <w:t>Executed RxJS replacement caught recovery bug</w:t>
            </w:r>
          </w:p>
        </w:tc>
      </w:tr>
      <w:tr>
        <w:trPr>
          <w:cantSplit w:val="true"/>
        </w:trPr>
        <w:tc>
          <w:tcPr>
            <w:tcW w:type="dxa" w:w="2880"/>
            <w:shd w:fill="F5F7F9"/>
            <w:vAlign w:val="top"/>
          </w:tcPr>
          <w:p>
            <w:pPr>
              <w:spacing w:after="0"/>
            </w:pPr>
            <w:r>
              <w:rPr>
                <w:sz w:val="16"/>
              </w:rPr>
              <w:t>TruckTrax audit</w:t>
            </w:r>
          </w:p>
        </w:tc>
        <w:tc>
          <w:tcPr>
            <w:tcW w:type="dxa" w:w="3168"/>
            <w:vAlign w:val="top"/>
          </w:tcPr>
          <w:p>
            <w:pPr>
              <w:spacing w:after="0"/>
            </w:pPr>
            <w:r>
              <w:rPr>
                <w:sz w:val="16"/>
              </w:rPr>
              <w:t>Real product lifecycle</w:t>
            </w:r>
          </w:p>
        </w:tc>
        <w:tc>
          <w:tcPr>
            <w:tcW w:type="dxa" w:w="2088"/>
            <w:vAlign w:val="top"/>
          </w:tcPr>
          <w:p>
            <w:pPr>
              <w:spacing w:after="0"/>
            </w:pPr>
            <w:r>
              <w:rPr>
                <w:sz w:val="16"/>
              </w:rPr>
              <w:t>Yes for consumer integration</w:t>
            </w:r>
          </w:p>
        </w:tc>
        <w:tc>
          <w:tcPr>
            <w:tcW w:type="dxa" w:w="3960"/>
            <w:vAlign w:val="top"/>
          </w:tcPr>
          <w:p>
            <w:pPr>
              <w:spacing w:after="0"/>
            </w:pPr>
            <w:r>
              <w:rPr>
                <w:sz w:val="16"/>
              </w:rPr>
              <w:t>Exposed persistence durability hazard</w:t>
            </w:r>
          </w:p>
        </w:tc>
      </w:tr>
      <w:tr>
        <w:trPr>
          <w:cantSplit w:val="true"/>
        </w:trPr>
        <w:tc>
          <w:tcPr>
            <w:tcW w:type="dxa" w:w="2880"/>
            <w:shd w:fill="F5F7F9"/>
            <w:vAlign w:val="top"/>
          </w:tcPr>
          <w:p>
            <w:pPr>
              <w:spacing w:after="0"/>
            </w:pPr>
            <w:r>
              <w:rPr>
                <w:sz w:val="16"/>
              </w:rPr>
              <w:t>Release gate on dirty snapshot</w:t>
            </w:r>
          </w:p>
        </w:tc>
        <w:tc>
          <w:tcPr>
            <w:tcW w:type="dxa" w:w="3168"/>
            <w:vAlign w:val="top"/>
          </w:tcPr>
          <w:p>
            <w:pPr>
              <w:spacing w:after="0"/>
            </w:pPr>
            <w:r>
              <w:rPr>
                <w:sz w:val="16"/>
              </w:rPr>
              <w:t>Advisory signal</w:t>
            </w:r>
          </w:p>
        </w:tc>
        <w:tc>
          <w:tcPr>
            <w:tcW w:type="dxa" w:w="2088"/>
            <w:vAlign w:val="top"/>
          </w:tcPr>
          <w:p>
            <w:pPr>
              <w:spacing w:after="0"/>
            </w:pPr>
            <w:r>
              <w:rPr>
                <w:sz w:val="16"/>
              </w:rPr>
              <w:t>No</w:t>
            </w:r>
          </w:p>
        </w:tc>
        <w:tc>
          <w:tcPr>
            <w:tcW w:type="dxa" w:w="3960"/>
            <w:vAlign w:val="top"/>
          </w:tcPr>
          <w:p>
            <w:pPr>
              <w:spacing w:after="0"/>
            </w:pPr>
            <w:r>
              <w:rPr>
                <w:sz w:val="16"/>
              </w:rPr>
              <w:t>Must reproduce on clean authoritative HEAD</w:t>
            </w:r>
          </w:p>
        </w:tc>
      </w:tr>
    </w:tbl>
    <w:p>
      <w:pPr>
        <w:spacing w:after="20"/>
        <w:widowControl w:val="true"/>
      </w:pPr>
    </w:p>
    <w:p>
      <w:pPr>
        <w:pStyle w:val="Heading1"/>
        <w:widowControl w:val="true"/>
      </w:pPr>
      <w:r>
        <w:t>Appendix C. Compact reuse checklist</w:t>
      </w:r>
    </w:p>
    <w:p>
      <w:pPr>
        <w:widowControl w:val="true"/>
      </w:pPr>
      <w:r>
        <w:t>For a future project, the SignalTree case study suggests the following minimum discipline before closing an architectural decision:</w:t>
      </w:r>
    </w:p>
    <w:p>
      <w:pPr>
        <w:pStyle w:val="ListBullet"/>
        <w:spacing w:after="50"/>
        <w:widowControl w:val="true"/>
      </w:pPr>
      <w:r>
        <w:t>Inventory every implementation, type, consumer, demo, doc, tool, and package-reachability path.</w:t>
      </w:r>
    </w:p>
    <w:p>
      <w:pPr>
        <w:pStyle w:val="ListBullet"/>
        <w:spacing w:after="50"/>
        <w:widowControl w:val="true"/>
      </w:pPr>
      <w:r>
        <w:t>Frame the question in terms of semantic ownership, not preferred replacement.</w:t>
      </w:r>
    </w:p>
    <w:p>
      <w:pPr>
        <w:pStyle w:val="ListBullet"/>
        <w:spacing w:after="50"/>
        <w:widowControl w:val="true"/>
      </w:pPr>
      <w:r>
        <w:t>Preregister at least one falsifier capable of invalidating the preferred outcome.</w:t>
      </w:r>
    </w:p>
    <w:p>
      <w:pPr>
        <w:pStyle w:val="ListBullet"/>
        <w:spacing w:after="50"/>
        <w:widowControl w:val="true"/>
      </w:pPr>
      <w:r>
        <w:t>Characterize current behavior before designing the replacement.</w:t>
      </w:r>
    </w:p>
    <w:p>
      <w:pPr>
        <w:pStyle w:val="ListBullet"/>
        <w:spacing w:after="50"/>
        <w:widowControl w:val="true"/>
      </w:pPr>
      <w:r>
        <w:t>Build a load-bearing discriminator, not only happy-path regression tests.</w:t>
      </w:r>
    </w:p>
    <w:p>
      <w:pPr>
        <w:pStyle w:val="ListBullet"/>
        <w:spacing w:after="50"/>
        <w:widowControl w:val="true"/>
      </w:pPr>
      <w:r>
        <w:t>Validate the gate with a deliberate mutation or control when practical.</w:t>
      </w:r>
    </w:p>
    <w:p>
      <w:pPr>
        <w:pStyle w:val="ListBullet"/>
        <w:spacing w:after="50"/>
        <w:widowControl w:val="true"/>
      </w:pPr>
      <w:r>
        <w:t>Classify failures: primitive-specific, generic invariant, consumer, demo, tooling, archaeology.</w:t>
      </w:r>
    </w:p>
    <w:p>
      <w:pPr>
        <w:pStyle w:val="ListBullet"/>
        <w:spacing w:after="50"/>
        <w:widowControl w:val="true"/>
      </w:pPr>
      <w:r>
        <w:t>Record corrections explicitly when a claim was too broad or a test asserted the wrong property.</w:t>
      </w:r>
    </w:p>
    <w:p>
      <w:pPr>
        <w:pStyle w:val="ListBullet"/>
        <w:spacing w:after="50"/>
        <w:widowControl w:val="true"/>
      </w:pPr>
      <w:r>
        <w:t>Assign each surviving behavior to the smallest truthful owner.</w:t>
      </w:r>
    </w:p>
    <w:p>
      <w:pPr>
        <w:pStyle w:val="ListBullet"/>
        <w:spacing w:after="50"/>
        <w:widowControl w:val="true"/>
      </w:pPr>
      <w:r>
        <w:t>Freeze the public contract only after the alternatives have been meaningfully challenged.</w:t>
      </w:r>
    </w:p>
    <w:p>
      <w:pPr>
        <w:pStyle w:val="ListBullet"/>
        <w:spacing w:after="50"/>
        <w:widowControl w:val="true"/>
      </w:pPr>
      <w:r>
        <w:t>Consolidate experimental harnesses once production-facing conformance exists.</w:t>
      </w:r>
    </w:p>
    <w:p>
      <w:pPr>
        <w:pStyle w:val="ListBullet"/>
        <w:spacing w:after="50"/>
        <w:widowControl w:val="true"/>
      </w:pPr>
      <w:r>
        <w:t>Migrate live docs, AI instructions, demos, and release tools in the same retirement phase.</w:t>
      </w:r>
    </w:p>
    <w:p>
      <w:pPr>
        <w:pStyle w:val="ListBullet"/>
        <w:spacing w:after="50"/>
        <w:widowControl w:val="true"/>
      </w:pPr>
      <w:r>
        <w:t>Keep historical records historical; do not rewrite the past to make the present look cleaner.</w:t>
      </w:r>
    </w:p>
    <w:p>
      <w:pPr>
        <w:pStyle w:val="ListBullet"/>
        <w:spacing w:after="50"/>
        <w:widowControl w:val="true"/>
      </w:pPr>
      <w:r>
        <w:t>Use zero-reference gates by category, not one global grep.</w:t>
      </w:r>
    </w:p>
    <w:p>
      <w:pPr>
        <w:pStyle w:val="ListBullet"/>
        <w:spacing w:after="50"/>
        <w:widowControl w:val="true"/>
      </w:pPr>
      <w:r>
        <w:t>Use a real consumer and clean package artifact before calling the release complete.</w:t>
      </w:r>
    </w:p>
    <w:p>
      <w:pPr>
        <w:pStyle w:val="ListBullet"/>
        <w:spacing w:after="50"/>
        <w:widowControl w:val="true"/>
      </w:pPr>
      <w:r>
        <w:t>Preserve non-claims and current unknowns alongside the decision.</w:t>
      </w:r>
    </w:p>
    <w:tbl>
      <w:tblPr>
        <w:tblW w:type="auto" w:w="0"/>
        <w:jc w:val="center"/>
        <w:tblLayout w:type="autofit"/>
        <w:tblLook w:firstColumn="1" w:firstRow="1" w:lastColumn="0" w:lastRow="0" w:noHBand="0" w:noVBand="1" w:val="04A0"/>
      </w:tblPr>
      <w:tblGrid>
        <w:gridCol w:w="9994"/>
      </w:tblGrid>
      <w:tr>
        <w:tc>
          <w:tcPr>
            <w:tcW w:type="dxa" w:w="9994"/>
            <w:shd w:fill="EAF2F7"/>
            <w:tcBorders>
              <w:top w:val="single" w:sz="8" w:color="C9D2D9"/>
              <w:left w:val="single" w:sz="8" w:color="C9D2D9"/>
              <w:bottom w:val="single" w:sz="8" w:color="C9D2D9"/>
              <w:right w:val="single" w:sz="8" w:color="C9D2D9"/>
            </w:tcBorders>
            <w:vAlign w:val="center"/>
          </w:tcPr>
          <w:p>
            <w:r>
              <w:rPr>
                <w:b/>
                <w:color w:val="2F5D7C"/>
                <w:sz w:val="19"/>
              </w:rPr>
              <w:t>FINAL TAKEAWAY</w:t>
            </w:r>
            <w:r>
              <w:rPr>
                <w:color w:val="222222"/>
                <w:sz w:val="18"/>
              </w:rPr>
              <w:br/>
              <w:t>The SignalTree program became reliable when architecture stopped being a sequence of confident answers and became a sequence of falsifiable claims with explicit closure conditions. The reusable asset is not any one API decision. It is the machinery that made those decisions correctable, preservable, and hard to accidentally undo.</w:t>
            </w:r>
          </w:p>
        </w:tc>
      </w:tr>
    </w:tbl>
    <w:p>
      <w:pPr>
        <w:spacing w:after="0"/>
        <w:widowControl w:val="true"/>
      </w:pPr>
    </w:p>
    <w:sectPr w:rsidR="00FC693F" w:rsidRPr="0006063C" w:rsidSect="00034616">
      <w:pgSz w:w="12240" w:h="15840"/>
      <w:pgMar w:top="1037" w:right="1123" w:bottom="1037"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3"/>
        <w:sz w:val="15"/>
      </w:rPr>
      <w:t xml:space="preserve">Adversarial Discovery &amp; Solidification Protocol companion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B73"/>
        <w:sz w:val="15"/>
      </w:rPr>
      <w:t>SIGNALTREE v15 • ADSP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8324A"/>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5D7C"/>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8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ead">
    <w:name w:val="Case Lead"/>
    <w:pPr>
      <w:spacing w:after="200" w:line="269" w:lineRule="auto"/>
    </w:pPr>
    <w:rPr>
      <w:rFonts w:ascii="Aptos" w:hAnsi="Aptos"/>
      <w:color w:val="18324A"/>
      <w:sz w:val="26"/>
    </w:rPr>
  </w:style>
  <w:style w:type="paragraph" w:customStyle="1" w:styleId="CodeBlock">
    <w:name w:val="Code Block"/>
    <w:pPr>
      <w:spacing w:before="60" w:after="140"/>
      <w:ind w:left="173" w:right="173"/>
    </w:pPr>
    <w:rPr>
      <w:rFonts w:ascii="Consolas" w:hAnsi="Consolas"/>
      <w:color w:val="222222"/>
      <w:sz w:val="17"/>
    </w:rPr>
  </w:style>
  <w:style w:type="paragraph" w:customStyle="1" w:styleId="SmallNote">
    <w:name w:val="Small Note"/>
    <w:pPr>
      <w:spacing w:after="80"/>
    </w:pPr>
    <w:rPr>
      <w:rFonts w:ascii="Aptos" w:hAnsi="Aptos"/>
      <w:color w:val="5F6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