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555555"/>
          <w:sz w:val="20"/>
        </w:rPr>
        <w:t>COMPARATIVE ANALYSIS</w:t>
      </w:r>
    </w:p>
    <w:p>
      <w:pPr>
        <w:spacing w:after="80"/>
      </w:pPr>
      <w:r>
        <w:rPr>
          <w:rFonts w:ascii="Calibri" w:hAnsi="Calibri"/>
          <w:b/>
          <w:i w:val="0"/>
          <w:color w:val="1A1A1A"/>
          <w:sz w:val="48"/>
        </w:rPr>
        <w:t>Original Proposal vs. Current Pitch</w:t>
      </w:r>
    </w:p>
    <w:p>
      <w:pPr>
        <w:spacing w:after="80"/>
      </w:pPr>
      <w:r>
        <w:rPr>
          <w:rFonts w:ascii="Calibri" w:hAnsi="Calibri"/>
          <w:b w:val="0"/>
          <w:i/>
          <w:color w:val="555555"/>
          <w:sz w:val="24"/>
        </w:rPr>
        <w:t>Abu Dhabi Balloon at Saadiyat  →  Canvas From The Sky</w:t>
      </w:r>
    </w:p>
    <w:p>
      <w:pPr>
        <w:spacing w:after="80"/>
      </w:pPr>
      <w:r>
        <w:rPr>
          <w:rFonts w:ascii="Calibri" w:hAnsi="Calibri"/>
          <w:b w:val="0"/>
          <w:i w:val="0"/>
          <w:color w:val="1A1A1A"/>
          <w:sz w:val="22"/>
        </w:rPr>
      </w:r>
    </w:p>
    <w:p>
      <w:pPr>
        <w:spacing w:after="80"/>
      </w:pPr>
      <w:r>
        <w:rPr>
          <w:rFonts w:ascii="Calibri" w:hAnsi="Calibri"/>
          <w:b w:val="0"/>
          <w:i w:val="0"/>
          <w:color w:val="1A1A1A"/>
          <w:sz w:val="22"/>
        </w:rPr>
        <w:t>Side-by-side comparison of the original Hero Experiences Group technical proposal and the current Canvas From The Sky pitch — including the 12% Partner / 83% Operator / 5% VAT revenue-share waterfall from the original (page 11) that the current pitch does not yet apply.</w:t>
      </w:r>
    </w:p>
    <w:p>
      <w:pPr>
        <w:spacing w:after="80"/>
      </w:pPr>
      <w:r>
        <w:rPr>
          <w:rFonts w:ascii="Calibri" w:hAnsi="Calibri"/>
          <w:b w:val="0"/>
          <w:i w:val="0"/>
          <w:color w:val="1A1A1A"/>
          <w:sz w:val="22"/>
        </w:rPr>
      </w:r>
    </w:p>
    <w:tbl>
      <w:tblPr>
        <w:tblW w:type="auto" w:w="0"/>
        <w:tblLayout w:type="fixed"/>
        <w:tblLook w:firstColumn="1" w:firstRow="1" w:lastColumn="0" w:lastRow="0" w:noHBand="0" w:noVBand="1" w:val="04A0"/>
      </w:tblPr>
      <w:tblGrid>
        <w:gridCol w:w="4986"/>
        <w:gridCol w:w="4986"/>
      </w:tblGrid>
      <w:tr>
        <w:tc>
          <w:tcPr>
            <w:tcW w:type="dxa" w:w="1984"/>
          </w:tcPr>
          <w:p>
            <w:r/>
            <w:r>
              <w:rPr>
                <w:rFonts w:ascii="Calibri" w:hAnsi="Calibri"/>
                <w:b/>
                <w:color w:val="555555"/>
                <w:sz w:val="20"/>
              </w:rPr>
              <w:t>Date</w:t>
            </w:r>
          </w:p>
        </w:tc>
        <w:tc>
          <w:tcPr>
            <w:tcW w:type="dxa" w:w="7087"/>
          </w:tcPr>
          <w:p>
            <w:r/>
            <w:r>
              <w:rPr>
                <w:rFonts w:ascii="Calibri" w:hAnsi="Calibri"/>
                <w:color w:val="1A1A1A"/>
                <w:sz w:val="20"/>
              </w:rPr>
              <w:t>18 May 2026</w:t>
            </w:r>
          </w:p>
        </w:tc>
      </w:tr>
      <w:tr>
        <w:tc>
          <w:tcPr>
            <w:tcW w:type="dxa" w:w="1984"/>
          </w:tcPr>
          <w:p>
            <w:r/>
            <w:r>
              <w:rPr>
                <w:rFonts w:ascii="Calibri" w:hAnsi="Calibri"/>
                <w:b/>
                <w:color w:val="555555"/>
                <w:sz w:val="20"/>
              </w:rPr>
              <w:t>Audience</w:t>
            </w:r>
          </w:p>
        </w:tc>
        <w:tc>
          <w:tcPr>
            <w:tcW w:type="dxa" w:w="7087"/>
          </w:tcPr>
          <w:p>
            <w:r/>
            <w:r>
              <w:rPr>
                <w:rFonts w:ascii="Calibri" w:hAnsi="Calibri"/>
                <w:color w:val="1A1A1A"/>
                <w:sz w:val="20"/>
              </w:rPr>
              <w:t>CEO / executive review — internal</w:t>
            </w:r>
          </w:p>
        </w:tc>
      </w:tr>
      <w:tr>
        <w:tc>
          <w:tcPr>
            <w:tcW w:type="dxa" w:w="1984"/>
          </w:tcPr>
          <w:p>
            <w:r/>
            <w:r>
              <w:rPr>
                <w:rFonts w:ascii="Calibri" w:hAnsi="Calibri"/>
                <w:b/>
                <w:color w:val="555555"/>
                <w:sz w:val="20"/>
              </w:rPr>
              <w:t>Sources (original)</w:t>
            </w:r>
          </w:p>
        </w:tc>
        <w:tc>
          <w:tcPr>
            <w:tcW w:type="dxa" w:w="7087"/>
          </w:tcPr>
          <w:p>
            <w:r/>
            <w:r>
              <w:rPr>
                <w:rFonts w:ascii="Calibri" w:hAnsi="Calibri"/>
                <w:color w:val="1A1A1A"/>
                <w:sz w:val="20"/>
              </w:rPr>
              <w:t>archive/ADB_at_Saadiyat_Technical_Proposal.pdf (19-page Hero Experiences proposal)</w:t>
            </w:r>
          </w:p>
        </w:tc>
      </w:tr>
      <w:tr>
        <w:tc>
          <w:tcPr>
            <w:tcW w:type="dxa" w:w="1984"/>
          </w:tcPr>
          <w:p>
            <w:r/>
            <w:r>
              <w:rPr>
                <w:rFonts w:ascii="Calibri" w:hAnsi="Calibri"/>
                <w:b/>
                <w:color w:val="555555"/>
                <w:sz w:val="20"/>
              </w:rPr>
              <w:t>Sources (current)</w:t>
            </w:r>
          </w:p>
        </w:tc>
        <w:tc>
          <w:tcPr>
            <w:tcW w:type="dxa" w:w="7087"/>
          </w:tcPr>
          <w:p>
            <w:r/>
            <w:r>
              <w:rPr>
                <w:rFonts w:ascii="Calibri" w:hAnsi="Calibri"/>
                <w:color w:val="1A1A1A"/>
                <w:sz w:val="20"/>
              </w:rPr>
              <w:t>pitch-blueprint.md · financial-model-revision-150m-v2 · index.html</w:t>
            </w:r>
          </w:p>
        </w:tc>
      </w:tr>
    </w:tbl>
    <w:p>
      <w:pPr>
        <w:spacing w:before="360" w:after="160"/>
      </w:pPr>
      <w:r>
        <w:rPr>
          <w:rFonts w:ascii="Calibri" w:hAnsi="Calibri"/>
          <w:b/>
          <w:color w:val="1A1A1A"/>
          <w:sz w:val="40"/>
        </w:rPr>
        <w:t>1. Executive summary</w:t>
      </w:r>
    </w:p>
    <w:p>
      <w:pPr>
        <w:spacing w:after="80"/>
      </w:pPr>
      <w:r>
        <w:rPr>
          <w:rFonts w:ascii="Calibri" w:hAnsi="Calibri"/>
          <w:b w:val="0"/>
          <w:i w:val="0"/>
          <w:color w:val="1A1A1A"/>
          <w:sz w:val="22"/>
        </w:rPr>
        <w:t>The current Canvas From The Sky pitch is a rebuild of the original Hero Experiences proposal, not an update. Both pitches use the same balloon hardware, but everything else has changed: the product definition, the operating model, the ticket structure, the CAPEX scope, and the revenue lines.</w:t>
      </w:r>
    </w:p>
    <w:p>
      <w:pPr>
        <w:spacing w:after="80"/>
      </w:pPr>
      <w:r>
        <w:rPr>
          <w:rFonts w:ascii="Calibri" w:hAnsi="Calibri"/>
          <w:b w:val="0"/>
          <w:i w:val="0"/>
          <w:color w:val="1A1A1A"/>
          <w:sz w:val="22"/>
        </w:rPr>
        <w:t>Most differences are deliberate and improve the model. One element from the original is missing from the current pitch and needs to be addressed before the next investor read:</w:t>
      </w:r>
    </w:p>
    <w:p>
      <w:pPr>
        <w:spacing w:before="160" w:after="40"/>
      </w:pPr>
      <w:r>
        <w:rPr>
          <w:rFonts w:ascii="Calibri" w:hAnsi="Calibri"/>
          <w:b/>
          <w:color w:val="B02A2A"/>
          <w:sz w:val="22"/>
        </w:rPr>
        <w:t>⚠ The original revenue-share waterfall is not in the current model.</w:t>
      </w:r>
    </w:p>
    <w:p>
      <w:pPr>
        <w:spacing w:after="120"/>
      </w:pPr>
      <w:r>
        <w:rPr>
          <w:rFonts w:ascii="Calibri" w:hAnsi="Calibri"/>
          <w:b w:val="0"/>
          <w:i w:val="0"/>
          <w:color w:val="1A1A1A"/>
          <w:sz w:val="20"/>
        </w:rPr>
        <w:t>Page 11 of the original proposal defines a 5% VAT / 12% Partner-or-Authority / 83% Operator structure that leaves the investor with the residual 17% of the post-VAT, post-Partner pool — roughly 14.2% of gross revenue. Applied to the current Base Case, this changes the investor return profile substantially (see §10).</w:t>
      </w:r>
    </w:p>
    <w:p>
      <w:pPr>
        <w:spacing w:before="360" w:after="160"/>
      </w:pPr>
      <w:r>
        <w:rPr>
          <w:rFonts w:ascii="Calibri" w:hAnsi="Calibri"/>
          <w:b/>
          <w:color w:val="1A1A1A"/>
          <w:sz w:val="40"/>
        </w:rPr>
        <w:t>2. At a glance</w:t>
      </w:r>
    </w:p>
    <w:p>
      <w:pPr>
        <w:spacing w:after="80"/>
      </w:pPr>
      <w:r>
        <w:rPr>
          <w:rFonts w:ascii="Calibri" w:hAnsi="Calibri"/>
          <w:b w:val="0"/>
          <w:i w:val="0"/>
          <w:color w:val="1A1A1A"/>
          <w:sz w:val="22"/>
        </w:rPr>
        <w:t>A single-table snapshot of every dimension that moved between the original proposal and the current pitch. Detailed comparisons follow in §3 onward.</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2551"/>
            <w:shd w:val="clear" w:color="auto" w:fill="F1E9D2"/>
            <w:vAlign w:val="center"/>
          </w:tcPr>
          <w:p>
            <w:r/>
            <w:r>
              <w:rPr>
                <w:rFonts w:ascii="Calibri" w:hAnsi="Calibri"/>
                <w:b/>
                <w:color w:val="1A1A1A"/>
                <w:sz w:val="20"/>
              </w:rPr>
              <w:t>Dimension</w:t>
            </w:r>
          </w:p>
        </w:tc>
        <w:tc>
          <w:tcPr>
            <w:tcW w:type="dxa" w:w="2551"/>
            <w:shd w:val="clear" w:color="auto" w:fill="F1E9D2"/>
            <w:vAlign w:val="center"/>
          </w:tcPr>
          <w:p>
            <w:r/>
            <w:r>
              <w:rPr>
                <w:rFonts w:ascii="Calibri" w:hAnsi="Calibri"/>
                <w:b/>
                <w:color w:val="1A1A1A"/>
                <w:sz w:val="20"/>
              </w:rPr>
              <w:t>Original (Hero proposal)</w:t>
            </w:r>
          </w:p>
        </w:tc>
        <w:tc>
          <w:tcPr>
            <w:tcW w:type="dxa" w:w="2551"/>
            <w:shd w:val="clear" w:color="auto" w:fill="F1E9D2"/>
            <w:vAlign w:val="center"/>
          </w:tcPr>
          <w:p>
            <w:r/>
            <w:r>
              <w:rPr>
                <w:rFonts w:ascii="Calibri" w:hAnsi="Calibri"/>
                <w:b/>
                <w:color w:val="1A1A1A"/>
                <w:sz w:val="20"/>
              </w:rPr>
              <w:t>Current (Canvas From The Sky)</w:t>
            </w:r>
          </w:p>
        </w:tc>
        <w:tc>
          <w:tcPr>
            <w:tcW w:type="dxa" w:w="1701"/>
            <w:shd w:val="clear" w:color="auto" w:fill="F1E9D2"/>
            <w:vAlign w:val="center"/>
          </w:tcPr>
          <w:p>
            <w:r/>
            <w:r>
              <w:rPr>
                <w:rFonts w:ascii="Calibri" w:hAnsi="Calibri"/>
                <w:b/>
                <w:color w:val="1A1A1A"/>
                <w:sz w:val="20"/>
              </w:rPr>
              <w:t>Direction of change</w:t>
            </w:r>
          </w:p>
        </w:tc>
      </w:tr>
      <w:tr>
        <w:tc>
          <w:tcPr>
            <w:tcW w:type="dxa" w:w="9354"/>
            <w:gridSpan w:val="4"/>
            <w:shd w:val="clear" w:color="auto" w:fill="EFE2C2"/>
          </w:tcPr>
          <w:p>
            <w:r/>
            <w:r>
              <w:rPr>
                <w:rFonts w:ascii="Calibri" w:hAnsi="Calibri"/>
                <w:b/>
                <w:color w:val="1A1A1A"/>
                <w:sz w:val="20"/>
              </w:rPr>
              <w:t>Concept &amp; product</w:t>
            </w:r>
          </w:p>
        </w:tc>
      </w:tr>
      <w:tr>
        <w:tc>
          <w:tcPr>
            <w:tcW w:type="dxa" w:w="2551"/>
            <w:vAlign w:val="center"/>
          </w:tcPr>
          <w:p>
            <w:pPr>
              <w:jc w:val="left"/>
            </w:pPr>
            <w:r/>
            <w:r>
              <w:rPr>
                <w:rFonts w:ascii="Calibri" w:hAnsi="Calibri"/>
                <w:color w:val="1A1A1A"/>
                <w:sz w:val="20"/>
              </w:rPr>
              <w:t>Project name</w:t>
            </w:r>
          </w:p>
        </w:tc>
        <w:tc>
          <w:tcPr>
            <w:tcW w:type="dxa" w:w="2551"/>
            <w:vAlign w:val="center"/>
          </w:tcPr>
          <w:p>
            <w:pPr>
              <w:jc w:val="right"/>
            </w:pPr>
            <w:r/>
            <w:r>
              <w:rPr>
                <w:rFonts w:ascii="Calibri" w:hAnsi="Calibri"/>
                <w:color w:val="1A1A1A"/>
                <w:sz w:val="20"/>
              </w:rPr>
              <w:t>Abu Dhabi Balloon at Saadiyat</w:t>
            </w:r>
          </w:p>
        </w:tc>
        <w:tc>
          <w:tcPr>
            <w:tcW w:type="dxa" w:w="2551"/>
            <w:vAlign w:val="center"/>
          </w:tcPr>
          <w:p>
            <w:pPr>
              <w:jc w:val="right"/>
            </w:pPr>
            <w:r/>
            <w:r>
              <w:rPr>
                <w:rFonts w:ascii="Calibri" w:hAnsi="Calibri"/>
                <w:color w:val="1A1A1A"/>
                <w:sz w:val="20"/>
              </w:rPr>
              <w:t>Canvas From The Sky</w:t>
            </w:r>
          </w:p>
        </w:tc>
        <w:tc>
          <w:tcPr>
            <w:tcW w:type="dxa" w:w="1701"/>
            <w:vAlign w:val="center"/>
          </w:tcPr>
          <w:p>
            <w:pPr>
              <w:jc w:val="right"/>
            </w:pPr>
            <w:r/>
            <w:r>
              <w:rPr>
                <w:rFonts w:ascii="Calibri" w:hAnsi="Calibri"/>
                <w:color w:val="1A1A1A"/>
                <w:sz w:val="20"/>
              </w:rPr>
              <w:t>Rebranded</w:t>
            </w:r>
          </w:p>
        </w:tc>
      </w:tr>
      <w:tr>
        <w:tc>
          <w:tcPr>
            <w:tcW w:type="dxa" w:w="2551"/>
            <w:vAlign w:val="center"/>
          </w:tcPr>
          <w:p>
            <w:pPr>
              <w:jc w:val="left"/>
            </w:pPr>
            <w:r/>
            <w:r>
              <w:rPr>
                <w:rFonts w:ascii="Calibri" w:hAnsi="Calibri"/>
                <w:color w:val="1A1A1A"/>
                <w:sz w:val="20"/>
              </w:rPr>
              <w:t>Core product</w:t>
            </w:r>
          </w:p>
        </w:tc>
        <w:tc>
          <w:tcPr>
            <w:tcW w:type="dxa" w:w="2551"/>
            <w:vAlign w:val="center"/>
          </w:tcPr>
          <w:p>
            <w:pPr>
              <w:jc w:val="right"/>
            </w:pPr>
            <w:r/>
            <w:r>
              <w:rPr>
                <w:rFonts w:ascii="Calibri" w:hAnsi="Calibri"/>
                <w:color w:val="1A1A1A"/>
                <w:sz w:val="20"/>
              </w:rPr>
              <w:t>Tethered helium balloon ride</w:t>
            </w:r>
          </w:p>
        </w:tc>
        <w:tc>
          <w:tcPr>
            <w:tcW w:type="dxa" w:w="2551"/>
            <w:vAlign w:val="center"/>
          </w:tcPr>
          <w:p>
            <w:pPr>
              <w:jc w:val="right"/>
            </w:pPr>
            <w:r/>
            <w:r>
              <w:rPr>
                <w:rFonts w:ascii="Calibri" w:hAnsi="Calibri"/>
                <w:color w:val="1A1A1A"/>
                <w:sz w:val="20"/>
              </w:rPr>
              <w:t>Balloon ride + LED canvas show</w:t>
            </w:r>
          </w:p>
        </w:tc>
        <w:tc>
          <w:tcPr>
            <w:tcW w:type="dxa" w:w="1701"/>
            <w:vAlign w:val="center"/>
          </w:tcPr>
          <w:p>
            <w:pPr>
              <w:jc w:val="right"/>
            </w:pPr>
            <w:r/>
            <w:r>
              <w:rPr>
                <w:rFonts w:ascii="Calibri" w:hAnsi="Calibri"/>
                <w:color w:val="1A1A1A"/>
                <w:sz w:val="20"/>
              </w:rPr>
              <w:t>Added LED night layer</w:t>
            </w:r>
          </w:p>
        </w:tc>
      </w:tr>
      <w:tr>
        <w:tc>
          <w:tcPr>
            <w:tcW w:type="dxa" w:w="2551"/>
            <w:vAlign w:val="center"/>
          </w:tcPr>
          <w:p>
            <w:pPr>
              <w:jc w:val="left"/>
            </w:pPr>
            <w:r/>
            <w:r>
              <w:rPr>
                <w:rFonts w:ascii="Calibri" w:hAnsi="Calibri"/>
                <w:color w:val="1A1A1A"/>
                <w:sz w:val="20"/>
              </w:rPr>
              <w:t>Day product</w:t>
            </w:r>
          </w:p>
        </w:tc>
        <w:tc>
          <w:tcPr>
            <w:tcW w:type="dxa" w:w="2551"/>
            <w:vAlign w:val="center"/>
          </w:tcPr>
          <w:p>
            <w:pPr>
              <w:jc w:val="right"/>
            </w:pPr>
            <w:r/>
            <w:r>
              <w:rPr>
                <w:rFonts w:ascii="Calibri" w:hAnsi="Calibri"/>
                <w:color w:val="1A1A1A"/>
                <w:sz w:val="20"/>
              </w:rPr>
              <w:t>Sightseeing 10 hrs</w:t>
            </w:r>
          </w:p>
        </w:tc>
        <w:tc>
          <w:tcPr>
            <w:tcW w:type="dxa" w:w="2551"/>
            <w:vAlign w:val="center"/>
          </w:tcPr>
          <w:p>
            <w:pPr>
              <w:jc w:val="right"/>
            </w:pPr>
            <w:r/>
            <w:r>
              <w:rPr>
                <w:rFonts w:ascii="Calibri" w:hAnsi="Calibri"/>
                <w:color w:val="1A1A1A"/>
                <w:sz w:val="20"/>
              </w:rPr>
              <w:t>Sightseeing 9am–12pm (3 hrs)</w:t>
            </w:r>
          </w:p>
        </w:tc>
        <w:tc>
          <w:tcPr>
            <w:tcW w:type="dxa" w:w="1701"/>
            <w:vAlign w:val="center"/>
          </w:tcPr>
          <w:p>
            <w:pPr>
              <w:jc w:val="right"/>
            </w:pPr>
            <w:r/>
            <w:r>
              <w:rPr>
                <w:rFonts w:ascii="Calibri" w:hAnsi="Calibri"/>
                <w:color w:val="1A1A1A"/>
                <w:sz w:val="20"/>
              </w:rPr>
              <w:t>Compressed to mornings</w:t>
            </w:r>
          </w:p>
        </w:tc>
      </w:tr>
      <w:tr>
        <w:tc>
          <w:tcPr>
            <w:tcW w:type="dxa" w:w="2551"/>
            <w:vAlign w:val="center"/>
          </w:tcPr>
          <w:p>
            <w:pPr>
              <w:jc w:val="left"/>
            </w:pPr>
            <w:r/>
            <w:r>
              <w:rPr>
                <w:rFonts w:ascii="Calibri" w:hAnsi="Calibri"/>
                <w:color w:val="1A1A1A"/>
                <w:sz w:val="20"/>
              </w:rPr>
              <w:t>Night product</w:t>
            </w:r>
          </w:p>
        </w:tc>
        <w:tc>
          <w:tcPr>
            <w:tcW w:type="dxa" w:w="2551"/>
            <w:vAlign w:val="center"/>
          </w:tcPr>
          <w:p>
            <w:pPr>
              <w:jc w:val="right"/>
            </w:pPr>
            <w:r/>
            <w:r>
              <w:rPr>
                <w:rFonts w:ascii="Calibri" w:hAnsi="Calibri"/>
                <w:color w:val="1A1A1A"/>
                <w:sz w:val="20"/>
              </w:rPr>
              <w:t>None</w:t>
            </w:r>
          </w:p>
        </w:tc>
        <w:tc>
          <w:tcPr>
            <w:tcW w:type="dxa" w:w="2551"/>
            <w:vAlign w:val="center"/>
          </w:tcPr>
          <w:p>
            <w:pPr>
              <w:jc w:val="right"/>
            </w:pPr>
            <w:r/>
            <w:r>
              <w:rPr>
                <w:rFonts w:ascii="Calibri" w:hAnsi="Calibri"/>
                <w:color w:val="1A1A1A"/>
                <w:sz w:val="20"/>
              </w:rPr>
              <w:t>3 themed LED shows</w:t>
            </w:r>
          </w:p>
        </w:tc>
        <w:tc>
          <w:tcPr>
            <w:tcW w:type="dxa" w:w="1701"/>
            <w:vAlign w:val="center"/>
          </w:tcPr>
          <w:p>
            <w:pPr>
              <w:jc w:val="right"/>
            </w:pPr>
            <w:r/>
            <w:r>
              <w:rPr>
                <w:rFonts w:ascii="Calibri" w:hAnsi="Calibri"/>
                <w:color w:val="1A1A1A"/>
                <w:sz w:val="20"/>
              </w:rPr>
              <w:t>New product line</w:t>
            </w:r>
          </w:p>
        </w:tc>
      </w:tr>
      <w:tr>
        <w:tc>
          <w:tcPr>
            <w:tcW w:type="dxa" w:w="2551"/>
            <w:vAlign w:val="center"/>
          </w:tcPr>
          <w:p>
            <w:pPr>
              <w:jc w:val="left"/>
            </w:pPr>
            <w:r/>
            <w:r>
              <w:rPr>
                <w:rFonts w:ascii="Calibri" w:hAnsi="Calibri"/>
                <w:color w:val="1A1A1A"/>
                <w:sz w:val="20"/>
              </w:rPr>
              <w:t>Museum partnerships</w:t>
            </w:r>
          </w:p>
        </w:tc>
        <w:tc>
          <w:tcPr>
            <w:tcW w:type="dxa" w:w="2551"/>
            <w:vAlign w:val="center"/>
          </w:tcPr>
          <w:p>
            <w:pPr>
              <w:jc w:val="right"/>
            </w:pPr>
            <w:r/>
            <w:r>
              <w:rPr>
                <w:rFonts w:ascii="Calibri" w:hAnsi="Calibri"/>
                <w:color w:val="1A1A1A"/>
                <w:sz w:val="20"/>
              </w:rPr>
              <w:t>Mentioned (combo tickets only)</w:t>
            </w:r>
          </w:p>
        </w:tc>
        <w:tc>
          <w:tcPr>
            <w:tcW w:type="dxa" w:w="2551"/>
            <w:vAlign w:val="center"/>
          </w:tcPr>
          <w:p>
            <w:pPr>
              <w:jc w:val="right"/>
            </w:pPr>
            <w:r/>
            <w:r>
              <w:rPr>
                <w:rFonts w:ascii="Calibri" w:hAnsi="Calibri"/>
                <w:color w:val="1A1A1A"/>
                <w:sz w:val="20"/>
              </w:rPr>
              <w:t>Programmed (cross-discount + Cultural Pass)</w:t>
            </w:r>
          </w:p>
        </w:tc>
        <w:tc>
          <w:tcPr>
            <w:tcW w:type="dxa" w:w="1701"/>
            <w:vAlign w:val="center"/>
          </w:tcPr>
          <w:p>
            <w:pPr>
              <w:jc w:val="right"/>
            </w:pPr>
            <w:r/>
            <w:r>
              <w:rPr>
                <w:rFonts w:ascii="Calibri" w:hAnsi="Calibri"/>
                <w:color w:val="1A1A1A"/>
                <w:sz w:val="20"/>
              </w:rPr>
              <w:t>Formalised</w:t>
            </w:r>
          </w:p>
        </w:tc>
      </w:tr>
      <w:tr>
        <w:tc>
          <w:tcPr>
            <w:tcW w:type="dxa" w:w="9354"/>
            <w:gridSpan w:val="4"/>
            <w:shd w:val="clear" w:color="auto" w:fill="EFE2C2"/>
          </w:tcPr>
          <w:p>
            <w:r/>
            <w:r>
              <w:rPr>
                <w:rFonts w:ascii="Calibri" w:hAnsi="Calibri"/>
                <w:b/>
                <w:color w:val="1A1A1A"/>
                <w:sz w:val="20"/>
              </w:rPr>
              <w:t>Hardware (unchanged)</w:t>
            </w:r>
          </w:p>
        </w:tc>
      </w:tr>
      <w:tr>
        <w:tc>
          <w:tcPr>
            <w:tcW w:type="dxa" w:w="2551"/>
            <w:vAlign w:val="center"/>
          </w:tcPr>
          <w:p>
            <w:pPr>
              <w:jc w:val="left"/>
            </w:pPr>
            <w:r/>
            <w:r>
              <w:rPr>
                <w:rFonts w:ascii="Calibri" w:hAnsi="Calibri"/>
                <w:color w:val="1A1A1A"/>
                <w:sz w:val="20"/>
              </w:rPr>
              <w:t>Balloon system</w:t>
            </w:r>
          </w:p>
        </w:tc>
        <w:tc>
          <w:tcPr>
            <w:tcW w:type="dxa" w:w="2551"/>
            <w:vAlign w:val="center"/>
          </w:tcPr>
          <w:p>
            <w:pPr>
              <w:jc w:val="right"/>
            </w:pPr>
            <w:r/>
            <w:r>
              <w:rPr>
                <w:rFonts w:ascii="Calibri" w:hAnsi="Calibri"/>
                <w:color w:val="1A1A1A"/>
                <w:sz w:val="20"/>
              </w:rPr>
              <w:t>Existing Dubai Balloon (relocated)</w:t>
            </w:r>
          </w:p>
        </w:tc>
        <w:tc>
          <w:tcPr>
            <w:tcW w:type="dxa" w:w="2551"/>
            <w:vAlign w:val="center"/>
          </w:tcPr>
          <w:p>
            <w:pPr>
              <w:jc w:val="right"/>
            </w:pPr>
            <w:r/>
            <w:r>
              <w:rPr>
                <w:rFonts w:ascii="Calibri" w:hAnsi="Calibri"/>
                <w:color w:val="1A1A1A"/>
                <w:sz w:val="20"/>
              </w:rPr>
              <w:t>Same balloon hardware</w:t>
            </w:r>
          </w:p>
        </w:tc>
        <w:tc>
          <w:tcPr>
            <w:tcW w:type="dxa" w:w="1701"/>
            <w:vAlign w:val="center"/>
          </w:tcPr>
          <w:p>
            <w:pPr>
              <w:jc w:val="right"/>
            </w:pPr>
            <w:r/>
            <w:r>
              <w:rPr>
                <w:rFonts w:ascii="Calibri" w:hAnsi="Calibri"/>
                <w:color w:val="1A1A1A"/>
                <w:sz w:val="20"/>
              </w:rPr>
              <w:t>Unchanged</w:t>
            </w:r>
          </w:p>
        </w:tc>
      </w:tr>
      <w:tr>
        <w:tc>
          <w:tcPr>
            <w:tcW w:type="dxa" w:w="2551"/>
            <w:vAlign w:val="center"/>
          </w:tcPr>
          <w:p>
            <w:pPr>
              <w:jc w:val="left"/>
            </w:pPr>
            <w:r/>
            <w:r>
              <w:rPr>
                <w:rFonts w:ascii="Calibri" w:hAnsi="Calibri"/>
                <w:color w:val="1A1A1A"/>
                <w:sz w:val="20"/>
              </w:rPr>
              <w:t>Envelope volume / lift</w:t>
            </w:r>
          </w:p>
        </w:tc>
        <w:tc>
          <w:tcPr>
            <w:tcW w:type="dxa" w:w="2551"/>
            <w:vAlign w:val="center"/>
          </w:tcPr>
          <w:p>
            <w:pPr>
              <w:jc w:val="right"/>
            </w:pPr>
            <w:r/>
            <w:r>
              <w:rPr>
                <w:rFonts w:ascii="Calibri" w:hAnsi="Calibri"/>
                <w:color w:val="1A1A1A"/>
                <w:sz w:val="20"/>
              </w:rPr>
              <w:t>6,200 m³ / 4,800 kg</w:t>
            </w:r>
          </w:p>
        </w:tc>
        <w:tc>
          <w:tcPr>
            <w:tcW w:type="dxa" w:w="2551"/>
            <w:vAlign w:val="center"/>
          </w:tcPr>
          <w:p>
            <w:pPr>
              <w:jc w:val="right"/>
            </w:pPr>
            <w:r/>
            <w:r>
              <w:rPr>
                <w:rFonts w:ascii="Calibri" w:hAnsi="Calibri"/>
                <w:color w:val="1A1A1A"/>
                <w:sz w:val="20"/>
              </w:rPr>
              <w:t>Same</w:t>
            </w:r>
          </w:p>
        </w:tc>
        <w:tc>
          <w:tcPr>
            <w:tcW w:type="dxa" w:w="1701"/>
            <w:vAlign w:val="center"/>
          </w:tcPr>
          <w:p>
            <w:pPr>
              <w:jc w:val="right"/>
            </w:pPr>
            <w:r/>
            <w:r>
              <w:rPr>
                <w:rFonts w:ascii="Calibri" w:hAnsi="Calibri"/>
                <w:color w:val="1A1A1A"/>
                <w:sz w:val="20"/>
              </w:rPr>
              <w:t>Unchanged</w:t>
            </w:r>
          </w:p>
        </w:tc>
      </w:tr>
      <w:tr>
        <w:tc>
          <w:tcPr>
            <w:tcW w:type="dxa" w:w="2551"/>
            <w:vAlign w:val="center"/>
          </w:tcPr>
          <w:p>
            <w:pPr>
              <w:jc w:val="left"/>
            </w:pPr>
            <w:r/>
            <w:r>
              <w:rPr>
                <w:rFonts w:ascii="Calibri" w:hAnsi="Calibri"/>
                <w:color w:val="1A1A1A"/>
                <w:sz w:val="20"/>
              </w:rPr>
              <w:t>Gondola spec (envelope)</w:t>
            </w:r>
          </w:p>
        </w:tc>
        <w:tc>
          <w:tcPr>
            <w:tcW w:type="dxa" w:w="2551"/>
            <w:vAlign w:val="center"/>
          </w:tcPr>
          <w:p>
            <w:pPr>
              <w:jc w:val="right"/>
            </w:pPr>
            <w:r/>
            <w:r>
              <w:rPr>
                <w:rFonts w:ascii="Calibri" w:hAnsi="Calibri"/>
                <w:color w:val="1A1A1A"/>
                <w:sz w:val="20"/>
              </w:rPr>
              <w:t>30 pax + 2 pilots</w:t>
            </w:r>
          </w:p>
        </w:tc>
        <w:tc>
          <w:tcPr>
            <w:tcW w:type="dxa" w:w="2551"/>
            <w:vAlign w:val="center"/>
          </w:tcPr>
          <w:p>
            <w:pPr>
              <w:jc w:val="right"/>
            </w:pPr>
            <w:r/>
            <w:r>
              <w:rPr>
                <w:rFonts w:ascii="Calibri" w:hAnsi="Calibri"/>
                <w:color w:val="1A1A1A"/>
                <w:sz w:val="20"/>
              </w:rPr>
              <w:t>Same</w:t>
            </w:r>
          </w:p>
        </w:tc>
        <w:tc>
          <w:tcPr>
            <w:tcW w:type="dxa" w:w="1701"/>
            <w:vAlign w:val="center"/>
          </w:tcPr>
          <w:p>
            <w:pPr>
              <w:jc w:val="right"/>
            </w:pPr>
            <w:r/>
            <w:r>
              <w:rPr>
                <w:rFonts w:ascii="Calibri" w:hAnsi="Calibri"/>
                <w:color w:val="1A1A1A"/>
                <w:sz w:val="20"/>
              </w:rPr>
              <w:t>Unchanged</w:t>
            </w:r>
          </w:p>
        </w:tc>
      </w:tr>
      <w:tr>
        <w:tc>
          <w:tcPr>
            <w:tcW w:type="dxa" w:w="2551"/>
            <w:vAlign w:val="center"/>
          </w:tcPr>
          <w:p>
            <w:pPr>
              <w:jc w:val="left"/>
            </w:pPr>
            <w:r/>
            <w:r>
              <w:rPr>
                <w:rFonts w:ascii="Calibri" w:hAnsi="Calibri"/>
                <w:color w:val="1A1A1A"/>
                <w:sz w:val="20"/>
              </w:rPr>
              <w:t>Tether max length</w:t>
            </w:r>
          </w:p>
        </w:tc>
        <w:tc>
          <w:tcPr>
            <w:tcW w:type="dxa" w:w="2551"/>
            <w:vAlign w:val="center"/>
          </w:tcPr>
          <w:p>
            <w:pPr>
              <w:jc w:val="right"/>
            </w:pPr>
            <w:r/>
            <w:r>
              <w:rPr>
                <w:rFonts w:ascii="Calibri" w:hAnsi="Calibri"/>
                <w:color w:val="1A1A1A"/>
                <w:sz w:val="20"/>
              </w:rPr>
              <w:t>300 m</w:t>
            </w:r>
          </w:p>
        </w:tc>
        <w:tc>
          <w:tcPr>
            <w:tcW w:type="dxa" w:w="2551"/>
            <w:vAlign w:val="center"/>
          </w:tcPr>
          <w:p>
            <w:pPr>
              <w:jc w:val="right"/>
            </w:pPr>
            <w:r/>
            <w:r>
              <w:rPr>
                <w:rFonts w:ascii="Calibri" w:hAnsi="Calibri"/>
                <w:color w:val="1A1A1A"/>
                <w:sz w:val="20"/>
              </w:rPr>
              <w:t>300 m (capable); 150 m marketed</w:t>
            </w:r>
          </w:p>
        </w:tc>
        <w:tc>
          <w:tcPr>
            <w:tcW w:type="dxa" w:w="1701"/>
            <w:vAlign w:val="center"/>
          </w:tcPr>
          <w:p>
            <w:pPr>
              <w:jc w:val="right"/>
            </w:pPr>
            <w:r/>
            <w:r>
              <w:rPr>
                <w:rFonts w:ascii="Calibri" w:hAnsi="Calibri"/>
                <w:color w:val="1A1A1A"/>
                <w:sz w:val="20"/>
              </w:rPr>
              <w:t>Marketed altitude lowered</w:t>
            </w:r>
          </w:p>
        </w:tc>
      </w:tr>
      <w:tr>
        <w:tc>
          <w:tcPr>
            <w:tcW w:type="dxa" w:w="9354"/>
            <w:gridSpan w:val="4"/>
            <w:shd w:val="clear" w:color="auto" w:fill="EFE2C2"/>
          </w:tcPr>
          <w:p>
            <w:r/>
            <w:r>
              <w:rPr>
                <w:rFonts w:ascii="Calibri" w:hAnsi="Calibri"/>
                <w:b/>
                <w:color w:val="1A1A1A"/>
                <w:sz w:val="20"/>
              </w:rPr>
              <w:t>Operating model</w:t>
            </w:r>
          </w:p>
        </w:tc>
      </w:tr>
      <w:tr>
        <w:tc>
          <w:tcPr>
            <w:tcW w:type="dxa" w:w="2551"/>
            <w:vAlign w:val="center"/>
          </w:tcPr>
          <w:p>
            <w:pPr>
              <w:jc w:val="left"/>
            </w:pPr>
            <w:r/>
            <w:r>
              <w:rPr>
                <w:rFonts w:ascii="Calibri" w:hAnsi="Calibri"/>
                <w:color w:val="1A1A1A"/>
                <w:sz w:val="20"/>
              </w:rPr>
              <w:t>Peak operating altitude</w:t>
            </w:r>
          </w:p>
        </w:tc>
        <w:tc>
          <w:tcPr>
            <w:tcW w:type="dxa" w:w="2551"/>
            <w:vAlign w:val="center"/>
          </w:tcPr>
          <w:p>
            <w:pPr>
              <w:jc w:val="right"/>
            </w:pPr>
            <w:r/>
            <w:r>
              <w:rPr>
                <w:rFonts w:ascii="Calibri" w:hAnsi="Calibri"/>
                <w:color w:val="1A1A1A"/>
                <w:sz w:val="20"/>
              </w:rPr>
              <w:t>300 m</w:t>
            </w:r>
          </w:p>
        </w:tc>
        <w:tc>
          <w:tcPr>
            <w:tcW w:type="dxa" w:w="2551"/>
            <w:vAlign w:val="center"/>
          </w:tcPr>
          <w:p>
            <w:pPr>
              <w:jc w:val="right"/>
            </w:pPr>
            <w:r/>
            <w:r>
              <w:rPr>
                <w:rFonts w:ascii="Calibri" w:hAnsi="Calibri"/>
                <w:color w:val="1A1A1A"/>
                <w:sz w:val="20"/>
              </w:rPr>
              <w:t>150 m</w:t>
            </w:r>
          </w:p>
        </w:tc>
        <w:tc>
          <w:tcPr>
            <w:tcW w:type="dxa" w:w="1701"/>
            <w:vAlign w:val="center"/>
          </w:tcPr>
          <w:p>
            <w:pPr>
              <w:jc w:val="right"/>
            </w:pPr>
            <w:r/>
            <w:r>
              <w:rPr>
                <w:rFonts w:ascii="Calibri" w:hAnsi="Calibri"/>
                <w:color w:val="1A1A1A"/>
                <w:sz w:val="20"/>
              </w:rPr>
              <w:t>Reduced — true new peak</w:t>
            </w:r>
          </w:p>
        </w:tc>
      </w:tr>
      <w:tr>
        <w:tc>
          <w:tcPr>
            <w:tcW w:type="dxa" w:w="2551"/>
            <w:vAlign w:val="center"/>
          </w:tcPr>
          <w:p>
            <w:pPr>
              <w:jc w:val="left"/>
            </w:pPr>
            <w:r/>
            <w:r>
              <w:rPr>
                <w:rFonts w:ascii="Calibri" w:hAnsi="Calibri"/>
                <w:color w:val="1A1A1A"/>
                <w:sz w:val="20"/>
              </w:rPr>
              <w:t>Commercial pax / flight</w:t>
            </w:r>
          </w:p>
        </w:tc>
        <w:tc>
          <w:tcPr>
            <w:tcW w:type="dxa" w:w="2551"/>
            <w:vAlign w:val="center"/>
          </w:tcPr>
          <w:p>
            <w:pPr>
              <w:jc w:val="right"/>
            </w:pPr>
            <w:r/>
            <w:r>
              <w:rPr>
                <w:rFonts w:ascii="Calibri" w:hAnsi="Calibri"/>
                <w:color w:val="1A1A1A"/>
                <w:sz w:val="20"/>
              </w:rPr>
              <w:t>12 (page 9 model)</w:t>
            </w:r>
          </w:p>
        </w:tc>
        <w:tc>
          <w:tcPr>
            <w:tcW w:type="dxa" w:w="2551"/>
            <w:vAlign w:val="center"/>
          </w:tcPr>
          <w:p>
            <w:pPr>
              <w:jc w:val="right"/>
            </w:pPr>
            <w:r/>
            <w:r>
              <w:rPr>
                <w:rFonts w:ascii="Calibri" w:hAnsi="Calibri"/>
                <w:color w:val="1A1A1A"/>
                <w:sz w:val="20"/>
              </w:rPr>
              <w:t>25 (v2 memo) / 30 (blueprint)</w:t>
            </w:r>
          </w:p>
        </w:tc>
        <w:tc>
          <w:tcPr>
            <w:tcW w:type="dxa" w:w="1701"/>
            <w:vAlign w:val="center"/>
          </w:tcPr>
          <w:p>
            <w:pPr>
              <w:jc w:val="right"/>
            </w:pPr>
            <w:r/>
            <w:r>
              <w:rPr>
                <w:rFonts w:ascii="Calibri" w:hAnsi="Calibri"/>
                <w:color w:val="1A1A1A"/>
                <w:sz w:val="20"/>
              </w:rPr>
              <w:t>Increased loading</w:t>
            </w:r>
          </w:p>
        </w:tc>
      </w:tr>
      <w:tr>
        <w:tc>
          <w:tcPr>
            <w:tcW w:type="dxa" w:w="2551"/>
            <w:vAlign w:val="center"/>
          </w:tcPr>
          <w:p>
            <w:pPr>
              <w:jc w:val="left"/>
            </w:pPr>
            <w:r/>
            <w:r>
              <w:rPr>
                <w:rFonts w:ascii="Calibri" w:hAnsi="Calibri"/>
                <w:color w:val="1A1A1A"/>
                <w:sz w:val="20"/>
              </w:rPr>
              <w:t>Day cycle</w:t>
            </w:r>
          </w:p>
        </w:tc>
        <w:tc>
          <w:tcPr>
            <w:tcW w:type="dxa" w:w="2551"/>
            <w:vAlign w:val="center"/>
          </w:tcPr>
          <w:p>
            <w:pPr>
              <w:jc w:val="right"/>
            </w:pPr>
            <w:r/>
            <w:r>
              <w:rPr>
                <w:rFonts w:ascii="Calibri" w:hAnsi="Calibri"/>
                <w:color w:val="1A1A1A"/>
                <w:sz w:val="20"/>
              </w:rPr>
              <w:t>10 min (5 flights/hr)</w:t>
            </w:r>
          </w:p>
        </w:tc>
        <w:tc>
          <w:tcPr>
            <w:tcW w:type="dxa" w:w="2551"/>
            <w:vAlign w:val="center"/>
          </w:tcPr>
          <w:p>
            <w:pPr>
              <w:jc w:val="right"/>
            </w:pPr>
            <w:r/>
            <w:r>
              <w:rPr>
                <w:rFonts w:ascii="Calibri" w:hAnsi="Calibri"/>
                <w:color w:val="1A1A1A"/>
                <w:sz w:val="20"/>
              </w:rPr>
              <w:t>30 min (2 flights/hr)</w:t>
            </w:r>
          </w:p>
        </w:tc>
        <w:tc>
          <w:tcPr>
            <w:tcW w:type="dxa" w:w="1701"/>
            <w:vAlign w:val="center"/>
          </w:tcPr>
          <w:p>
            <w:pPr>
              <w:jc w:val="right"/>
            </w:pPr>
            <w:r/>
            <w:r>
              <w:rPr>
                <w:rFonts w:ascii="Calibri" w:hAnsi="Calibri"/>
                <w:color w:val="1A1A1A"/>
                <w:sz w:val="20"/>
              </w:rPr>
              <w:t>Honest at 300 m; was unrealistic</w:t>
            </w:r>
          </w:p>
        </w:tc>
      </w:tr>
      <w:tr>
        <w:tc>
          <w:tcPr>
            <w:tcW w:type="dxa" w:w="2551"/>
            <w:vAlign w:val="center"/>
          </w:tcPr>
          <w:p>
            <w:pPr>
              <w:jc w:val="left"/>
            </w:pPr>
            <w:r/>
            <w:r>
              <w:rPr>
                <w:rFonts w:ascii="Calibri" w:hAnsi="Calibri"/>
                <w:color w:val="1A1A1A"/>
                <w:sz w:val="20"/>
              </w:rPr>
              <w:t>Day flights/day</w:t>
            </w:r>
          </w:p>
        </w:tc>
        <w:tc>
          <w:tcPr>
            <w:tcW w:type="dxa" w:w="2551"/>
            <w:vAlign w:val="center"/>
          </w:tcPr>
          <w:p>
            <w:pPr>
              <w:jc w:val="right"/>
            </w:pPr>
            <w:r/>
            <w:r>
              <w:rPr>
                <w:rFonts w:ascii="Calibri" w:hAnsi="Calibri"/>
                <w:color w:val="1A1A1A"/>
                <w:sz w:val="20"/>
              </w:rPr>
              <w:t>50 (10 hrs × 5/hr)</w:t>
            </w:r>
          </w:p>
        </w:tc>
        <w:tc>
          <w:tcPr>
            <w:tcW w:type="dxa" w:w="2551"/>
            <w:vAlign w:val="center"/>
          </w:tcPr>
          <w:p>
            <w:pPr>
              <w:jc w:val="right"/>
            </w:pPr>
            <w:r/>
            <w:r>
              <w:rPr>
                <w:rFonts w:ascii="Calibri" w:hAnsi="Calibri"/>
                <w:color w:val="1A1A1A"/>
                <w:sz w:val="20"/>
              </w:rPr>
              <w:t>6 (3-hr window)</w:t>
            </w:r>
          </w:p>
        </w:tc>
        <w:tc>
          <w:tcPr>
            <w:tcW w:type="dxa" w:w="1701"/>
            <w:vAlign w:val="center"/>
          </w:tcPr>
          <w:p>
            <w:pPr>
              <w:jc w:val="right"/>
            </w:pPr>
            <w:r/>
            <w:r>
              <w:rPr>
                <w:rFonts w:ascii="Calibri" w:hAnsi="Calibri"/>
                <w:color w:val="1A1A1A"/>
                <w:sz w:val="20"/>
              </w:rPr>
              <w:t>Window compressed for night product</w:t>
            </w:r>
          </w:p>
        </w:tc>
      </w:tr>
      <w:tr>
        <w:tc>
          <w:tcPr>
            <w:tcW w:type="dxa" w:w="2551"/>
            <w:vAlign w:val="center"/>
          </w:tcPr>
          <w:p>
            <w:pPr>
              <w:jc w:val="left"/>
            </w:pPr>
            <w:r/>
            <w:r>
              <w:rPr>
                <w:rFonts w:ascii="Calibri" w:hAnsi="Calibri"/>
                <w:color w:val="1A1A1A"/>
                <w:sz w:val="20"/>
              </w:rPr>
              <w:t>Night cycle</w:t>
            </w:r>
          </w:p>
        </w:tc>
        <w:tc>
          <w:tcPr>
            <w:tcW w:type="dxa" w:w="2551"/>
            <w:vAlign w:val="center"/>
          </w:tcPr>
          <w:p>
            <w:pPr>
              <w:jc w:val="right"/>
            </w:pPr>
            <w:r/>
            <w:r>
              <w:rPr>
                <w:rFonts w:ascii="Calibri" w:hAnsi="Calibri"/>
                <w:color w:val="1A1A1A"/>
                <w:sz w:val="20"/>
              </w:rPr>
              <w:t>N/A</w:t>
            </w:r>
          </w:p>
        </w:tc>
        <w:tc>
          <w:tcPr>
            <w:tcW w:type="dxa" w:w="2551"/>
            <w:vAlign w:val="center"/>
          </w:tcPr>
          <w:p>
            <w:pPr>
              <w:jc w:val="right"/>
            </w:pPr>
            <w:r/>
            <w:r>
              <w:rPr>
                <w:rFonts w:ascii="Calibri" w:hAnsi="Calibri"/>
                <w:color w:val="1A1A1A"/>
                <w:sz w:val="20"/>
              </w:rPr>
              <w:t>20 min batches (3/hr × 5.5 hrs)</w:t>
            </w:r>
          </w:p>
        </w:tc>
        <w:tc>
          <w:tcPr>
            <w:tcW w:type="dxa" w:w="1701"/>
            <w:vAlign w:val="center"/>
          </w:tcPr>
          <w:p>
            <w:pPr>
              <w:jc w:val="right"/>
            </w:pPr>
            <w:r/>
            <w:r>
              <w:rPr>
                <w:rFonts w:ascii="Calibri" w:hAnsi="Calibri"/>
                <w:color w:val="1A1A1A"/>
                <w:sz w:val="20"/>
              </w:rPr>
              <w:t>New cadence</w:t>
            </w:r>
          </w:p>
        </w:tc>
      </w:tr>
      <w:tr>
        <w:tc>
          <w:tcPr>
            <w:tcW w:type="dxa" w:w="2551"/>
            <w:vAlign w:val="center"/>
          </w:tcPr>
          <w:p>
            <w:pPr>
              <w:jc w:val="left"/>
            </w:pPr>
            <w:r/>
            <w:r>
              <w:rPr>
                <w:rFonts w:ascii="Calibri" w:hAnsi="Calibri"/>
                <w:color w:val="1A1A1A"/>
                <w:sz w:val="20"/>
              </w:rPr>
              <w:t>Operating days</w:t>
            </w:r>
          </w:p>
        </w:tc>
        <w:tc>
          <w:tcPr>
            <w:tcW w:type="dxa" w:w="2551"/>
            <w:vAlign w:val="center"/>
          </w:tcPr>
          <w:p>
            <w:pPr>
              <w:jc w:val="right"/>
            </w:pPr>
            <w:r/>
            <w:r>
              <w:rPr>
                <w:rFonts w:ascii="Calibri" w:hAnsi="Calibri"/>
                <w:color w:val="1A1A1A"/>
                <w:sz w:val="20"/>
              </w:rPr>
              <w:t>365</w:t>
            </w:r>
          </w:p>
        </w:tc>
        <w:tc>
          <w:tcPr>
            <w:tcW w:type="dxa" w:w="2551"/>
            <w:vAlign w:val="center"/>
          </w:tcPr>
          <w:p>
            <w:pPr>
              <w:jc w:val="right"/>
            </w:pPr>
            <w:r/>
            <w:r>
              <w:rPr>
                <w:rFonts w:ascii="Calibri" w:hAnsi="Calibri"/>
                <w:color w:val="1A1A1A"/>
                <w:sz w:val="20"/>
              </w:rPr>
              <w:t>250 (v2) / 300 (blueprint)</w:t>
            </w:r>
          </w:p>
        </w:tc>
        <w:tc>
          <w:tcPr>
            <w:tcW w:type="dxa" w:w="1701"/>
            <w:vAlign w:val="center"/>
          </w:tcPr>
          <w:p>
            <w:pPr>
              <w:jc w:val="right"/>
            </w:pPr>
            <w:r/>
            <w:r>
              <w:rPr>
                <w:rFonts w:ascii="Calibri" w:hAnsi="Calibri"/>
                <w:color w:val="1A1A1A"/>
                <w:sz w:val="20"/>
              </w:rPr>
              <w:t>More conservative</w:t>
            </w:r>
          </w:p>
        </w:tc>
      </w:tr>
      <w:tr>
        <w:tc>
          <w:tcPr>
            <w:tcW w:type="dxa" w:w="2551"/>
            <w:vAlign w:val="center"/>
          </w:tcPr>
          <w:p>
            <w:pPr>
              <w:jc w:val="left"/>
            </w:pPr>
            <w:r/>
            <w:r>
              <w:rPr>
                <w:rFonts w:ascii="Calibri" w:hAnsi="Calibri"/>
                <w:color w:val="1A1A1A"/>
                <w:sz w:val="20"/>
              </w:rPr>
              <w:t>Weather cancellation</w:t>
            </w:r>
          </w:p>
        </w:tc>
        <w:tc>
          <w:tcPr>
            <w:tcW w:type="dxa" w:w="2551"/>
            <w:vAlign w:val="center"/>
          </w:tcPr>
          <w:p>
            <w:pPr>
              <w:jc w:val="right"/>
            </w:pPr>
            <w:r/>
            <w:r>
              <w:rPr>
                <w:rFonts w:ascii="Calibri" w:hAnsi="Calibri"/>
                <w:color w:val="1A1A1A"/>
                <w:sz w:val="20"/>
              </w:rPr>
              <w:t>15%</w:t>
            </w:r>
          </w:p>
        </w:tc>
        <w:tc>
          <w:tcPr>
            <w:tcW w:type="dxa" w:w="2551"/>
            <w:vAlign w:val="center"/>
          </w:tcPr>
          <w:p>
            <w:pPr>
              <w:jc w:val="right"/>
            </w:pPr>
            <w:r/>
            <w:r>
              <w:rPr>
                <w:rFonts w:ascii="Calibri" w:hAnsi="Calibri"/>
                <w:color w:val="1A1A1A"/>
                <w:sz w:val="20"/>
              </w:rPr>
              <w:t>~32% (v2) / 15% (blueprint)</w:t>
            </w:r>
          </w:p>
        </w:tc>
        <w:tc>
          <w:tcPr>
            <w:tcW w:type="dxa" w:w="1701"/>
            <w:vAlign w:val="center"/>
          </w:tcPr>
          <w:p>
            <w:pPr>
              <w:jc w:val="right"/>
            </w:pPr>
            <w:r/>
            <w:r>
              <w:rPr>
                <w:rFonts w:ascii="Calibri" w:hAnsi="Calibri"/>
                <w:color w:val="1A1A1A"/>
                <w:sz w:val="20"/>
              </w:rPr>
              <w:t>More conservative</w:t>
            </w:r>
          </w:p>
        </w:tc>
      </w:tr>
      <w:tr>
        <w:tc>
          <w:tcPr>
            <w:tcW w:type="dxa" w:w="2551"/>
            <w:vAlign w:val="center"/>
          </w:tcPr>
          <w:p>
            <w:pPr>
              <w:jc w:val="left"/>
            </w:pPr>
            <w:r/>
            <w:r>
              <w:rPr>
                <w:rFonts w:ascii="Calibri" w:hAnsi="Calibri"/>
                <w:color w:val="1A1A1A"/>
                <w:sz w:val="20"/>
              </w:rPr>
              <w:t>Load factor (base)</w:t>
            </w:r>
          </w:p>
        </w:tc>
        <w:tc>
          <w:tcPr>
            <w:tcW w:type="dxa" w:w="2551"/>
            <w:vAlign w:val="center"/>
          </w:tcPr>
          <w:p>
            <w:pPr>
              <w:jc w:val="right"/>
            </w:pPr>
            <w:r/>
            <w:r>
              <w:rPr>
                <w:rFonts w:ascii="Calibri" w:hAnsi="Calibri"/>
                <w:color w:val="1A1A1A"/>
                <w:sz w:val="20"/>
              </w:rPr>
              <w:t>70%</w:t>
            </w:r>
          </w:p>
        </w:tc>
        <w:tc>
          <w:tcPr>
            <w:tcW w:type="dxa" w:w="2551"/>
            <w:vAlign w:val="center"/>
          </w:tcPr>
          <w:p>
            <w:pPr>
              <w:jc w:val="right"/>
            </w:pPr>
            <w:r/>
            <w:r>
              <w:rPr>
                <w:rFonts w:ascii="Calibri" w:hAnsi="Calibri"/>
                <w:color w:val="1A1A1A"/>
                <w:sz w:val="20"/>
              </w:rPr>
              <w:t>58% (v2) / 70% (blueprint)</w:t>
            </w:r>
          </w:p>
        </w:tc>
        <w:tc>
          <w:tcPr>
            <w:tcW w:type="dxa" w:w="1701"/>
            <w:vAlign w:val="center"/>
          </w:tcPr>
          <w:p>
            <w:pPr>
              <w:jc w:val="right"/>
            </w:pPr>
            <w:r/>
            <w:r>
              <w:rPr>
                <w:rFonts w:ascii="Calibri" w:hAnsi="Calibri"/>
                <w:color w:val="1A1A1A"/>
                <w:sz w:val="20"/>
              </w:rPr>
              <w:t>More conservative</w:t>
            </w:r>
          </w:p>
        </w:tc>
      </w:tr>
      <w:tr>
        <w:tc>
          <w:tcPr>
            <w:tcW w:type="dxa" w:w="2551"/>
            <w:vAlign w:val="center"/>
          </w:tcPr>
          <w:p>
            <w:pPr>
              <w:jc w:val="left"/>
            </w:pPr>
            <w:r/>
            <w:r>
              <w:rPr>
                <w:rFonts w:ascii="Calibri" w:hAnsi="Calibri"/>
                <w:color w:val="1A1A1A"/>
                <w:sz w:val="20"/>
              </w:rPr>
              <w:t>Effective day guests/yr</w:t>
            </w:r>
          </w:p>
        </w:tc>
        <w:tc>
          <w:tcPr>
            <w:tcW w:type="dxa" w:w="2551"/>
            <w:vAlign w:val="center"/>
          </w:tcPr>
          <w:p>
            <w:pPr>
              <w:jc w:val="right"/>
            </w:pPr>
            <w:r/>
            <w:r>
              <w:rPr>
                <w:rFonts w:ascii="Calibri" w:hAnsi="Calibri"/>
                <w:color w:val="1A1A1A"/>
                <w:sz w:val="20"/>
              </w:rPr>
              <w:t>~128,520</w:t>
            </w:r>
          </w:p>
        </w:tc>
        <w:tc>
          <w:tcPr>
            <w:tcW w:type="dxa" w:w="2551"/>
            <w:vAlign w:val="center"/>
          </w:tcPr>
          <w:p>
            <w:pPr>
              <w:jc w:val="right"/>
            </w:pPr>
            <w:r/>
            <w:r>
              <w:rPr>
                <w:rFonts w:ascii="Calibri" w:hAnsi="Calibri"/>
                <w:color w:val="1A1A1A"/>
                <w:sz w:val="20"/>
              </w:rPr>
              <w:t>~21,750 (v2) / 37,800 (blueprint)</w:t>
            </w:r>
          </w:p>
        </w:tc>
        <w:tc>
          <w:tcPr>
            <w:tcW w:type="dxa" w:w="1701"/>
            <w:vAlign w:val="center"/>
          </w:tcPr>
          <w:p>
            <w:pPr>
              <w:jc w:val="right"/>
            </w:pPr>
            <w:r/>
            <w:r>
              <w:rPr>
                <w:rFonts w:ascii="Calibri" w:hAnsi="Calibri"/>
                <w:color w:val="1A1A1A"/>
                <w:sz w:val="20"/>
              </w:rPr>
              <w:t>Lower (day-window cut)</w:t>
            </w:r>
          </w:p>
        </w:tc>
      </w:tr>
      <w:tr>
        <w:tc>
          <w:tcPr>
            <w:tcW w:type="dxa" w:w="2551"/>
            <w:vAlign w:val="center"/>
          </w:tcPr>
          <w:p>
            <w:pPr>
              <w:jc w:val="left"/>
            </w:pPr>
            <w:r/>
            <w:r>
              <w:rPr>
                <w:rFonts w:ascii="Calibri" w:hAnsi="Calibri"/>
                <w:color w:val="1A1A1A"/>
                <w:sz w:val="20"/>
              </w:rPr>
              <w:t>Effective night guests/yr</w:t>
            </w:r>
          </w:p>
        </w:tc>
        <w:tc>
          <w:tcPr>
            <w:tcW w:type="dxa" w:w="2551"/>
            <w:vAlign w:val="center"/>
          </w:tcPr>
          <w:p>
            <w:pPr>
              <w:jc w:val="right"/>
            </w:pPr>
            <w:r/>
            <w:r>
              <w:rPr>
                <w:rFonts w:ascii="Calibri" w:hAnsi="Calibri"/>
                <w:color w:val="1A1A1A"/>
                <w:sz w:val="20"/>
              </w:rPr>
              <w:t>N/A</w:t>
            </w:r>
          </w:p>
        </w:tc>
        <w:tc>
          <w:tcPr>
            <w:tcW w:type="dxa" w:w="2551"/>
            <w:vAlign w:val="center"/>
          </w:tcPr>
          <w:p>
            <w:pPr>
              <w:jc w:val="right"/>
            </w:pPr>
            <w:r/>
            <w:r>
              <w:rPr>
                <w:rFonts w:ascii="Calibri" w:hAnsi="Calibri"/>
                <w:color w:val="1A1A1A"/>
                <w:sz w:val="20"/>
              </w:rPr>
              <w:t>~58,000 (v2) / 36,000 (blueprint)</w:t>
            </w:r>
          </w:p>
        </w:tc>
        <w:tc>
          <w:tcPr>
            <w:tcW w:type="dxa" w:w="1701"/>
            <w:vAlign w:val="center"/>
          </w:tcPr>
          <w:p>
            <w:pPr>
              <w:jc w:val="right"/>
            </w:pPr>
            <w:r/>
            <w:r>
              <w:rPr>
                <w:rFonts w:ascii="Calibri" w:hAnsi="Calibri"/>
                <w:color w:val="1A1A1A"/>
                <w:sz w:val="20"/>
              </w:rPr>
              <w:t>New stream</w:t>
            </w:r>
          </w:p>
        </w:tc>
      </w:tr>
      <w:tr>
        <w:tc>
          <w:tcPr>
            <w:tcW w:type="dxa" w:w="9354"/>
            <w:gridSpan w:val="4"/>
            <w:shd w:val="clear" w:color="auto" w:fill="EFE2C2"/>
          </w:tcPr>
          <w:p>
            <w:r/>
            <w:r>
              <w:rPr>
                <w:rFonts w:ascii="Calibri" w:hAnsi="Calibri"/>
                <w:b/>
                <w:color w:val="1A1A1A"/>
                <w:sz w:val="20"/>
              </w:rPr>
              <w:t>Tickets</w:t>
            </w:r>
          </w:p>
        </w:tc>
      </w:tr>
      <w:tr>
        <w:tc>
          <w:tcPr>
            <w:tcW w:type="dxa" w:w="2551"/>
            <w:vAlign w:val="center"/>
          </w:tcPr>
          <w:p>
            <w:pPr>
              <w:jc w:val="left"/>
            </w:pPr>
            <w:r/>
            <w:r>
              <w:rPr>
                <w:rFonts w:ascii="Calibri" w:hAnsi="Calibri"/>
                <w:color w:val="1A1A1A"/>
                <w:sz w:val="20"/>
              </w:rPr>
              <w:t>Day Adult</w:t>
            </w:r>
          </w:p>
        </w:tc>
        <w:tc>
          <w:tcPr>
            <w:tcW w:type="dxa" w:w="2551"/>
            <w:vAlign w:val="center"/>
          </w:tcPr>
          <w:p>
            <w:pPr>
              <w:jc w:val="right"/>
            </w:pPr>
            <w:r/>
            <w:r>
              <w:rPr>
                <w:rFonts w:ascii="Calibri" w:hAnsi="Calibri"/>
                <w:color w:val="1A1A1A"/>
                <w:sz w:val="20"/>
              </w:rPr>
              <w:t>AED 195</w:t>
            </w:r>
          </w:p>
        </w:tc>
        <w:tc>
          <w:tcPr>
            <w:tcW w:type="dxa" w:w="2551"/>
            <w:vAlign w:val="center"/>
          </w:tcPr>
          <w:p>
            <w:pPr>
              <w:jc w:val="right"/>
            </w:pPr>
            <w:r/>
            <w:r>
              <w:rPr>
                <w:rFonts w:ascii="Calibri" w:hAnsi="Calibri"/>
                <w:color w:val="1A1A1A"/>
                <w:sz w:val="20"/>
              </w:rPr>
              <w:t>AED 195</w:t>
            </w:r>
          </w:p>
        </w:tc>
        <w:tc>
          <w:tcPr>
            <w:tcW w:type="dxa" w:w="1701"/>
            <w:vAlign w:val="center"/>
          </w:tcPr>
          <w:p>
            <w:pPr>
              <w:jc w:val="right"/>
            </w:pPr>
            <w:r/>
            <w:r>
              <w:rPr>
                <w:rFonts w:ascii="Calibri" w:hAnsi="Calibri"/>
                <w:color w:val="1A1A1A"/>
                <w:sz w:val="20"/>
              </w:rPr>
              <w:t>Unchanged</w:t>
            </w:r>
          </w:p>
        </w:tc>
      </w:tr>
      <w:tr>
        <w:tc>
          <w:tcPr>
            <w:tcW w:type="dxa" w:w="2551"/>
            <w:vAlign w:val="center"/>
          </w:tcPr>
          <w:p>
            <w:pPr>
              <w:jc w:val="left"/>
            </w:pPr>
            <w:r/>
            <w:r>
              <w:rPr>
                <w:rFonts w:ascii="Calibri" w:hAnsi="Calibri"/>
                <w:color w:val="1A1A1A"/>
                <w:sz w:val="20"/>
              </w:rPr>
              <w:t>Day Child</w:t>
            </w:r>
          </w:p>
        </w:tc>
        <w:tc>
          <w:tcPr>
            <w:tcW w:type="dxa" w:w="2551"/>
            <w:vAlign w:val="center"/>
          </w:tcPr>
          <w:p>
            <w:pPr>
              <w:jc w:val="right"/>
            </w:pPr>
            <w:r/>
            <w:r>
              <w:rPr>
                <w:rFonts w:ascii="Calibri" w:hAnsi="Calibri"/>
                <w:color w:val="1A1A1A"/>
                <w:sz w:val="20"/>
              </w:rPr>
              <w:t>AED 125</w:t>
            </w:r>
          </w:p>
        </w:tc>
        <w:tc>
          <w:tcPr>
            <w:tcW w:type="dxa" w:w="2551"/>
            <w:vAlign w:val="center"/>
          </w:tcPr>
          <w:p>
            <w:pPr>
              <w:jc w:val="right"/>
            </w:pPr>
            <w:r/>
            <w:r>
              <w:rPr>
                <w:rFonts w:ascii="Calibri" w:hAnsi="Calibri"/>
                <w:color w:val="1A1A1A"/>
                <w:sz w:val="20"/>
              </w:rPr>
              <w:t>AED 125</w:t>
            </w:r>
          </w:p>
        </w:tc>
        <w:tc>
          <w:tcPr>
            <w:tcW w:type="dxa" w:w="1701"/>
            <w:vAlign w:val="center"/>
          </w:tcPr>
          <w:p>
            <w:pPr>
              <w:jc w:val="right"/>
            </w:pPr>
            <w:r/>
            <w:r>
              <w:rPr>
                <w:rFonts w:ascii="Calibri" w:hAnsi="Calibri"/>
                <w:color w:val="1A1A1A"/>
                <w:sz w:val="20"/>
              </w:rPr>
              <w:t>Unchanged</w:t>
            </w:r>
          </w:p>
        </w:tc>
      </w:tr>
      <w:tr>
        <w:tc>
          <w:tcPr>
            <w:tcW w:type="dxa" w:w="2551"/>
            <w:vAlign w:val="center"/>
          </w:tcPr>
          <w:p>
            <w:pPr>
              <w:jc w:val="left"/>
            </w:pPr>
            <w:r/>
            <w:r>
              <w:rPr>
                <w:rFonts w:ascii="Calibri" w:hAnsi="Calibri"/>
                <w:color w:val="1A1A1A"/>
                <w:sz w:val="20"/>
              </w:rPr>
              <w:t>Express Pass</w:t>
            </w:r>
          </w:p>
        </w:tc>
        <w:tc>
          <w:tcPr>
            <w:tcW w:type="dxa" w:w="2551"/>
            <w:vAlign w:val="center"/>
          </w:tcPr>
          <w:p>
            <w:pPr>
              <w:jc w:val="right"/>
            </w:pPr>
            <w:r/>
            <w:r>
              <w:rPr>
                <w:rFonts w:ascii="Calibri" w:hAnsi="Calibri"/>
                <w:color w:val="1A1A1A"/>
                <w:sz w:val="20"/>
              </w:rPr>
              <w:t>AED 295 (10% mix)</w:t>
            </w:r>
          </w:p>
        </w:tc>
        <w:tc>
          <w:tcPr>
            <w:tcW w:type="dxa" w:w="2551"/>
            <w:vAlign w:val="center"/>
          </w:tcPr>
          <w:p>
            <w:pPr>
              <w:jc w:val="right"/>
            </w:pPr>
            <w:r/>
            <w:r>
              <w:rPr>
                <w:rFonts w:ascii="Calibri" w:hAnsi="Calibri"/>
                <w:color w:val="1A1A1A"/>
                <w:sz w:val="20"/>
              </w:rPr>
              <w:t>Discontinued</w:t>
            </w:r>
          </w:p>
        </w:tc>
        <w:tc>
          <w:tcPr>
            <w:tcW w:type="dxa" w:w="1701"/>
            <w:vAlign w:val="center"/>
          </w:tcPr>
          <w:p>
            <w:pPr>
              <w:jc w:val="right"/>
            </w:pPr>
            <w:r/>
            <w:r>
              <w:rPr>
                <w:rFonts w:ascii="Calibri" w:hAnsi="Calibri"/>
                <w:color w:val="1A1A1A"/>
                <w:sz w:val="20"/>
              </w:rPr>
              <w:t>Removed</w:t>
            </w:r>
          </w:p>
        </w:tc>
      </w:tr>
      <w:tr>
        <w:tc>
          <w:tcPr>
            <w:tcW w:type="dxa" w:w="2551"/>
            <w:vAlign w:val="center"/>
          </w:tcPr>
          <w:p>
            <w:pPr>
              <w:jc w:val="left"/>
            </w:pPr>
            <w:r/>
            <w:r>
              <w:rPr>
                <w:rFonts w:ascii="Calibri" w:hAnsi="Calibri"/>
                <w:color w:val="1A1A1A"/>
                <w:sz w:val="20"/>
              </w:rPr>
              <w:t>Night Adult</w:t>
            </w:r>
          </w:p>
        </w:tc>
        <w:tc>
          <w:tcPr>
            <w:tcW w:type="dxa" w:w="2551"/>
            <w:vAlign w:val="center"/>
          </w:tcPr>
          <w:p>
            <w:pPr>
              <w:jc w:val="right"/>
            </w:pPr>
            <w:r/>
            <w:r>
              <w:rPr>
                <w:rFonts w:ascii="Calibri" w:hAnsi="Calibri"/>
                <w:color w:val="1A1A1A"/>
                <w:sz w:val="20"/>
              </w:rPr>
              <w:t>N/A</w:t>
            </w:r>
          </w:p>
        </w:tc>
        <w:tc>
          <w:tcPr>
            <w:tcW w:type="dxa" w:w="2551"/>
            <w:vAlign w:val="center"/>
          </w:tcPr>
          <w:p>
            <w:pPr>
              <w:jc w:val="right"/>
            </w:pPr>
            <w:r/>
            <w:r>
              <w:rPr>
                <w:rFonts w:ascii="Calibri" w:hAnsi="Calibri"/>
                <w:color w:val="1A1A1A"/>
                <w:sz w:val="20"/>
              </w:rPr>
              <w:t>AED 295</w:t>
            </w:r>
          </w:p>
        </w:tc>
        <w:tc>
          <w:tcPr>
            <w:tcW w:type="dxa" w:w="1701"/>
            <w:vAlign w:val="center"/>
          </w:tcPr>
          <w:p>
            <w:pPr>
              <w:jc w:val="right"/>
            </w:pPr>
            <w:r/>
            <w:r>
              <w:rPr>
                <w:rFonts w:ascii="Calibri" w:hAnsi="Calibri"/>
                <w:color w:val="1A1A1A"/>
                <w:sz w:val="20"/>
              </w:rPr>
              <w:t>New</w:t>
            </w:r>
          </w:p>
        </w:tc>
      </w:tr>
      <w:tr>
        <w:tc>
          <w:tcPr>
            <w:tcW w:type="dxa" w:w="2551"/>
            <w:vAlign w:val="center"/>
          </w:tcPr>
          <w:p>
            <w:pPr>
              <w:jc w:val="left"/>
            </w:pPr>
            <w:r/>
            <w:r>
              <w:rPr>
                <w:rFonts w:ascii="Calibri" w:hAnsi="Calibri"/>
                <w:color w:val="1A1A1A"/>
                <w:sz w:val="20"/>
              </w:rPr>
              <w:t>Night Child</w:t>
            </w:r>
          </w:p>
        </w:tc>
        <w:tc>
          <w:tcPr>
            <w:tcW w:type="dxa" w:w="2551"/>
            <w:vAlign w:val="center"/>
          </w:tcPr>
          <w:p>
            <w:pPr>
              <w:jc w:val="right"/>
            </w:pPr>
            <w:r/>
            <w:r>
              <w:rPr>
                <w:rFonts w:ascii="Calibri" w:hAnsi="Calibri"/>
                <w:color w:val="1A1A1A"/>
                <w:sz w:val="20"/>
              </w:rPr>
              <w:t>N/A</w:t>
            </w:r>
          </w:p>
        </w:tc>
        <w:tc>
          <w:tcPr>
            <w:tcW w:type="dxa" w:w="2551"/>
            <w:vAlign w:val="center"/>
          </w:tcPr>
          <w:p>
            <w:pPr>
              <w:jc w:val="right"/>
            </w:pPr>
            <w:r/>
            <w:r>
              <w:rPr>
                <w:rFonts w:ascii="Calibri" w:hAnsi="Calibri"/>
                <w:color w:val="1A1A1A"/>
                <w:sz w:val="20"/>
              </w:rPr>
              <w:t>AED 175</w:t>
            </w:r>
          </w:p>
        </w:tc>
        <w:tc>
          <w:tcPr>
            <w:tcW w:type="dxa" w:w="1701"/>
            <w:vAlign w:val="center"/>
          </w:tcPr>
          <w:p>
            <w:pPr>
              <w:jc w:val="right"/>
            </w:pPr>
            <w:r/>
            <w:r>
              <w:rPr>
                <w:rFonts w:ascii="Calibri" w:hAnsi="Calibri"/>
                <w:color w:val="1A1A1A"/>
                <w:sz w:val="20"/>
              </w:rPr>
              <w:t>New</w:t>
            </w:r>
          </w:p>
        </w:tc>
      </w:tr>
      <w:tr>
        <w:tc>
          <w:tcPr>
            <w:tcW w:type="dxa" w:w="2551"/>
            <w:vAlign w:val="center"/>
          </w:tcPr>
          <w:p>
            <w:pPr>
              <w:jc w:val="left"/>
            </w:pPr>
            <w:r/>
            <w:r>
              <w:rPr>
                <w:rFonts w:ascii="Calibri" w:hAnsi="Calibri"/>
                <w:color w:val="1A1A1A"/>
                <w:sz w:val="20"/>
              </w:rPr>
              <w:t>All-Access Pass</w:t>
            </w:r>
          </w:p>
        </w:tc>
        <w:tc>
          <w:tcPr>
            <w:tcW w:type="dxa" w:w="2551"/>
            <w:vAlign w:val="center"/>
          </w:tcPr>
          <w:p>
            <w:pPr>
              <w:jc w:val="right"/>
            </w:pPr>
            <w:r/>
            <w:r>
              <w:rPr>
                <w:rFonts w:ascii="Calibri" w:hAnsi="Calibri"/>
                <w:color w:val="1A1A1A"/>
                <w:sz w:val="20"/>
              </w:rPr>
              <w:t>N/A</w:t>
            </w:r>
          </w:p>
        </w:tc>
        <w:tc>
          <w:tcPr>
            <w:tcW w:type="dxa" w:w="2551"/>
            <w:vAlign w:val="center"/>
          </w:tcPr>
          <w:p>
            <w:pPr>
              <w:jc w:val="right"/>
            </w:pPr>
            <w:r/>
            <w:r>
              <w:rPr>
                <w:rFonts w:ascii="Calibri" w:hAnsi="Calibri"/>
                <w:color w:val="1A1A1A"/>
                <w:sz w:val="20"/>
              </w:rPr>
              <w:t>AED 695 (3 shows)</w:t>
            </w:r>
          </w:p>
        </w:tc>
        <w:tc>
          <w:tcPr>
            <w:tcW w:type="dxa" w:w="1701"/>
            <w:vAlign w:val="center"/>
          </w:tcPr>
          <w:p>
            <w:pPr>
              <w:jc w:val="right"/>
            </w:pPr>
            <w:r/>
            <w:r>
              <w:rPr>
                <w:rFonts w:ascii="Calibri" w:hAnsi="Calibri"/>
                <w:color w:val="1A1A1A"/>
                <w:sz w:val="20"/>
              </w:rPr>
              <w:t>New</w:t>
            </w:r>
          </w:p>
        </w:tc>
      </w:tr>
      <w:tr>
        <w:tc>
          <w:tcPr>
            <w:tcW w:type="dxa" w:w="2551"/>
            <w:vAlign w:val="center"/>
          </w:tcPr>
          <w:p>
            <w:pPr>
              <w:jc w:val="left"/>
            </w:pPr>
            <w:r/>
            <w:r>
              <w:rPr>
                <w:rFonts w:ascii="Calibri" w:hAnsi="Calibri"/>
                <w:color w:val="1A1A1A"/>
                <w:sz w:val="20"/>
              </w:rPr>
              <w:t>Private Gondola</w:t>
            </w:r>
          </w:p>
        </w:tc>
        <w:tc>
          <w:tcPr>
            <w:tcW w:type="dxa" w:w="2551"/>
            <w:vAlign w:val="center"/>
          </w:tcPr>
          <w:p>
            <w:pPr>
              <w:jc w:val="right"/>
            </w:pPr>
            <w:r/>
            <w:r>
              <w:rPr>
                <w:rFonts w:ascii="Calibri" w:hAnsi="Calibri"/>
                <w:color w:val="1A1A1A"/>
                <w:sz w:val="20"/>
              </w:rPr>
              <w:t>Mentioned, no price</w:t>
            </w:r>
          </w:p>
        </w:tc>
        <w:tc>
          <w:tcPr>
            <w:tcW w:type="dxa" w:w="2551"/>
            <w:vAlign w:val="center"/>
          </w:tcPr>
          <w:p>
            <w:pPr>
              <w:jc w:val="right"/>
            </w:pPr>
            <w:r/>
            <w:r>
              <w:rPr>
                <w:rFonts w:ascii="Calibri" w:hAnsi="Calibri"/>
                <w:color w:val="1A1A1A"/>
                <w:sz w:val="20"/>
              </w:rPr>
              <w:t>AED 20,000</w:t>
            </w:r>
          </w:p>
        </w:tc>
        <w:tc>
          <w:tcPr>
            <w:tcW w:type="dxa" w:w="1701"/>
            <w:vAlign w:val="center"/>
          </w:tcPr>
          <w:p>
            <w:pPr>
              <w:jc w:val="right"/>
            </w:pPr>
            <w:r/>
            <w:r>
              <w:rPr>
                <w:rFonts w:ascii="Calibri" w:hAnsi="Calibri"/>
                <w:color w:val="1A1A1A"/>
                <w:sz w:val="20"/>
              </w:rPr>
              <w:t>Priced</w:t>
            </w:r>
          </w:p>
        </w:tc>
      </w:tr>
      <w:tr>
        <w:tc>
          <w:tcPr>
            <w:tcW w:type="dxa" w:w="2551"/>
            <w:vAlign w:val="center"/>
          </w:tcPr>
          <w:p>
            <w:pPr>
              <w:jc w:val="left"/>
            </w:pPr>
            <w:r/>
            <w:r>
              <w:rPr>
                <w:rFonts w:ascii="Calibri" w:hAnsi="Calibri"/>
                <w:color w:val="1A1A1A"/>
                <w:sz w:val="20"/>
              </w:rPr>
              <w:t>Day blended ARPU</w:t>
            </w:r>
          </w:p>
        </w:tc>
        <w:tc>
          <w:tcPr>
            <w:tcW w:type="dxa" w:w="2551"/>
            <w:vAlign w:val="center"/>
          </w:tcPr>
          <w:p>
            <w:pPr>
              <w:jc w:val="right"/>
            </w:pPr>
            <w:r/>
            <w:r>
              <w:rPr>
                <w:rFonts w:ascii="Calibri" w:hAnsi="Calibri"/>
                <w:color w:val="1A1A1A"/>
                <w:sz w:val="20"/>
              </w:rPr>
              <w:t>AED 192</w:t>
            </w:r>
          </w:p>
        </w:tc>
        <w:tc>
          <w:tcPr>
            <w:tcW w:type="dxa" w:w="2551"/>
            <w:vAlign w:val="center"/>
          </w:tcPr>
          <w:p>
            <w:pPr>
              <w:jc w:val="right"/>
            </w:pPr>
            <w:r/>
            <w:r>
              <w:rPr>
                <w:rFonts w:ascii="Calibri" w:hAnsi="Calibri"/>
                <w:color w:val="1A1A1A"/>
                <w:sz w:val="20"/>
              </w:rPr>
              <w:t>AED 170</w:t>
            </w:r>
          </w:p>
        </w:tc>
        <w:tc>
          <w:tcPr>
            <w:tcW w:type="dxa" w:w="1701"/>
            <w:vAlign w:val="center"/>
          </w:tcPr>
          <w:p>
            <w:pPr>
              <w:jc w:val="right"/>
            </w:pPr>
            <w:r/>
            <w:r>
              <w:rPr>
                <w:rFonts w:ascii="Calibri" w:hAnsi="Calibri"/>
                <w:color w:val="1A1A1A"/>
                <w:sz w:val="20"/>
              </w:rPr>
              <w:t>–AED 22 (more children)</w:t>
            </w:r>
          </w:p>
        </w:tc>
      </w:tr>
      <w:tr>
        <w:tc>
          <w:tcPr>
            <w:tcW w:type="dxa" w:w="2551"/>
            <w:vAlign w:val="center"/>
          </w:tcPr>
          <w:p>
            <w:pPr>
              <w:jc w:val="left"/>
            </w:pPr>
            <w:r/>
            <w:r>
              <w:rPr>
                <w:rFonts w:ascii="Calibri" w:hAnsi="Calibri"/>
                <w:color w:val="1A1A1A"/>
                <w:sz w:val="20"/>
              </w:rPr>
              <w:t>Night blended ARPU</w:t>
            </w:r>
          </w:p>
        </w:tc>
        <w:tc>
          <w:tcPr>
            <w:tcW w:type="dxa" w:w="2551"/>
            <w:vAlign w:val="center"/>
          </w:tcPr>
          <w:p>
            <w:pPr>
              <w:jc w:val="right"/>
            </w:pPr>
            <w:r/>
            <w:r>
              <w:rPr>
                <w:rFonts w:ascii="Calibri" w:hAnsi="Calibri"/>
                <w:color w:val="1A1A1A"/>
                <w:sz w:val="20"/>
              </w:rPr>
              <w:t>N/A</w:t>
            </w:r>
          </w:p>
        </w:tc>
        <w:tc>
          <w:tcPr>
            <w:tcW w:type="dxa" w:w="2551"/>
            <w:vAlign w:val="center"/>
          </w:tcPr>
          <w:p>
            <w:pPr>
              <w:jc w:val="right"/>
            </w:pPr>
            <w:r/>
            <w:r>
              <w:rPr>
                <w:rFonts w:ascii="Calibri" w:hAnsi="Calibri"/>
                <w:color w:val="1A1A1A"/>
                <w:sz w:val="20"/>
              </w:rPr>
              <w:t>AED 361</w:t>
            </w:r>
          </w:p>
        </w:tc>
        <w:tc>
          <w:tcPr>
            <w:tcW w:type="dxa" w:w="1701"/>
            <w:vAlign w:val="center"/>
          </w:tcPr>
          <w:p>
            <w:pPr>
              <w:jc w:val="right"/>
            </w:pPr>
            <w:r/>
            <w:r>
              <w:rPr>
                <w:rFonts w:ascii="Calibri" w:hAnsi="Calibri"/>
                <w:color w:val="1A1A1A"/>
                <w:sz w:val="20"/>
              </w:rPr>
              <w:t>New</w:t>
            </w:r>
          </w:p>
        </w:tc>
      </w:tr>
      <w:tr>
        <w:tc>
          <w:tcPr>
            <w:tcW w:type="dxa" w:w="9354"/>
            <w:gridSpan w:val="4"/>
            <w:shd w:val="clear" w:color="auto" w:fill="EFE2C2"/>
          </w:tcPr>
          <w:p>
            <w:r/>
            <w:r>
              <w:rPr>
                <w:rFonts w:ascii="Calibri" w:hAnsi="Calibri"/>
                <w:b/>
                <w:color w:val="1A1A1A"/>
                <w:sz w:val="20"/>
              </w:rPr>
              <w:t>Financial outputs (Year 1, Base)</w:t>
            </w:r>
          </w:p>
        </w:tc>
      </w:tr>
      <w:tr>
        <w:tc>
          <w:tcPr>
            <w:tcW w:type="dxa" w:w="2551"/>
            <w:vAlign w:val="center"/>
          </w:tcPr>
          <w:p>
            <w:pPr>
              <w:jc w:val="left"/>
            </w:pPr>
            <w:r/>
            <w:r>
              <w:rPr>
                <w:rFonts w:ascii="Calibri" w:hAnsi="Calibri"/>
                <w:color w:val="1A1A1A"/>
                <w:sz w:val="20"/>
              </w:rPr>
              <w:t>Annual revenue</w:t>
            </w:r>
          </w:p>
        </w:tc>
        <w:tc>
          <w:tcPr>
            <w:tcW w:type="dxa" w:w="2551"/>
            <w:vAlign w:val="center"/>
          </w:tcPr>
          <w:p>
            <w:pPr>
              <w:jc w:val="right"/>
            </w:pPr>
            <w:r/>
            <w:r>
              <w:rPr>
                <w:rFonts w:ascii="Calibri" w:hAnsi="Calibri"/>
                <w:color w:val="1A1A1A"/>
                <w:sz w:val="20"/>
              </w:rPr>
              <w:t>AED 24.7 M</w:t>
            </w:r>
          </w:p>
        </w:tc>
        <w:tc>
          <w:tcPr>
            <w:tcW w:type="dxa" w:w="2551"/>
            <w:vAlign w:val="center"/>
          </w:tcPr>
          <w:p>
            <w:pPr>
              <w:jc w:val="right"/>
            </w:pPr>
            <w:r/>
            <w:r>
              <w:rPr>
                <w:rFonts w:ascii="Calibri" w:hAnsi="Calibri"/>
                <w:color w:val="1A1A1A"/>
                <w:sz w:val="20"/>
              </w:rPr>
              <w:t>AED 22.2 M (v2) / 24.7 M (blueprint)</w:t>
            </w:r>
          </w:p>
        </w:tc>
        <w:tc>
          <w:tcPr>
            <w:tcW w:type="dxa" w:w="1701"/>
            <w:vAlign w:val="center"/>
          </w:tcPr>
          <w:p>
            <w:pPr>
              <w:jc w:val="right"/>
            </w:pPr>
            <w:r/>
            <w:r>
              <w:rPr>
                <w:rFonts w:ascii="Calibri" w:hAnsi="Calibri"/>
                <w:color w:val="1A1A1A"/>
                <w:sz w:val="20"/>
              </w:rPr>
              <w:t>Similar headline</w:t>
            </w:r>
          </w:p>
        </w:tc>
      </w:tr>
      <w:tr>
        <w:tc>
          <w:tcPr>
            <w:tcW w:type="dxa" w:w="2551"/>
            <w:vAlign w:val="center"/>
          </w:tcPr>
          <w:p>
            <w:pPr>
              <w:jc w:val="left"/>
            </w:pPr>
            <w:r/>
            <w:r>
              <w:rPr>
                <w:rFonts w:ascii="Calibri" w:hAnsi="Calibri"/>
                <w:color w:val="1A1A1A"/>
                <w:sz w:val="20"/>
              </w:rPr>
              <w:t>Revenue streams</w:t>
            </w:r>
          </w:p>
        </w:tc>
        <w:tc>
          <w:tcPr>
            <w:tcW w:type="dxa" w:w="2551"/>
            <w:vAlign w:val="center"/>
          </w:tcPr>
          <w:p>
            <w:pPr>
              <w:jc w:val="right"/>
            </w:pPr>
            <w:r/>
            <w:r>
              <w:rPr>
                <w:rFonts w:ascii="Calibri" w:hAnsi="Calibri"/>
                <w:color w:val="1A1A1A"/>
                <w:sz w:val="20"/>
              </w:rPr>
              <w:t>1 (day tickets only)</w:t>
            </w:r>
          </w:p>
        </w:tc>
        <w:tc>
          <w:tcPr>
            <w:tcW w:type="dxa" w:w="2551"/>
            <w:vAlign w:val="center"/>
          </w:tcPr>
          <w:p>
            <w:pPr>
              <w:jc w:val="right"/>
            </w:pPr>
            <w:r/>
            <w:r>
              <w:rPr>
                <w:rFonts w:ascii="Calibri" w:hAnsi="Calibri"/>
                <w:color w:val="1A1A1A"/>
                <w:sz w:val="20"/>
              </w:rPr>
              <w:t>6 (day, night, F&amp;B, sponsor, museum, VIP)</w:t>
            </w:r>
          </w:p>
        </w:tc>
        <w:tc>
          <w:tcPr>
            <w:tcW w:type="dxa" w:w="1701"/>
            <w:vAlign w:val="center"/>
          </w:tcPr>
          <w:p>
            <w:pPr>
              <w:jc w:val="right"/>
            </w:pPr>
            <w:r/>
            <w:r>
              <w:rPr>
                <w:rFonts w:ascii="Calibri" w:hAnsi="Calibri"/>
                <w:color w:val="1A1A1A"/>
                <w:sz w:val="20"/>
              </w:rPr>
              <w:t>Diversified</w:t>
            </w:r>
          </w:p>
        </w:tc>
      </w:tr>
      <w:tr>
        <w:tc>
          <w:tcPr>
            <w:tcW w:type="dxa" w:w="2551"/>
            <w:vAlign w:val="center"/>
          </w:tcPr>
          <w:p>
            <w:pPr>
              <w:jc w:val="left"/>
            </w:pPr>
            <w:r/>
            <w:r>
              <w:rPr>
                <w:rFonts w:ascii="Calibri" w:hAnsi="Calibri"/>
                <w:color w:val="1A1A1A"/>
                <w:sz w:val="20"/>
              </w:rPr>
              <w:t>Annual OpEx</w:t>
            </w:r>
          </w:p>
        </w:tc>
        <w:tc>
          <w:tcPr>
            <w:tcW w:type="dxa" w:w="2551"/>
            <w:vAlign w:val="center"/>
          </w:tcPr>
          <w:p>
            <w:pPr>
              <w:jc w:val="right"/>
            </w:pPr>
            <w:r/>
            <w:r>
              <w:rPr>
                <w:rFonts w:ascii="Calibri" w:hAnsi="Calibri"/>
                <w:color w:val="1A1A1A"/>
                <w:sz w:val="20"/>
              </w:rPr>
              <w:t>AED 7.2 M</w:t>
            </w:r>
          </w:p>
        </w:tc>
        <w:tc>
          <w:tcPr>
            <w:tcW w:type="dxa" w:w="2551"/>
            <w:vAlign w:val="center"/>
          </w:tcPr>
          <w:p>
            <w:pPr>
              <w:jc w:val="right"/>
            </w:pPr>
            <w:r/>
            <w:r>
              <w:rPr>
                <w:rFonts w:ascii="Calibri" w:hAnsi="Calibri"/>
                <w:color w:val="1A1A1A"/>
                <w:sz w:val="20"/>
              </w:rPr>
              <w:t>AED 9.8 M</w:t>
            </w:r>
          </w:p>
        </w:tc>
        <w:tc>
          <w:tcPr>
            <w:tcW w:type="dxa" w:w="1701"/>
            <w:vAlign w:val="center"/>
          </w:tcPr>
          <w:p>
            <w:pPr>
              <w:jc w:val="right"/>
            </w:pPr>
            <w:r/>
            <w:r>
              <w:rPr>
                <w:rFonts w:ascii="Calibri" w:hAnsi="Calibri"/>
                <w:color w:val="1A1A1A"/>
                <w:sz w:val="20"/>
              </w:rPr>
              <w:t>+AED 2.6 M (LED layer)</w:t>
            </w:r>
          </w:p>
        </w:tc>
      </w:tr>
      <w:tr>
        <w:tc>
          <w:tcPr>
            <w:tcW w:type="dxa" w:w="2551"/>
            <w:vAlign w:val="center"/>
          </w:tcPr>
          <w:p>
            <w:pPr>
              <w:jc w:val="left"/>
            </w:pPr>
            <w:r/>
            <w:r>
              <w:rPr>
                <w:rFonts w:ascii="Calibri" w:hAnsi="Calibri"/>
                <w:color w:val="1A1A1A"/>
                <w:sz w:val="20"/>
              </w:rPr>
              <w:t>EBITDA</w:t>
            </w:r>
          </w:p>
        </w:tc>
        <w:tc>
          <w:tcPr>
            <w:tcW w:type="dxa" w:w="2551"/>
            <w:vAlign w:val="center"/>
          </w:tcPr>
          <w:p>
            <w:pPr>
              <w:jc w:val="right"/>
            </w:pPr>
            <w:r/>
            <w:r>
              <w:rPr>
                <w:rFonts w:ascii="Calibri" w:hAnsi="Calibri"/>
                <w:color w:val="1A1A1A"/>
                <w:sz w:val="20"/>
              </w:rPr>
              <w:t>Not stated (implied ~AED 17.5 M)</w:t>
            </w:r>
          </w:p>
        </w:tc>
        <w:tc>
          <w:tcPr>
            <w:tcW w:type="dxa" w:w="2551"/>
            <w:vAlign w:val="center"/>
          </w:tcPr>
          <w:p>
            <w:pPr>
              <w:jc w:val="right"/>
            </w:pPr>
            <w:r/>
            <w:r>
              <w:rPr>
                <w:rFonts w:ascii="Calibri" w:hAnsi="Calibri"/>
                <w:color w:val="1A1A1A"/>
                <w:sz w:val="20"/>
              </w:rPr>
              <w:t>AED 12.4 M (v2) / 14.9 M (blueprint)</w:t>
            </w:r>
          </w:p>
        </w:tc>
        <w:tc>
          <w:tcPr>
            <w:tcW w:type="dxa" w:w="1701"/>
            <w:vAlign w:val="center"/>
          </w:tcPr>
          <w:p>
            <w:pPr>
              <w:jc w:val="right"/>
            </w:pPr>
            <w:r/>
            <w:r>
              <w:rPr>
                <w:rFonts w:ascii="Calibri" w:hAnsi="Calibri"/>
                <w:color w:val="1A1A1A"/>
                <w:sz w:val="20"/>
              </w:rPr>
              <w:t>Lower at project level</w:t>
            </w:r>
          </w:p>
        </w:tc>
      </w:tr>
      <w:tr>
        <w:tc>
          <w:tcPr>
            <w:tcW w:type="dxa" w:w="2551"/>
            <w:vAlign w:val="center"/>
          </w:tcPr>
          <w:p>
            <w:pPr>
              <w:jc w:val="left"/>
            </w:pPr>
            <w:r/>
            <w:r>
              <w:rPr>
                <w:rFonts w:ascii="Calibri" w:hAnsi="Calibri"/>
                <w:color w:val="1A1A1A"/>
                <w:sz w:val="20"/>
              </w:rPr>
              <w:t>CAPEX</w:t>
            </w:r>
          </w:p>
        </w:tc>
        <w:tc>
          <w:tcPr>
            <w:tcW w:type="dxa" w:w="2551"/>
            <w:vAlign w:val="center"/>
          </w:tcPr>
          <w:p>
            <w:pPr>
              <w:jc w:val="right"/>
            </w:pPr>
            <w:r/>
            <w:r>
              <w:rPr>
                <w:rFonts w:ascii="Calibri" w:hAnsi="Calibri"/>
                <w:color w:val="1A1A1A"/>
                <w:sz w:val="20"/>
              </w:rPr>
              <w:t>AED 15 M (relocation + civils)</w:t>
            </w:r>
          </w:p>
        </w:tc>
        <w:tc>
          <w:tcPr>
            <w:tcW w:type="dxa" w:w="2551"/>
            <w:vAlign w:val="center"/>
          </w:tcPr>
          <w:p>
            <w:pPr>
              <w:jc w:val="right"/>
            </w:pPr>
            <w:r/>
            <w:r>
              <w:rPr>
                <w:rFonts w:ascii="Calibri" w:hAnsi="Calibri"/>
                <w:color w:val="1A1A1A"/>
                <w:sz w:val="20"/>
              </w:rPr>
              <w:t>AED 25.9 M (balloon + LED + content)</w:t>
            </w:r>
          </w:p>
        </w:tc>
        <w:tc>
          <w:tcPr>
            <w:tcW w:type="dxa" w:w="1701"/>
            <w:vAlign w:val="center"/>
          </w:tcPr>
          <w:p>
            <w:pPr>
              <w:jc w:val="right"/>
            </w:pPr>
            <w:r/>
            <w:r>
              <w:rPr>
                <w:rFonts w:ascii="Calibri" w:hAnsi="Calibri"/>
                <w:color w:val="1A1A1A"/>
                <w:sz w:val="20"/>
              </w:rPr>
              <w:t>+AED 10.9 M</w:t>
            </w:r>
          </w:p>
        </w:tc>
      </w:tr>
      <w:tr>
        <w:tc>
          <w:tcPr>
            <w:tcW w:type="dxa" w:w="9354"/>
            <w:gridSpan w:val="4"/>
            <w:shd w:val="clear" w:color="auto" w:fill="EFE2C2"/>
          </w:tcPr>
          <w:p>
            <w:r/>
            <w:r>
              <w:rPr>
                <w:rFonts w:ascii="Calibri" w:hAnsi="Calibri"/>
                <w:b/>
                <w:color w:val="1A1A1A"/>
                <w:sz w:val="20"/>
              </w:rPr>
              <w:t>Revenue-share waterfall</w:t>
            </w:r>
          </w:p>
        </w:tc>
      </w:tr>
      <w:tr>
        <w:tc>
          <w:tcPr>
            <w:tcW w:type="dxa" w:w="2551"/>
            <w:vAlign w:val="center"/>
          </w:tcPr>
          <w:p>
            <w:pPr>
              <w:jc w:val="left"/>
            </w:pPr>
            <w:r/>
            <w:r>
              <w:rPr>
                <w:rFonts w:ascii="Calibri" w:hAnsi="Calibri"/>
                <w:color w:val="1A1A1A"/>
                <w:sz w:val="20"/>
              </w:rPr>
              <w:t>VAT</w:t>
            </w:r>
          </w:p>
        </w:tc>
        <w:tc>
          <w:tcPr>
            <w:tcW w:type="dxa" w:w="2551"/>
            <w:vAlign w:val="center"/>
          </w:tcPr>
          <w:p>
            <w:pPr>
              <w:jc w:val="right"/>
            </w:pPr>
            <w:r/>
            <w:r>
              <w:rPr>
                <w:rFonts w:ascii="Calibri" w:hAnsi="Calibri"/>
                <w:color w:val="1A1A1A"/>
                <w:sz w:val="20"/>
              </w:rPr>
              <w:t>5% of gross</w:t>
            </w:r>
          </w:p>
        </w:tc>
        <w:tc>
          <w:tcPr>
            <w:tcW w:type="dxa" w:w="2551"/>
            <w:vAlign w:val="center"/>
          </w:tcPr>
          <w:p>
            <w:pPr>
              <w:jc w:val="right"/>
            </w:pPr>
            <w:r/>
            <w:r>
              <w:rPr>
                <w:rFonts w:ascii="Calibri" w:hAnsi="Calibri"/>
                <w:color w:val="1A1A1A"/>
                <w:sz w:val="20"/>
              </w:rPr>
              <w:t>Not modelled</w:t>
            </w:r>
          </w:p>
        </w:tc>
        <w:tc>
          <w:tcPr>
            <w:tcW w:type="dxa" w:w="1701"/>
            <w:vAlign w:val="center"/>
          </w:tcPr>
          <w:p>
            <w:pPr>
              <w:jc w:val="right"/>
            </w:pPr>
            <w:r/>
            <w:r>
              <w:rPr>
                <w:rFonts w:ascii="Calibri" w:hAnsi="Calibri"/>
                <w:color w:val="1A1A1A"/>
                <w:sz w:val="20"/>
              </w:rPr>
              <w:t>GAP</w:t>
            </w:r>
          </w:p>
        </w:tc>
      </w:tr>
      <w:tr>
        <w:tc>
          <w:tcPr>
            <w:tcW w:type="dxa" w:w="2551"/>
            <w:vAlign w:val="center"/>
          </w:tcPr>
          <w:p>
            <w:pPr>
              <w:jc w:val="left"/>
            </w:pPr>
            <w:r/>
            <w:r>
              <w:rPr>
                <w:rFonts w:ascii="Calibri" w:hAnsi="Calibri"/>
                <w:color w:val="1A1A1A"/>
                <w:sz w:val="20"/>
              </w:rPr>
              <w:t>Partner / Authority</w:t>
            </w:r>
          </w:p>
        </w:tc>
        <w:tc>
          <w:tcPr>
            <w:tcW w:type="dxa" w:w="2551"/>
            <w:vAlign w:val="center"/>
          </w:tcPr>
          <w:p>
            <w:pPr>
              <w:jc w:val="right"/>
            </w:pPr>
            <w:r/>
            <w:r>
              <w:rPr>
                <w:rFonts w:ascii="Calibri" w:hAnsi="Calibri"/>
                <w:color w:val="1A1A1A"/>
                <w:sz w:val="20"/>
              </w:rPr>
              <w:t>12% of net-of-VAT</w:t>
            </w:r>
          </w:p>
        </w:tc>
        <w:tc>
          <w:tcPr>
            <w:tcW w:type="dxa" w:w="2551"/>
            <w:vAlign w:val="center"/>
          </w:tcPr>
          <w:p>
            <w:pPr>
              <w:jc w:val="right"/>
            </w:pPr>
            <w:r/>
            <w:r>
              <w:rPr>
                <w:rFonts w:ascii="Calibri" w:hAnsi="Calibri"/>
                <w:color w:val="1A1A1A"/>
                <w:sz w:val="20"/>
              </w:rPr>
              <w:t>Not modelled</w:t>
            </w:r>
          </w:p>
        </w:tc>
        <w:tc>
          <w:tcPr>
            <w:tcW w:type="dxa" w:w="1701"/>
            <w:vAlign w:val="center"/>
          </w:tcPr>
          <w:p>
            <w:pPr>
              <w:jc w:val="right"/>
            </w:pPr>
            <w:r/>
            <w:r>
              <w:rPr>
                <w:rFonts w:ascii="Calibri" w:hAnsi="Calibri"/>
                <w:color w:val="1A1A1A"/>
                <w:sz w:val="20"/>
              </w:rPr>
              <w:t>GAP</w:t>
            </w:r>
          </w:p>
        </w:tc>
      </w:tr>
      <w:tr>
        <w:tc>
          <w:tcPr>
            <w:tcW w:type="dxa" w:w="2551"/>
            <w:vAlign w:val="center"/>
          </w:tcPr>
          <w:p>
            <w:pPr>
              <w:jc w:val="left"/>
            </w:pPr>
            <w:r/>
            <w:r>
              <w:rPr>
                <w:rFonts w:ascii="Calibri" w:hAnsi="Calibri"/>
                <w:color w:val="1A1A1A"/>
                <w:sz w:val="20"/>
              </w:rPr>
              <w:t>Operator (Hero)</w:t>
            </w:r>
          </w:p>
        </w:tc>
        <w:tc>
          <w:tcPr>
            <w:tcW w:type="dxa" w:w="2551"/>
            <w:vAlign w:val="center"/>
          </w:tcPr>
          <w:p>
            <w:pPr>
              <w:jc w:val="right"/>
            </w:pPr>
            <w:r/>
            <w:r>
              <w:rPr>
                <w:rFonts w:ascii="Calibri" w:hAnsi="Calibri"/>
                <w:color w:val="1A1A1A"/>
                <w:sz w:val="20"/>
              </w:rPr>
              <w:t>83% of net-of-VAT-and-partner</w:t>
            </w:r>
          </w:p>
        </w:tc>
        <w:tc>
          <w:tcPr>
            <w:tcW w:type="dxa" w:w="2551"/>
            <w:vAlign w:val="center"/>
          </w:tcPr>
          <w:p>
            <w:pPr>
              <w:jc w:val="right"/>
            </w:pPr>
            <w:r/>
            <w:r>
              <w:rPr>
                <w:rFonts w:ascii="Calibri" w:hAnsi="Calibri"/>
                <w:color w:val="1A1A1A"/>
                <w:sz w:val="20"/>
              </w:rPr>
              <w:t>Not modelled</w:t>
            </w:r>
          </w:p>
        </w:tc>
        <w:tc>
          <w:tcPr>
            <w:tcW w:type="dxa" w:w="1701"/>
            <w:vAlign w:val="center"/>
          </w:tcPr>
          <w:p>
            <w:pPr>
              <w:jc w:val="right"/>
            </w:pPr>
            <w:r/>
            <w:r>
              <w:rPr>
                <w:rFonts w:ascii="Calibri" w:hAnsi="Calibri"/>
                <w:color w:val="1A1A1A"/>
                <w:sz w:val="20"/>
              </w:rPr>
              <w:t>GAP</w:t>
            </w:r>
          </w:p>
        </w:tc>
      </w:tr>
      <w:tr>
        <w:tc>
          <w:tcPr>
            <w:tcW w:type="dxa" w:w="2551"/>
            <w:vAlign w:val="center"/>
          </w:tcPr>
          <w:p>
            <w:pPr>
              <w:jc w:val="left"/>
            </w:pPr>
            <w:r/>
            <w:r>
              <w:rPr>
                <w:rFonts w:ascii="Calibri" w:hAnsi="Calibri"/>
                <w:color w:val="1A1A1A"/>
                <w:sz w:val="20"/>
              </w:rPr>
              <w:t>Investor retained share</w:t>
            </w:r>
          </w:p>
        </w:tc>
        <w:tc>
          <w:tcPr>
            <w:tcW w:type="dxa" w:w="2551"/>
            <w:vAlign w:val="center"/>
          </w:tcPr>
          <w:p>
            <w:pPr>
              <w:jc w:val="right"/>
            </w:pPr>
            <w:r/>
            <w:r>
              <w:rPr>
                <w:rFonts w:ascii="Calibri" w:hAnsi="Calibri"/>
                <w:color w:val="1A1A1A"/>
                <w:sz w:val="20"/>
              </w:rPr>
              <w:t>~14.2% of gross (residual 17%)</w:t>
            </w:r>
          </w:p>
        </w:tc>
        <w:tc>
          <w:tcPr>
            <w:tcW w:type="dxa" w:w="2551"/>
            <w:vAlign w:val="center"/>
          </w:tcPr>
          <w:p>
            <w:pPr>
              <w:jc w:val="right"/>
            </w:pPr>
            <w:r/>
            <w:r>
              <w:rPr>
                <w:rFonts w:ascii="Calibri" w:hAnsi="Calibri"/>
                <w:color w:val="1A1A1A"/>
                <w:sz w:val="20"/>
              </w:rPr>
              <w:t>Not modelled (project-level only)</w:t>
            </w:r>
          </w:p>
        </w:tc>
        <w:tc>
          <w:tcPr>
            <w:tcW w:type="dxa" w:w="1701"/>
            <w:vAlign w:val="center"/>
          </w:tcPr>
          <w:p>
            <w:pPr>
              <w:jc w:val="right"/>
            </w:pPr>
            <w:r/>
            <w:r>
              <w:rPr>
                <w:rFonts w:ascii="Calibri" w:hAnsi="Calibri"/>
                <w:color w:val="1A1A1A"/>
                <w:sz w:val="20"/>
              </w:rPr>
              <w:t>GAP</w:t>
            </w:r>
          </w:p>
        </w:tc>
      </w:tr>
      <w:tr>
        <w:tc>
          <w:tcPr>
            <w:tcW w:type="dxa" w:w="2551"/>
            <w:vAlign w:val="center"/>
          </w:tcPr>
          <w:p>
            <w:pPr>
              <w:jc w:val="left"/>
            </w:pPr>
            <w:r/>
            <w:r>
              <w:rPr>
                <w:rFonts w:ascii="Calibri" w:hAnsi="Calibri"/>
                <w:color w:val="1A1A1A"/>
                <w:sz w:val="20"/>
              </w:rPr>
              <w:t>10-yr investor retained</w:t>
            </w:r>
          </w:p>
        </w:tc>
        <w:tc>
          <w:tcPr>
            <w:tcW w:type="dxa" w:w="2551"/>
            <w:vAlign w:val="center"/>
          </w:tcPr>
          <w:p>
            <w:pPr>
              <w:jc w:val="right"/>
            </w:pPr>
            <w:r/>
            <w:r>
              <w:rPr>
                <w:rFonts w:ascii="Calibri" w:hAnsi="Calibri"/>
                <w:color w:val="1A1A1A"/>
                <w:sz w:val="20"/>
              </w:rPr>
              <w:t>AED 35.4 M</w:t>
            </w:r>
          </w:p>
        </w:tc>
        <w:tc>
          <w:tcPr>
            <w:tcW w:type="dxa" w:w="2551"/>
            <w:vAlign w:val="center"/>
          </w:tcPr>
          <w:p>
            <w:pPr>
              <w:jc w:val="right"/>
            </w:pPr>
            <w:r/>
            <w:r>
              <w:rPr>
                <w:rFonts w:ascii="Calibri" w:hAnsi="Calibri"/>
                <w:color w:val="1A1A1A"/>
                <w:sz w:val="20"/>
              </w:rPr>
              <w:t>See §10 — restated</w:t>
            </w:r>
          </w:p>
        </w:tc>
        <w:tc>
          <w:tcPr>
            <w:tcW w:type="dxa" w:w="1701"/>
            <w:vAlign w:val="center"/>
          </w:tcPr>
          <w:p>
            <w:pPr>
              <w:jc w:val="right"/>
            </w:pPr>
            <w:r/>
            <w:r>
              <w:rPr>
                <w:rFonts w:ascii="Calibri" w:hAnsi="Calibri"/>
                <w:color w:val="1A1A1A"/>
                <w:sz w:val="20"/>
              </w:rPr>
              <w:t>Needs restatement</w:t>
            </w:r>
          </w:p>
        </w:tc>
      </w:tr>
      <w:tr>
        <w:tc>
          <w:tcPr>
            <w:tcW w:type="dxa" w:w="9354"/>
            <w:gridSpan w:val="4"/>
            <w:shd w:val="clear" w:color="auto" w:fill="EFE2C2"/>
          </w:tcPr>
          <w:p>
            <w:r/>
            <w:r>
              <w:rPr>
                <w:rFonts w:ascii="Calibri" w:hAnsi="Calibri"/>
                <w:b/>
                <w:color w:val="1A1A1A"/>
                <w:sz w:val="20"/>
              </w:rPr>
              <w:t>Returns (project-level, no waterfall)</w:t>
            </w:r>
          </w:p>
        </w:tc>
      </w:tr>
      <w:tr>
        <w:tc>
          <w:tcPr>
            <w:tcW w:type="dxa" w:w="2551"/>
            <w:vAlign w:val="center"/>
          </w:tcPr>
          <w:p>
            <w:pPr>
              <w:jc w:val="left"/>
            </w:pPr>
            <w:r/>
            <w:r>
              <w:rPr>
                <w:rFonts w:ascii="Calibri" w:hAnsi="Calibri"/>
                <w:color w:val="1A1A1A"/>
                <w:sz w:val="20"/>
              </w:rPr>
              <w:t>Simple payback</w:t>
            </w:r>
          </w:p>
        </w:tc>
        <w:tc>
          <w:tcPr>
            <w:tcW w:type="dxa" w:w="2551"/>
            <w:vAlign w:val="center"/>
          </w:tcPr>
          <w:p>
            <w:pPr>
              <w:jc w:val="right"/>
            </w:pPr>
            <w:r/>
            <w:r>
              <w:rPr>
                <w:rFonts w:ascii="Calibri" w:hAnsi="Calibri"/>
                <w:color w:val="1A1A1A"/>
                <w:sz w:val="20"/>
              </w:rPr>
              <w:t>Implied ~6 yrs at investor level</w:t>
            </w:r>
          </w:p>
        </w:tc>
        <w:tc>
          <w:tcPr>
            <w:tcW w:type="dxa" w:w="2551"/>
            <w:vAlign w:val="center"/>
          </w:tcPr>
          <w:p>
            <w:pPr>
              <w:jc w:val="right"/>
            </w:pPr>
            <w:r/>
            <w:r>
              <w:rPr>
                <w:rFonts w:ascii="Calibri" w:hAnsi="Calibri"/>
                <w:color w:val="1A1A1A"/>
                <w:sz w:val="20"/>
              </w:rPr>
              <w:t>~2.1 yrs (v2 project level)</w:t>
            </w:r>
          </w:p>
        </w:tc>
        <w:tc>
          <w:tcPr>
            <w:tcW w:type="dxa" w:w="1701"/>
            <w:vAlign w:val="center"/>
          </w:tcPr>
          <w:p>
            <w:pPr>
              <w:jc w:val="right"/>
            </w:pPr>
            <w:r/>
            <w:r>
              <w:rPr>
                <w:rFonts w:ascii="Calibri" w:hAnsi="Calibri"/>
                <w:color w:val="1A1A1A"/>
                <w:sz w:val="20"/>
              </w:rPr>
              <w:t>Restated higher</w:t>
            </w:r>
          </w:p>
        </w:tc>
      </w:tr>
      <w:tr>
        <w:tc>
          <w:tcPr>
            <w:tcW w:type="dxa" w:w="2551"/>
            <w:vAlign w:val="center"/>
          </w:tcPr>
          <w:p>
            <w:pPr>
              <w:jc w:val="left"/>
            </w:pPr>
            <w:r/>
            <w:r>
              <w:rPr>
                <w:rFonts w:ascii="Calibri" w:hAnsi="Calibri"/>
                <w:color w:val="1A1A1A"/>
                <w:sz w:val="20"/>
              </w:rPr>
              <w:t>10-year NPV @ 8%</w:t>
            </w:r>
          </w:p>
        </w:tc>
        <w:tc>
          <w:tcPr>
            <w:tcW w:type="dxa" w:w="2551"/>
            <w:vAlign w:val="center"/>
          </w:tcPr>
          <w:p>
            <w:pPr>
              <w:jc w:val="right"/>
            </w:pPr>
            <w:r/>
            <w:r>
              <w:rPr>
                <w:rFonts w:ascii="Calibri" w:hAnsi="Calibri"/>
                <w:color w:val="1A1A1A"/>
                <w:sz w:val="20"/>
              </w:rPr>
              <w:t>Not stated</w:t>
            </w:r>
          </w:p>
        </w:tc>
        <w:tc>
          <w:tcPr>
            <w:tcW w:type="dxa" w:w="2551"/>
            <w:vAlign w:val="center"/>
          </w:tcPr>
          <w:p>
            <w:pPr>
              <w:jc w:val="right"/>
            </w:pPr>
            <w:r/>
            <w:r>
              <w:rPr>
                <w:rFonts w:ascii="Calibri" w:hAnsi="Calibri"/>
                <w:color w:val="1A1A1A"/>
                <w:sz w:val="20"/>
              </w:rPr>
              <w:t>AED 51.4 M (v2) / 85 M (blueprint)</w:t>
            </w:r>
          </w:p>
        </w:tc>
        <w:tc>
          <w:tcPr>
            <w:tcW w:type="dxa" w:w="1701"/>
            <w:vAlign w:val="center"/>
          </w:tcPr>
          <w:p>
            <w:pPr>
              <w:jc w:val="right"/>
            </w:pPr>
            <w:r/>
            <w:r>
              <w:rPr>
                <w:rFonts w:ascii="Calibri" w:hAnsi="Calibri"/>
                <w:color w:val="1A1A1A"/>
                <w:sz w:val="20"/>
              </w:rPr>
              <w:t>Project-level only</w:t>
            </w:r>
          </w:p>
        </w:tc>
      </w:tr>
      <w:tr>
        <w:tc>
          <w:tcPr>
            <w:tcW w:type="dxa" w:w="2551"/>
            <w:vAlign w:val="center"/>
          </w:tcPr>
          <w:p>
            <w:pPr>
              <w:jc w:val="left"/>
            </w:pPr>
            <w:r/>
            <w:r>
              <w:rPr>
                <w:rFonts w:ascii="Calibri" w:hAnsi="Calibri"/>
                <w:color w:val="1A1A1A"/>
                <w:sz w:val="20"/>
              </w:rPr>
              <w:t>10-year MOIC</w:t>
            </w:r>
          </w:p>
        </w:tc>
        <w:tc>
          <w:tcPr>
            <w:tcW w:type="dxa" w:w="2551"/>
            <w:vAlign w:val="center"/>
          </w:tcPr>
          <w:p>
            <w:pPr>
              <w:jc w:val="right"/>
            </w:pPr>
            <w:r/>
            <w:r>
              <w:rPr>
                <w:rFonts w:ascii="Calibri" w:hAnsi="Calibri"/>
                <w:color w:val="1A1A1A"/>
                <w:sz w:val="20"/>
              </w:rPr>
              <w:t>Not stated</w:t>
            </w:r>
          </w:p>
        </w:tc>
        <w:tc>
          <w:tcPr>
            <w:tcW w:type="dxa" w:w="2551"/>
            <w:vAlign w:val="center"/>
          </w:tcPr>
          <w:p>
            <w:pPr>
              <w:jc w:val="right"/>
            </w:pPr>
            <w:r/>
            <w:r>
              <w:rPr>
                <w:rFonts w:ascii="Calibri" w:hAnsi="Calibri"/>
                <w:color w:val="1A1A1A"/>
                <w:sz w:val="20"/>
              </w:rPr>
              <w:t>~4.7× (v2) / 5.5× (blueprint)</w:t>
            </w:r>
          </w:p>
        </w:tc>
        <w:tc>
          <w:tcPr>
            <w:tcW w:type="dxa" w:w="1701"/>
            <w:vAlign w:val="center"/>
          </w:tcPr>
          <w:p>
            <w:pPr>
              <w:jc w:val="right"/>
            </w:pPr>
            <w:r/>
            <w:r>
              <w:rPr>
                <w:rFonts w:ascii="Calibri" w:hAnsi="Calibri"/>
                <w:color w:val="1A1A1A"/>
                <w:sz w:val="20"/>
              </w:rPr>
              <w:t>Project-level only</w:t>
            </w:r>
          </w:p>
        </w:tc>
      </w:tr>
    </w:tbl>
    <w:p>
      <w:pPr>
        <w:spacing w:before="360" w:after="160"/>
      </w:pPr>
      <w:r>
        <w:rPr>
          <w:rFonts w:ascii="Calibri" w:hAnsi="Calibri"/>
          <w:b/>
          <w:color w:val="1A1A1A"/>
          <w:sz w:val="40"/>
        </w:rPr>
        <w:t>3. Concept &amp; positioning</w:t>
      </w:r>
    </w:p>
    <w:p>
      <w:pPr>
        <w:spacing w:before="200" w:after="40"/>
      </w:pPr>
      <w:r>
        <w:rPr>
          <w:rFonts w:ascii="Calibri" w:hAnsi="Calibri"/>
          <w:b/>
          <w:color w:val="1A1A1A"/>
          <w:sz w:val="24"/>
        </w:rPr>
        <w:t>Original — Hero proposal</w:t>
      </w:r>
    </w:p>
    <w:p>
      <w:pPr>
        <w:spacing w:after="80"/>
      </w:pPr>
      <w:r>
        <w:rPr>
          <w:rFonts w:ascii="Calibri" w:hAnsi="Calibri"/>
          <w:b w:val="0"/>
          <w:i w:val="0"/>
          <w:color w:val="1A1A1A"/>
          <w:sz w:val="22"/>
        </w:rPr>
        <w:t>"The Abu Dhabi Balloon at Saadiyat" is positioned as a relocation of the proven Dubai Balloon at Atlantis, The Palm. The pitch is built around the existing certified system being ready to redeploy, with Saadiyat Island offering "the next stage" for a proven attraction. The product is a single tethered helium balloon ride to ~300 m for 360° views of Saadiyat's cultural district.</w:t>
      </w:r>
    </w:p>
    <w:p>
      <w:pPr>
        <w:spacing w:before="200" w:after="40"/>
      </w:pPr>
      <w:r>
        <w:rPr>
          <w:rFonts w:ascii="Calibri" w:hAnsi="Calibri"/>
          <w:b/>
          <w:color w:val="1A1A1A"/>
          <w:sz w:val="24"/>
        </w:rPr>
        <w:t>Current — Canvas From The Sky</w:t>
      </w:r>
    </w:p>
    <w:p>
      <w:pPr>
        <w:spacing w:after="80"/>
      </w:pPr>
      <w:r>
        <w:rPr>
          <w:rFonts w:ascii="Calibri" w:hAnsi="Calibri"/>
          <w:b w:val="0"/>
          <w:i w:val="0"/>
          <w:color w:val="1A1A1A"/>
          <w:sz w:val="22"/>
        </w:rPr>
        <w:t>The same balloon hardware is wrapped inside a larger destination concept. A programmable 60 m LED canvas ring is added around the ground platform, turning the attraction into a two-product offer: daytime sightseeing (9am–12pm) and premium night LED shows tied to the three Saadiyat museums (Louvre, Zayed NM, Guggenheim). The balloon is reframed as "the aerial connector of Saadiyat's cultural spine" rather than a standalone ride.</w:t>
      </w:r>
    </w:p>
    <w:p>
      <w:pPr>
        <w:spacing w:before="200" w:after="40"/>
      </w:pPr>
      <w:r>
        <w:rPr>
          <w:rFonts w:ascii="Calibri" w:hAnsi="Calibri"/>
          <w:b/>
          <w:color w:val="1A1A1A"/>
          <w:sz w:val="24"/>
        </w:rPr>
        <w:t>What this means commercially</w:t>
      </w:r>
    </w:p>
    <w:p>
      <w:pPr>
        <w:spacing w:after="80"/>
      </w:pPr>
      <w:r>
        <w:rPr>
          <w:rFonts w:ascii="Calibri" w:hAnsi="Calibri"/>
          <w:b w:val="0"/>
          <w:i w:val="0"/>
          <w:color w:val="1A1A1A"/>
          <w:sz w:val="22"/>
        </w:rPr>
        <w:t>The original sold one product to one audience (daytime tourist sightseeing). The current pitch sells two products to two audiences (day family/tourist + night premium/cultural), with the second audience commanding 2× the ARPU of the first. The LED canvas is the reason a second audience exists. This is the load-bearing change in the entire revision.</w:t>
      </w:r>
    </w:p>
    <w:p>
      <w:pPr>
        <w:spacing w:before="360" w:after="160"/>
      </w:pPr>
      <w:r>
        <w:rPr>
          <w:rFonts w:ascii="Calibri" w:hAnsi="Calibri"/>
          <w:b/>
          <w:color w:val="1A1A1A"/>
          <w:sz w:val="40"/>
        </w:rPr>
        <w:t>4. Experience &amp; operating model</w:t>
      </w:r>
    </w:p>
    <w:p>
      <w:pPr>
        <w:spacing w:before="200" w:after="40"/>
      </w:pPr>
      <w:r>
        <w:rPr>
          <w:rFonts w:ascii="Calibri" w:hAnsi="Calibri"/>
          <w:b/>
          <w:color w:val="1A1A1A"/>
          <w:sz w:val="24"/>
        </w:rPr>
        <w:t>Original cycle math (page 9)</w:t>
      </w:r>
    </w:p>
    <w:p>
      <w:pPr>
        <w:spacing w:after="80"/>
      </w:pPr>
      <w:r>
        <w:rPr>
          <w:rFonts w:ascii="Calibri" w:hAnsi="Calibri"/>
          <w:b w:val="0"/>
          <w:i w:val="0"/>
          <w:color w:val="1A1A1A"/>
          <w:sz w:val="22"/>
        </w:rPr>
        <w:t>The original proposal documents a 10-minute flight cycle allowing 5 flights per hour over a 10-hour operating day, with a 12-guest commercial load.</w:t>
      </w:r>
    </w:p>
    <w:p>
      <w:pPr>
        <w:pStyle w:val="ListBullet"/>
        <w:spacing w:after="40"/>
        <w:ind w:left="283"/>
      </w:pPr>
      <w:r>
        <w:rPr>
          <w:rFonts w:ascii="Calibri" w:hAnsi="Calibri"/>
          <w:color w:val="1A1A1A"/>
          <w:sz w:val="22"/>
        </w:rPr>
        <w:t>5 flights/hr × 10 hrs = 50 flights/day max</w:t>
      </w:r>
    </w:p>
    <w:p>
      <w:pPr>
        <w:pStyle w:val="ListBullet"/>
        <w:spacing w:after="40"/>
        <w:ind w:left="283"/>
      </w:pPr>
      <w:r>
        <w:rPr>
          <w:rFonts w:ascii="Calibri" w:hAnsi="Calibri"/>
          <w:color w:val="1A1A1A"/>
          <w:sz w:val="22"/>
        </w:rPr>
        <w:t>50 × 12 pax = 600 guests/day max</w:t>
      </w:r>
    </w:p>
    <w:p>
      <w:pPr>
        <w:pStyle w:val="ListBullet"/>
        <w:spacing w:after="40"/>
        <w:ind w:left="283"/>
      </w:pPr>
      <w:r>
        <w:rPr>
          <w:rFonts w:ascii="Calibri" w:hAnsi="Calibri"/>
          <w:color w:val="1A1A1A"/>
          <w:sz w:val="22"/>
        </w:rPr>
        <w:t>600 × 0.85 (weather) × 0.70 (load) = 357 guests/day</w:t>
      </w:r>
    </w:p>
    <w:p>
      <w:pPr>
        <w:pStyle w:val="ListBullet"/>
        <w:spacing w:after="40"/>
        <w:ind w:left="283"/>
      </w:pPr>
      <w:r>
        <w:rPr>
          <w:rFonts w:ascii="Calibri" w:hAnsi="Calibri"/>
          <w:color w:val="1A1A1A"/>
          <w:sz w:val="22"/>
        </w:rPr>
        <w:t>357 × 365 days = 128,520 guests/year</w:t>
      </w:r>
    </w:p>
    <w:p>
      <w:pPr>
        <w:spacing w:before="160" w:after="40"/>
      </w:pPr>
      <w:r>
        <w:rPr>
          <w:rFonts w:ascii="Calibri" w:hAnsi="Calibri"/>
          <w:b/>
          <w:color w:val="B02A2A"/>
          <w:sz w:val="22"/>
        </w:rPr>
        <w:t>⚠ The original's 10-minute cycle is mathematically impossible at 300 m.</w:t>
      </w:r>
    </w:p>
    <w:p>
      <w:pPr>
        <w:spacing w:after="120"/>
      </w:pPr>
      <w:r>
        <w:rPr>
          <w:rFonts w:ascii="Calibri" w:hAnsi="Calibri"/>
          <w:b w:val="0"/>
          <w:i w:val="0"/>
          <w:color w:val="1A1A1A"/>
          <w:sz w:val="20"/>
        </w:rPr>
        <w:t>At the documented balloon speeds (50 m/min ascent, 40 m/min descent), vertical motion alone consumes 13.5 minutes round-trip at 300 m. A 10-minute cycle inclusive of boarding, peak hold, and deboarding cannot physically exist. The realistic cycle at 300 m is ~30 minutes (2 flights/hr), as the current pitch uses. The original's headline AED 24.7 M revenue therefore rests on a cycle assumption that is overstated by 2.5×.</w:t>
      </w:r>
    </w:p>
    <w:p>
      <w:pPr>
        <w:spacing w:before="200" w:after="40"/>
      </w:pPr>
      <w:r>
        <w:rPr>
          <w:rFonts w:ascii="Calibri" w:hAnsi="Calibri"/>
          <w:b/>
          <w:color w:val="1A1A1A"/>
          <w:sz w:val="24"/>
        </w:rPr>
        <w:t>Current cycle math (v2 memo)</w:t>
      </w:r>
    </w:p>
    <w:p>
      <w:pPr>
        <w:spacing w:after="80"/>
      </w:pPr>
      <w:r>
        <w:rPr>
          <w:rFonts w:ascii="Calibri" w:hAnsi="Calibri"/>
          <w:b w:val="0"/>
          <w:i w:val="0"/>
          <w:color w:val="1A1A1A"/>
          <w:sz w:val="22"/>
        </w:rPr>
        <w:t>The current pitch uses two cycle definitions, one per product:</w:t>
      </w:r>
    </w:p>
    <w:p>
      <w:pPr>
        <w:pStyle w:val="ListBullet"/>
        <w:spacing w:after="40"/>
        <w:ind w:left="283"/>
      </w:pPr>
      <w:r>
        <w:rPr>
          <w:rFonts w:ascii="Calibri" w:hAnsi="Calibri"/>
          <w:color w:val="1A1A1A"/>
          <w:sz w:val="22"/>
        </w:rPr>
        <w:t>Day: 30 min cycle × 6 rides over 9am–12pm = 6 day flights</w:t>
      </w:r>
    </w:p>
    <w:p>
      <w:pPr>
        <w:pStyle w:val="ListBullet"/>
        <w:spacing w:after="40"/>
        <w:ind w:left="283"/>
      </w:pPr>
      <w:r>
        <w:rPr>
          <w:rFonts w:ascii="Calibri" w:hAnsi="Calibri"/>
          <w:color w:val="1A1A1A"/>
          <w:sz w:val="22"/>
        </w:rPr>
        <w:t>Night: 20 min batch cycle × 16 batches over sundown–midnight (feasible because peak altitude is 150 m, not 300 m)</w:t>
      </w:r>
    </w:p>
    <w:p>
      <w:pPr>
        <w:spacing w:after="80"/>
      </w:pPr>
      <w:r>
        <w:rPr>
          <w:rFonts w:ascii="Calibri" w:hAnsi="Calibri"/>
          <w:b w:val="0"/>
          <w:i w:val="0"/>
          <w:color w:val="1A1A1A"/>
          <w:sz w:val="22"/>
        </w:rPr>
        <w:t>The 20-minute night batch is only feasible because the marketed peak altitude was reduced from 300 m to 150 m. At 150 m, vertical motion is 6.75 minutes round-trip — enough headroom for a 7.5-minute main show at 25 m show altitude plus boarding turnover.</w:t>
      </w:r>
    </w:p>
    <w:p>
      <w:pPr>
        <w:spacing w:before="200" w:after="40"/>
      </w:pPr>
      <w:r>
        <w:rPr>
          <w:rFonts w:ascii="Calibri" w:hAnsi="Calibri"/>
          <w:b/>
          <w:color w:val="1A1A1A"/>
          <w:sz w:val="24"/>
        </w:rPr>
        <w:t>Gondola loading — the silent shift</w:t>
      </w:r>
    </w:p>
    <w:p>
      <w:pPr>
        <w:spacing w:after="80"/>
      </w:pPr>
      <w:r>
        <w:rPr>
          <w:rFonts w:ascii="Calibri" w:hAnsi="Calibri"/>
          <w:b w:val="0"/>
          <w:i w:val="0"/>
          <w:color w:val="1A1A1A"/>
          <w:sz w:val="22"/>
        </w:rPr>
        <w:t>The most consequential operating-model change is the commercial loading assumption. The original page-6 spec sheet says 30 passengers; the original page-9 revenue model assumes 12. The current pitch uses 25 (v2 memo) or 30 (blueprint). This is a 2–2.5× increase in per-flight loading vs. the original's commercial assumption.</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118"/>
            <w:shd w:val="clear" w:color="auto" w:fill="F1E9D2"/>
            <w:vAlign w:val="center"/>
          </w:tcPr>
          <w:p>
            <w:r/>
            <w:r>
              <w:rPr>
                <w:rFonts w:ascii="Calibri" w:hAnsi="Calibri"/>
                <w:b/>
                <w:color w:val="1A1A1A"/>
                <w:sz w:val="20"/>
              </w:rPr>
              <w:t>Loading assumption</w:t>
            </w:r>
          </w:p>
        </w:tc>
        <w:tc>
          <w:tcPr>
            <w:tcW w:type="dxa" w:w="1417"/>
            <w:shd w:val="clear" w:color="auto" w:fill="F1E9D2"/>
            <w:vAlign w:val="center"/>
          </w:tcPr>
          <w:p>
            <w:r/>
            <w:r>
              <w:rPr>
                <w:rFonts w:ascii="Calibri" w:hAnsi="Calibri"/>
                <w:b/>
                <w:color w:val="1A1A1A"/>
                <w:sz w:val="20"/>
              </w:rPr>
              <w:t>Per flight</w:t>
            </w:r>
          </w:p>
        </w:tc>
        <w:tc>
          <w:tcPr>
            <w:tcW w:type="dxa" w:w="1701"/>
            <w:shd w:val="clear" w:color="auto" w:fill="F1E9D2"/>
            <w:vAlign w:val="center"/>
          </w:tcPr>
          <w:p>
            <w:r/>
            <w:r>
              <w:rPr>
                <w:rFonts w:ascii="Calibri" w:hAnsi="Calibri"/>
                <w:b/>
                <w:color w:val="1A1A1A"/>
                <w:sz w:val="20"/>
              </w:rPr>
              <w:t>Vs. envelope spec</w:t>
            </w:r>
          </w:p>
        </w:tc>
        <w:tc>
          <w:tcPr>
            <w:tcW w:type="dxa" w:w="2835"/>
            <w:shd w:val="clear" w:color="auto" w:fill="F1E9D2"/>
            <w:vAlign w:val="center"/>
          </w:tcPr>
          <w:p>
            <w:r/>
            <w:r>
              <w:rPr>
                <w:rFonts w:ascii="Calibri" w:hAnsi="Calibri"/>
                <w:b/>
                <w:color w:val="1A1A1A"/>
                <w:sz w:val="20"/>
              </w:rPr>
              <w:t>Implied effective occupancy</w:t>
            </w:r>
          </w:p>
        </w:tc>
      </w:tr>
      <w:tr>
        <w:tc>
          <w:tcPr>
            <w:tcW w:type="dxa" w:w="3118"/>
            <w:vAlign w:val="center"/>
          </w:tcPr>
          <w:p>
            <w:pPr>
              <w:jc w:val="left"/>
            </w:pPr>
            <w:r/>
            <w:r>
              <w:rPr>
                <w:rFonts w:ascii="Calibri" w:hAnsi="Calibri"/>
                <w:color w:val="1A1A1A"/>
                <w:sz w:val="20"/>
              </w:rPr>
              <w:t>Original envelope spec</w:t>
            </w:r>
          </w:p>
        </w:tc>
        <w:tc>
          <w:tcPr>
            <w:tcW w:type="dxa" w:w="1417"/>
            <w:vAlign w:val="center"/>
          </w:tcPr>
          <w:p>
            <w:pPr>
              <w:jc w:val="right"/>
            </w:pPr>
            <w:r/>
            <w:r>
              <w:rPr>
                <w:rFonts w:ascii="Calibri" w:hAnsi="Calibri"/>
                <w:color w:val="1A1A1A"/>
                <w:sz w:val="20"/>
              </w:rPr>
              <w:t>30</w:t>
            </w:r>
          </w:p>
        </w:tc>
        <w:tc>
          <w:tcPr>
            <w:tcW w:type="dxa" w:w="1701"/>
            <w:vAlign w:val="center"/>
          </w:tcPr>
          <w:p>
            <w:pPr>
              <w:jc w:val="right"/>
            </w:pPr>
            <w:r/>
            <w:r>
              <w:rPr>
                <w:rFonts w:ascii="Calibri" w:hAnsi="Calibri"/>
                <w:color w:val="1A1A1A"/>
                <w:sz w:val="20"/>
              </w:rPr>
              <w:t>100%</w:t>
            </w:r>
          </w:p>
        </w:tc>
        <w:tc>
          <w:tcPr>
            <w:tcW w:type="dxa" w:w="2835"/>
            <w:vAlign w:val="center"/>
          </w:tcPr>
          <w:p>
            <w:pPr>
              <w:jc w:val="right"/>
            </w:pPr>
            <w:r/>
            <w:r>
              <w:rPr>
                <w:rFonts w:ascii="Calibri" w:hAnsi="Calibri"/>
                <w:color w:val="1A1A1A"/>
                <w:sz w:val="20"/>
              </w:rPr>
              <w:t>—</w:t>
            </w:r>
          </w:p>
        </w:tc>
      </w:tr>
      <w:tr>
        <w:tc>
          <w:tcPr>
            <w:tcW w:type="dxa" w:w="3118"/>
            <w:vAlign w:val="center"/>
          </w:tcPr>
          <w:p>
            <w:pPr>
              <w:jc w:val="left"/>
            </w:pPr>
            <w:r/>
            <w:r>
              <w:rPr>
                <w:rFonts w:ascii="Calibri" w:hAnsi="Calibri"/>
                <w:color w:val="1A1A1A"/>
                <w:sz w:val="20"/>
              </w:rPr>
              <w:t>Original revenue model (page 9)</w:t>
            </w:r>
          </w:p>
        </w:tc>
        <w:tc>
          <w:tcPr>
            <w:tcW w:type="dxa" w:w="1417"/>
            <w:vAlign w:val="center"/>
          </w:tcPr>
          <w:p>
            <w:pPr>
              <w:jc w:val="right"/>
            </w:pPr>
            <w:r/>
            <w:r>
              <w:rPr>
                <w:rFonts w:ascii="Calibri" w:hAnsi="Calibri"/>
                <w:color w:val="1A1A1A"/>
                <w:sz w:val="20"/>
              </w:rPr>
              <w:t>12</w:t>
            </w:r>
          </w:p>
        </w:tc>
        <w:tc>
          <w:tcPr>
            <w:tcW w:type="dxa" w:w="1701"/>
            <w:vAlign w:val="center"/>
          </w:tcPr>
          <w:p>
            <w:pPr>
              <w:jc w:val="right"/>
            </w:pPr>
            <w:r/>
            <w:r>
              <w:rPr>
                <w:rFonts w:ascii="Calibri" w:hAnsi="Calibri"/>
                <w:color w:val="1A1A1A"/>
                <w:sz w:val="20"/>
              </w:rPr>
              <w:t>40%</w:t>
            </w:r>
          </w:p>
        </w:tc>
        <w:tc>
          <w:tcPr>
            <w:tcW w:type="dxa" w:w="2835"/>
            <w:vAlign w:val="center"/>
          </w:tcPr>
          <w:p>
            <w:pPr>
              <w:jc w:val="right"/>
            </w:pPr>
            <w:r/>
            <w:r>
              <w:rPr>
                <w:rFonts w:ascii="Calibri" w:hAnsi="Calibri"/>
                <w:color w:val="1A1A1A"/>
                <w:sz w:val="20"/>
              </w:rPr>
              <w:t>12 × 0.70 = 8.4 pax/flight = 28% of envelope</w:t>
            </w:r>
          </w:p>
        </w:tc>
      </w:tr>
      <w:tr>
        <w:tc>
          <w:tcPr>
            <w:tcW w:type="dxa" w:w="3118"/>
            <w:vAlign w:val="center"/>
          </w:tcPr>
          <w:p>
            <w:pPr>
              <w:jc w:val="left"/>
            </w:pPr>
            <w:r/>
            <w:r>
              <w:rPr>
                <w:rFonts w:ascii="Calibri" w:hAnsi="Calibri"/>
                <w:color w:val="1A1A1A"/>
                <w:sz w:val="20"/>
              </w:rPr>
              <w:t>Current blueprint</w:t>
            </w:r>
          </w:p>
        </w:tc>
        <w:tc>
          <w:tcPr>
            <w:tcW w:type="dxa" w:w="1417"/>
            <w:vAlign w:val="center"/>
          </w:tcPr>
          <w:p>
            <w:pPr>
              <w:jc w:val="right"/>
            </w:pPr>
            <w:r/>
            <w:r>
              <w:rPr>
                <w:rFonts w:ascii="Calibri" w:hAnsi="Calibri"/>
                <w:color w:val="1A1A1A"/>
                <w:sz w:val="20"/>
              </w:rPr>
              <w:t>30</w:t>
            </w:r>
          </w:p>
        </w:tc>
        <w:tc>
          <w:tcPr>
            <w:tcW w:type="dxa" w:w="1701"/>
            <w:vAlign w:val="center"/>
          </w:tcPr>
          <w:p>
            <w:pPr>
              <w:jc w:val="right"/>
            </w:pPr>
            <w:r/>
            <w:r>
              <w:rPr>
                <w:rFonts w:ascii="Calibri" w:hAnsi="Calibri"/>
                <w:color w:val="1A1A1A"/>
                <w:sz w:val="20"/>
              </w:rPr>
              <w:t>100%</w:t>
            </w:r>
          </w:p>
        </w:tc>
        <w:tc>
          <w:tcPr>
            <w:tcW w:type="dxa" w:w="2835"/>
            <w:vAlign w:val="center"/>
          </w:tcPr>
          <w:p>
            <w:pPr>
              <w:jc w:val="right"/>
            </w:pPr>
            <w:r/>
            <w:r>
              <w:rPr>
                <w:rFonts w:ascii="Calibri" w:hAnsi="Calibri"/>
                <w:color w:val="1A1A1A"/>
                <w:sz w:val="20"/>
              </w:rPr>
              <w:t>30 × 0.70 = 21 pax/flight = 70% of envelope</w:t>
            </w:r>
          </w:p>
        </w:tc>
      </w:tr>
      <w:tr>
        <w:tc>
          <w:tcPr>
            <w:tcW w:type="dxa" w:w="3118"/>
            <w:vAlign w:val="center"/>
          </w:tcPr>
          <w:p>
            <w:pPr>
              <w:jc w:val="left"/>
            </w:pPr>
            <w:r/>
            <w:r>
              <w:rPr>
                <w:rFonts w:ascii="Calibri" w:hAnsi="Calibri"/>
                <w:color w:val="1A1A1A"/>
                <w:sz w:val="20"/>
              </w:rPr>
              <w:t>Current v2 memo</w:t>
            </w:r>
          </w:p>
        </w:tc>
        <w:tc>
          <w:tcPr>
            <w:tcW w:type="dxa" w:w="1417"/>
            <w:vAlign w:val="center"/>
          </w:tcPr>
          <w:p>
            <w:pPr>
              <w:jc w:val="right"/>
            </w:pPr>
            <w:r/>
            <w:r>
              <w:rPr>
                <w:rFonts w:ascii="Calibri" w:hAnsi="Calibri"/>
                <w:color w:val="1A1A1A"/>
                <w:sz w:val="20"/>
              </w:rPr>
              <w:t>25</w:t>
            </w:r>
          </w:p>
        </w:tc>
        <w:tc>
          <w:tcPr>
            <w:tcW w:type="dxa" w:w="1701"/>
            <w:vAlign w:val="center"/>
          </w:tcPr>
          <w:p>
            <w:pPr>
              <w:jc w:val="right"/>
            </w:pPr>
            <w:r/>
            <w:r>
              <w:rPr>
                <w:rFonts w:ascii="Calibri" w:hAnsi="Calibri"/>
                <w:color w:val="1A1A1A"/>
                <w:sz w:val="20"/>
              </w:rPr>
              <w:t>83%</w:t>
            </w:r>
          </w:p>
        </w:tc>
        <w:tc>
          <w:tcPr>
            <w:tcW w:type="dxa" w:w="2835"/>
            <w:vAlign w:val="center"/>
          </w:tcPr>
          <w:p>
            <w:pPr>
              <w:jc w:val="right"/>
            </w:pPr>
            <w:r/>
            <w:r>
              <w:rPr>
                <w:rFonts w:ascii="Calibri" w:hAnsi="Calibri"/>
                <w:color w:val="1A1A1A"/>
                <w:sz w:val="20"/>
              </w:rPr>
              <w:t>25 × 0.58 = 14.5 pax/flight = 48% of envelope</w:t>
            </w:r>
          </w:p>
        </w:tc>
      </w:tr>
    </w:tbl>
    <w:p>
      <w:pPr>
        <w:spacing w:after="80"/>
      </w:pPr>
      <w:r>
        <w:rPr>
          <w:rFonts w:ascii="Calibri" w:hAnsi="Calibri"/>
          <w:b w:val="0"/>
          <w:i/>
          <w:color w:val="555555"/>
          <w:sz w:val="20"/>
        </w:rPr>
        <w:t>The likely rationale for the original's 12-guest assumption is real-world Dubai Balloon operating averages — Hero has 250,000+ safe flights of historical data. A 30-pax envelope averaging 12 pax/flight is a ~40% effective load baked into the loading line. The current pitch raises this on the thesis that the LED canvas + night product + museum ecosystem will drive demand uplift. A defensible framing for investors is: same gondola, same safety envelope; loading uplift is a demand-side claim attributable to the LED canvas, not a hardware change.</w:t>
      </w:r>
    </w:p>
    <w:p>
      <w:pPr>
        <w:spacing w:before="360" w:after="160"/>
      </w:pPr>
      <w:r>
        <w:rPr>
          <w:rFonts w:ascii="Calibri" w:hAnsi="Calibri"/>
          <w:b/>
          <w:color w:val="1A1A1A"/>
          <w:sz w:val="40"/>
        </w:rPr>
        <w:t>5. Daytime revenue — apples-to-apples</w:t>
      </w:r>
    </w:p>
    <w:p>
      <w:pPr>
        <w:spacing w:after="80"/>
      </w:pPr>
      <w:r>
        <w:rPr>
          <w:rFonts w:ascii="Calibri" w:hAnsi="Calibri"/>
          <w:b w:val="0"/>
          <w:i w:val="0"/>
          <w:color w:val="1A1A1A"/>
          <w:sz w:val="22"/>
        </w:rPr>
        <w:t>If both models ran daytime sightseeing only on equal hours and equal realistic cycle assumptions, the revenue comparison is as follows.</w:t>
      </w:r>
    </w:p>
    <w:p>
      <w:pPr>
        <w:spacing w:before="200" w:after="40"/>
      </w:pPr>
      <w:r>
        <w:rPr>
          <w:rFonts w:ascii="Calibri" w:hAnsi="Calibri"/>
          <w:b/>
          <w:color w:val="1A1A1A"/>
          <w:sz w:val="24"/>
        </w:rPr>
        <w:t>Scenario A — accept original's 10-min cycle (50 flights/day)</w:t>
      </w:r>
    </w:p>
    <w:tbl>
      <w:tblPr>
        <w:tblStyle w:val="LightGrid-Accent1"/>
        <w:tblW w:type="auto" w:w="0"/>
        <w:tblLayout w:type="fixed"/>
        <w:tblLook w:firstColumn="1" w:firstRow="1" w:lastColumn="0" w:lastRow="0" w:noHBand="0" w:noVBand="1" w:val="04A0"/>
      </w:tblPr>
      <w:tblGrid>
        <w:gridCol w:w="1425"/>
        <w:gridCol w:w="1425"/>
        <w:gridCol w:w="1425"/>
        <w:gridCol w:w="1425"/>
        <w:gridCol w:w="1425"/>
        <w:gridCol w:w="1425"/>
        <w:gridCol w:w="1425"/>
      </w:tblGrid>
      <w:tr>
        <w:tc>
          <w:tcPr>
            <w:tcW w:type="dxa" w:w="2268"/>
            <w:shd w:val="clear" w:color="auto" w:fill="F1E9D2"/>
            <w:vAlign w:val="center"/>
          </w:tcPr>
          <w:p>
            <w:r/>
            <w:r>
              <w:rPr>
                <w:rFonts w:ascii="Calibri" w:hAnsi="Calibri"/>
                <w:b/>
                <w:color w:val="1A1A1A"/>
                <w:sz w:val="20"/>
              </w:rPr>
              <w:t>Model</w:t>
            </w:r>
          </w:p>
        </w:tc>
        <w:tc>
          <w:tcPr>
            <w:tcW w:type="dxa" w:w="1134"/>
            <w:shd w:val="clear" w:color="auto" w:fill="F1E9D2"/>
            <w:vAlign w:val="center"/>
          </w:tcPr>
          <w:p>
            <w:r/>
            <w:r>
              <w:rPr>
                <w:rFonts w:ascii="Calibri" w:hAnsi="Calibri"/>
                <w:b/>
                <w:color w:val="1A1A1A"/>
                <w:sz w:val="20"/>
              </w:rPr>
              <w:t>Flights/day</w:t>
            </w:r>
          </w:p>
        </w:tc>
        <w:tc>
          <w:tcPr>
            <w:tcW w:type="dxa" w:w="1134"/>
            <w:shd w:val="clear" w:color="auto" w:fill="F1E9D2"/>
            <w:vAlign w:val="center"/>
          </w:tcPr>
          <w:p>
            <w:r/>
            <w:r>
              <w:rPr>
                <w:rFonts w:ascii="Calibri" w:hAnsi="Calibri"/>
                <w:b/>
                <w:color w:val="1A1A1A"/>
                <w:sz w:val="20"/>
              </w:rPr>
              <w:t>Pax/flight</w:t>
            </w:r>
          </w:p>
        </w:tc>
        <w:tc>
          <w:tcPr>
            <w:tcW w:type="dxa" w:w="1417"/>
            <w:shd w:val="clear" w:color="auto" w:fill="F1E9D2"/>
            <w:vAlign w:val="center"/>
          </w:tcPr>
          <w:p>
            <w:r/>
            <w:r>
              <w:rPr>
                <w:rFonts w:ascii="Calibri" w:hAnsi="Calibri"/>
                <w:b/>
                <w:color w:val="1A1A1A"/>
                <w:sz w:val="20"/>
              </w:rPr>
              <w:t>Effective load</w:t>
            </w:r>
          </w:p>
        </w:tc>
        <w:tc>
          <w:tcPr>
            <w:tcW w:type="dxa" w:w="1134"/>
            <w:shd w:val="clear" w:color="auto" w:fill="F1E9D2"/>
            <w:vAlign w:val="center"/>
          </w:tcPr>
          <w:p>
            <w:r/>
            <w:r>
              <w:rPr>
                <w:rFonts w:ascii="Calibri" w:hAnsi="Calibri"/>
                <w:b/>
                <w:color w:val="1A1A1A"/>
                <w:sz w:val="20"/>
              </w:rPr>
              <w:t>ARPU</w:t>
            </w:r>
          </w:p>
        </w:tc>
        <w:tc>
          <w:tcPr>
            <w:tcW w:type="dxa" w:w="850"/>
            <w:shd w:val="clear" w:color="auto" w:fill="F1E9D2"/>
            <w:vAlign w:val="center"/>
          </w:tcPr>
          <w:p>
            <w:r/>
            <w:r>
              <w:rPr>
                <w:rFonts w:ascii="Calibri" w:hAnsi="Calibri"/>
                <w:b/>
                <w:color w:val="1A1A1A"/>
                <w:sz w:val="20"/>
              </w:rPr>
              <w:t>Op days</w:t>
            </w:r>
          </w:p>
        </w:tc>
        <w:tc>
          <w:tcPr>
            <w:tcW w:type="dxa" w:w="1417"/>
            <w:shd w:val="clear" w:color="auto" w:fill="F1E9D2"/>
            <w:vAlign w:val="center"/>
          </w:tcPr>
          <w:p>
            <w:r/>
            <w:r>
              <w:rPr>
                <w:rFonts w:ascii="Calibri" w:hAnsi="Calibri"/>
                <w:b/>
                <w:color w:val="1A1A1A"/>
                <w:sz w:val="20"/>
              </w:rPr>
              <w:t>Annual revenue</w:t>
            </w:r>
          </w:p>
        </w:tc>
      </w:tr>
      <w:tr>
        <w:tc>
          <w:tcPr>
            <w:tcW w:type="dxa" w:w="2268"/>
            <w:vAlign w:val="center"/>
          </w:tcPr>
          <w:p>
            <w:pPr>
              <w:jc w:val="left"/>
            </w:pPr>
            <w:r/>
            <w:r>
              <w:rPr>
                <w:rFonts w:ascii="Calibri" w:hAnsi="Calibri"/>
                <w:color w:val="1A1A1A"/>
                <w:sz w:val="20"/>
              </w:rPr>
              <w:t>Original (page 9)</w:t>
            </w:r>
          </w:p>
        </w:tc>
        <w:tc>
          <w:tcPr>
            <w:tcW w:type="dxa" w:w="1134"/>
            <w:vAlign w:val="center"/>
          </w:tcPr>
          <w:p>
            <w:pPr>
              <w:jc w:val="right"/>
            </w:pPr>
            <w:r/>
            <w:r>
              <w:rPr>
                <w:rFonts w:ascii="Calibri" w:hAnsi="Calibri"/>
                <w:color w:val="1A1A1A"/>
                <w:sz w:val="20"/>
              </w:rPr>
              <w:t>50</w:t>
            </w:r>
          </w:p>
        </w:tc>
        <w:tc>
          <w:tcPr>
            <w:tcW w:type="dxa" w:w="1134"/>
            <w:vAlign w:val="center"/>
          </w:tcPr>
          <w:p>
            <w:pPr>
              <w:jc w:val="right"/>
            </w:pPr>
            <w:r/>
            <w:r>
              <w:rPr>
                <w:rFonts w:ascii="Calibri" w:hAnsi="Calibri"/>
                <w:color w:val="1A1A1A"/>
                <w:sz w:val="20"/>
              </w:rPr>
              <w:t>12</w:t>
            </w:r>
          </w:p>
        </w:tc>
        <w:tc>
          <w:tcPr>
            <w:tcW w:type="dxa" w:w="1417"/>
            <w:vAlign w:val="center"/>
          </w:tcPr>
          <w:p>
            <w:pPr>
              <w:jc w:val="right"/>
            </w:pPr>
            <w:r/>
            <w:r>
              <w:rPr>
                <w:rFonts w:ascii="Calibri" w:hAnsi="Calibri"/>
                <w:color w:val="1A1A1A"/>
                <w:sz w:val="20"/>
              </w:rPr>
              <w:t>0.85 × 0.70</w:t>
            </w:r>
          </w:p>
        </w:tc>
        <w:tc>
          <w:tcPr>
            <w:tcW w:type="dxa" w:w="1134"/>
            <w:vAlign w:val="center"/>
          </w:tcPr>
          <w:p>
            <w:pPr>
              <w:jc w:val="right"/>
            </w:pPr>
            <w:r/>
            <w:r>
              <w:rPr>
                <w:rFonts w:ascii="Calibri" w:hAnsi="Calibri"/>
                <w:color w:val="1A1A1A"/>
                <w:sz w:val="20"/>
              </w:rPr>
              <w:t>AED 192</w:t>
            </w:r>
          </w:p>
        </w:tc>
        <w:tc>
          <w:tcPr>
            <w:tcW w:type="dxa" w:w="850"/>
            <w:vAlign w:val="center"/>
          </w:tcPr>
          <w:p>
            <w:pPr>
              <w:jc w:val="right"/>
            </w:pPr>
            <w:r/>
            <w:r>
              <w:rPr>
                <w:rFonts w:ascii="Calibri" w:hAnsi="Calibri"/>
                <w:color w:val="1A1A1A"/>
                <w:sz w:val="20"/>
              </w:rPr>
              <w:t>365</w:t>
            </w:r>
          </w:p>
        </w:tc>
        <w:tc>
          <w:tcPr>
            <w:tcW w:type="dxa" w:w="1417"/>
            <w:vAlign w:val="center"/>
          </w:tcPr>
          <w:p>
            <w:pPr>
              <w:jc w:val="right"/>
            </w:pPr>
            <w:r/>
            <w:r>
              <w:rPr>
                <w:rFonts w:ascii="Calibri" w:hAnsi="Calibri"/>
                <w:color w:val="1A1A1A"/>
                <w:sz w:val="20"/>
              </w:rPr>
              <w:t>AED 25.1 M</w:t>
            </w:r>
          </w:p>
        </w:tc>
      </w:tr>
      <w:tr>
        <w:tc>
          <w:tcPr>
            <w:tcW w:type="dxa" w:w="2268"/>
            <w:vAlign w:val="center"/>
          </w:tcPr>
          <w:p>
            <w:pPr>
              <w:jc w:val="left"/>
            </w:pPr>
            <w:r/>
            <w:r>
              <w:rPr>
                <w:rFonts w:ascii="Calibri" w:hAnsi="Calibri"/>
                <w:color w:val="1A1A1A"/>
                <w:sz w:val="20"/>
              </w:rPr>
              <w:t>Current, same cadence</w:t>
            </w:r>
          </w:p>
        </w:tc>
        <w:tc>
          <w:tcPr>
            <w:tcW w:type="dxa" w:w="1134"/>
            <w:vAlign w:val="center"/>
          </w:tcPr>
          <w:p>
            <w:pPr>
              <w:jc w:val="right"/>
            </w:pPr>
            <w:r/>
            <w:r>
              <w:rPr>
                <w:rFonts w:ascii="Calibri" w:hAnsi="Calibri"/>
                <w:color w:val="1A1A1A"/>
                <w:sz w:val="20"/>
              </w:rPr>
              <w:t>50</w:t>
            </w:r>
          </w:p>
        </w:tc>
        <w:tc>
          <w:tcPr>
            <w:tcW w:type="dxa" w:w="1134"/>
            <w:vAlign w:val="center"/>
          </w:tcPr>
          <w:p>
            <w:pPr>
              <w:jc w:val="right"/>
            </w:pPr>
            <w:r/>
            <w:r>
              <w:rPr>
                <w:rFonts w:ascii="Calibri" w:hAnsi="Calibri"/>
                <w:color w:val="1A1A1A"/>
                <w:sz w:val="20"/>
              </w:rPr>
              <w:t>25</w:t>
            </w:r>
          </w:p>
        </w:tc>
        <w:tc>
          <w:tcPr>
            <w:tcW w:type="dxa" w:w="1417"/>
            <w:vAlign w:val="center"/>
          </w:tcPr>
          <w:p>
            <w:pPr>
              <w:jc w:val="right"/>
            </w:pPr>
            <w:r/>
            <w:r>
              <w:rPr>
                <w:rFonts w:ascii="Calibri" w:hAnsi="Calibri"/>
                <w:color w:val="1A1A1A"/>
                <w:sz w:val="20"/>
              </w:rPr>
              <w:t>0.58</w:t>
            </w:r>
          </w:p>
        </w:tc>
        <w:tc>
          <w:tcPr>
            <w:tcW w:type="dxa" w:w="1134"/>
            <w:vAlign w:val="center"/>
          </w:tcPr>
          <w:p>
            <w:pPr>
              <w:jc w:val="right"/>
            </w:pPr>
            <w:r/>
            <w:r>
              <w:rPr>
                <w:rFonts w:ascii="Calibri" w:hAnsi="Calibri"/>
                <w:color w:val="1A1A1A"/>
                <w:sz w:val="20"/>
              </w:rPr>
              <w:t>AED 170</w:t>
            </w:r>
          </w:p>
        </w:tc>
        <w:tc>
          <w:tcPr>
            <w:tcW w:type="dxa" w:w="850"/>
            <w:vAlign w:val="center"/>
          </w:tcPr>
          <w:p>
            <w:pPr>
              <w:jc w:val="right"/>
            </w:pPr>
            <w:r/>
            <w:r>
              <w:rPr>
                <w:rFonts w:ascii="Calibri" w:hAnsi="Calibri"/>
                <w:color w:val="1A1A1A"/>
                <w:sz w:val="20"/>
              </w:rPr>
              <w:t>250</w:t>
            </w:r>
          </w:p>
        </w:tc>
        <w:tc>
          <w:tcPr>
            <w:tcW w:type="dxa" w:w="1417"/>
            <w:vAlign w:val="center"/>
          </w:tcPr>
          <w:p>
            <w:pPr>
              <w:jc w:val="right"/>
            </w:pPr>
            <w:r/>
            <w:r>
              <w:rPr>
                <w:rFonts w:ascii="Calibri" w:hAnsi="Calibri"/>
                <w:color w:val="1A1A1A"/>
                <w:sz w:val="20"/>
              </w:rPr>
              <w:t>AED 30.8 M</w:t>
            </w:r>
          </w:p>
        </w:tc>
      </w:tr>
    </w:tbl>
    <w:p>
      <w:pPr>
        <w:spacing w:before="200" w:after="40"/>
      </w:pPr>
      <w:r>
        <w:rPr>
          <w:rFonts w:ascii="Calibri" w:hAnsi="Calibri"/>
          <w:b/>
          <w:color w:val="1A1A1A"/>
          <w:sz w:val="24"/>
        </w:rPr>
        <w:t>Scenario B — realistic 30-min cycle at 300 m (20 flights/day)</w:t>
      </w:r>
    </w:p>
    <w:tbl>
      <w:tblPr>
        <w:tblStyle w:val="LightGrid-Accent1"/>
        <w:tblW w:type="auto" w:w="0"/>
        <w:tblLayout w:type="fixed"/>
        <w:tblLook w:firstColumn="1" w:firstRow="1" w:lastColumn="0" w:lastRow="0" w:noHBand="0" w:noVBand="1" w:val="04A0"/>
      </w:tblPr>
      <w:tblGrid>
        <w:gridCol w:w="1425"/>
        <w:gridCol w:w="1425"/>
        <w:gridCol w:w="1425"/>
        <w:gridCol w:w="1425"/>
        <w:gridCol w:w="1425"/>
        <w:gridCol w:w="1425"/>
        <w:gridCol w:w="1425"/>
      </w:tblGrid>
      <w:tr>
        <w:tc>
          <w:tcPr>
            <w:tcW w:type="dxa" w:w="2835"/>
            <w:shd w:val="clear" w:color="auto" w:fill="F1E9D2"/>
            <w:vAlign w:val="center"/>
          </w:tcPr>
          <w:p>
            <w:r/>
            <w:r>
              <w:rPr>
                <w:rFonts w:ascii="Calibri" w:hAnsi="Calibri"/>
                <w:b/>
                <w:color w:val="1A1A1A"/>
                <w:sz w:val="20"/>
              </w:rPr>
              <w:t>Model</w:t>
            </w:r>
          </w:p>
        </w:tc>
        <w:tc>
          <w:tcPr>
            <w:tcW w:type="dxa" w:w="1134"/>
            <w:shd w:val="clear" w:color="auto" w:fill="F1E9D2"/>
            <w:vAlign w:val="center"/>
          </w:tcPr>
          <w:p>
            <w:r/>
            <w:r>
              <w:rPr>
                <w:rFonts w:ascii="Calibri" w:hAnsi="Calibri"/>
                <w:b/>
                <w:color w:val="1A1A1A"/>
                <w:sz w:val="20"/>
              </w:rPr>
              <w:t>Flights/day</w:t>
            </w:r>
          </w:p>
        </w:tc>
        <w:tc>
          <w:tcPr>
            <w:tcW w:type="dxa" w:w="1134"/>
            <w:shd w:val="clear" w:color="auto" w:fill="F1E9D2"/>
            <w:vAlign w:val="center"/>
          </w:tcPr>
          <w:p>
            <w:r/>
            <w:r>
              <w:rPr>
                <w:rFonts w:ascii="Calibri" w:hAnsi="Calibri"/>
                <w:b/>
                <w:color w:val="1A1A1A"/>
                <w:sz w:val="20"/>
              </w:rPr>
              <w:t>Pax/flight</w:t>
            </w:r>
          </w:p>
        </w:tc>
        <w:tc>
          <w:tcPr>
            <w:tcW w:type="dxa" w:w="1417"/>
            <w:shd w:val="clear" w:color="auto" w:fill="F1E9D2"/>
            <w:vAlign w:val="center"/>
          </w:tcPr>
          <w:p>
            <w:r/>
            <w:r>
              <w:rPr>
                <w:rFonts w:ascii="Calibri" w:hAnsi="Calibri"/>
                <w:b/>
                <w:color w:val="1A1A1A"/>
                <w:sz w:val="20"/>
              </w:rPr>
              <w:t>Effective load</w:t>
            </w:r>
          </w:p>
        </w:tc>
        <w:tc>
          <w:tcPr>
            <w:tcW w:type="dxa" w:w="1134"/>
            <w:shd w:val="clear" w:color="auto" w:fill="F1E9D2"/>
            <w:vAlign w:val="center"/>
          </w:tcPr>
          <w:p>
            <w:r/>
            <w:r>
              <w:rPr>
                <w:rFonts w:ascii="Calibri" w:hAnsi="Calibri"/>
                <w:b/>
                <w:color w:val="1A1A1A"/>
                <w:sz w:val="20"/>
              </w:rPr>
              <w:t>ARPU</w:t>
            </w:r>
          </w:p>
        </w:tc>
        <w:tc>
          <w:tcPr>
            <w:tcW w:type="dxa" w:w="850"/>
            <w:shd w:val="clear" w:color="auto" w:fill="F1E9D2"/>
            <w:vAlign w:val="center"/>
          </w:tcPr>
          <w:p>
            <w:r/>
            <w:r>
              <w:rPr>
                <w:rFonts w:ascii="Calibri" w:hAnsi="Calibri"/>
                <w:b/>
                <w:color w:val="1A1A1A"/>
                <w:sz w:val="20"/>
              </w:rPr>
              <w:t>Op days</w:t>
            </w:r>
          </w:p>
        </w:tc>
        <w:tc>
          <w:tcPr>
            <w:tcW w:type="dxa" w:w="1417"/>
            <w:shd w:val="clear" w:color="auto" w:fill="F1E9D2"/>
            <w:vAlign w:val="center"/>
          </w:tcPr>
          <w:p>
            <w:r/>
            <w:r>
              <w:rPr>
                <w:rFonts w:ascii="Calibri" w:hAnsi="Calibri"/>
                <w:b/>
                <w:color w:val="1A1A1A"/>
                <w:sz w:val="20"/>
              </w:rPr>
              <w:t>Annual revenue</w:t>
            </w:r>
          </w:p>
        </w:tc>
      </w:tr>
      <w:tr>
        <w:tc>
          <w:tcPr>
            <w:tcW w:type="dxa" w:w="2835"/>
            <w:vAlign w:val="center"/>
          </w:tcPr>
          <w:p>
            <w:pPr>
              <w:jc w:val="left"/>
            </w:pPr>
            <w:r/>
            <w:r>
              <w:rPr>
                <w:rFonts w:ascii="Calibri" w:hAnsi="Calibri"/>
                <w:color w:val="1A1A1A"/>
                <w:sz w:val="20"/>
              </w:rPr>
              <w:t>Original config (honest cycle)</w:t>
            </w:r>
          </w:p>
        </w:tc>
        <w:tc>
          <w:tcPr>
            <w:tcW w:type="dxa" w:w="1134"/>
            <w:vAlign w:val="center"/>
          </w:tcPr>
          <w:p>
            <w:pPr>
              <w:jc w:val="right"/>
            </w:pPr>
            <w:r/>
            <w:r>
              <w:rPr>
                <w:rFonts w:ascii="Calibri" w:hAnsi="Calibri"/>
                <w:color w:val="1A1A1A"/>
                <w:sz w:val="20"/>
              </w:rPr>
              <w:t>20</w:t>
            </w:r>
          </w:p>
        </w:tc>
        <w:tc>
          <w:tcPr>
            <w:tcW w:type="dxa" w:w="1134"/>
            <w:vAlign w:val="center"/>
          </w:tcPr>
          <w:p>
            <w:pPr>
              <w:jc w:val="right"/>
            </w:pPr>
            <w:r/>
            <w:r>
              <w:rPr>
                <w:rFonts w:ascii="Calibri" w:hAnsi="Calibri"/>
                <w:color w:val="1A1A1A"/>
                <w:sz w:val="20"/>
              </w:rPr>
              <w:t>12</w:t>
            </w:r>
          </w:p>
        </w:tc>
        <w:tc>
          <w:tcPr>
            <w:tcW w:type="dxa" w:w="1417"/>
            <w:vAlign w:val="center"/>
          </w:tcPr>
          <w:p>
            <w:pPr>
              <w:jc w:val="right"/>
            </w:pPr>
            <w:r/>
            <w:r>
              <w:rPr>
                <w:rFonts w:ascii="Calibri" w:hAnsi="Calibri"/>
                <w:color w:val="1A1A1A"/>
                <w:sz w:val="20"/>
              </w:rPr>
              <w:t>0.85 × 0.70</w:t>
            </w:r>
          </w:p>
        </w:tc>
        <w:tc>
          <w:tcPr>
            <w:tcW w:type="dxa" w:w="1134"/>
            <w:vAlign w:val="center"/>
          </w:tcPr>
          <w:p>
            <w:pPr>
              <w:jc w:val="right"/>
            </w:pPr>
            <w:r/>
            <w:r>
              <w:rPr>
                <w:rFonts w:ascii="Calibri" w:hAnsi="Calibri"/>
                <w:color w:val="1A1A1A"/>
                <w:sz w:val="20"/>
              </w:rPr>
              <w:t>AED 192</w:t>
            </w:r>
          </w:p>
        </w:tc>
        <w:tc>
          <w:tcPr>
            <w:tcW w:type="dxa" w:w="850"/>
            <w:vAlign w:val="center"/>
          </w:tcPr>
          <w:p>
            <w:pPr>
              <w:jc w:val="right"/>
            </w:pPr>
            <w:r/>
            <w:r>
              <w:rPr>
                <w:rFonts w:ascii="Calibri" w:hAnsi="Calibri"/>
                <w:color w:val="1A1A1A"/>
                <w:sz w:val="20"/>
              </w:rPr>
              <w:t>365</w:t>
            </w:r>
          </w:p>
        </w:tc>
        <w:tc>
          <w:tcPr>
            <w:tcW w:type="dxa" w:w="1417"/>
            <w:vAlign w:val="center"/>
          </w:tcPr>
          <w:p>
            <w:pPr>
              <w:jc w:val="right"/>
            </w:pPr>
            <w:r/>
            <w:r>
              <w:rPr>
                <w:rFonts w:ascii="Calibri" w:hAnsi="Calibri"/>
                <w:color w:val="1A1A1A"/>
                <w:sz w:val="20"/>
              </w:rPr>
              <w:t>AED 10.0 M</w:t>
            </w:r>
          </w:p>
        </w:tc>
      </w:tr>
      <w:tr>
        <w:tc>
          <w:tcPr>
            <w:tcW w:type="dxa" w:w="2835"/>
            <w:vAlign w:val="center"/>
          </w:tcPr>
          <w:p>
            <w:pPr>
              <w:jc w:val="left"/>
            </w:pPr>
            <w:r/>
            <w:r>
              <w:rPr>
                <w:rFonts w:ascii="Calibri" w:hAnsi="Calibri"/>
                <w:color w:val="1A1A1A"/>
                <w:sz w:val="20"/>
              </w:rPr>
              <w:t>Current config, full 10-hr day</w:t>
            </w:r>
          </w:p>
        </w:tc>
        <w:tc>
          <w:tcPr>
            <w:tcW w:type="dxa" w:w="1134"/>
            <w:vAlign w:val="center"/>
          </w:tcPr>
          <w:p>
            <w:pPr>
              <w:jc w:val="right"/>
            </w:pPr>
            <w:r/>
            <w:r>
              <w:rPr>
                <w:rFonts w:ascii="Calibri" w:hAnsi="Calibri"/>
                <w:color w:val="1A1A1A"/>
                <w:sz w:val="20"/>
              </w:rPr>
              <w:t>20</w:t>
            </w:r>
          </w:p>
        </w:tc>
        <w:tc>
          <w:tcPr>
            <w:tcW w:type="dxa" w:w="1134"/>
            <w:vAlign w:val="center"/>
          </w:tcPr>
          <w:p>
            <w:pPr>
              <w:jc w:val="right"/>
            </w:pPr>
            <w:r/>
            <w:r>
              <w:rPr>
                <w:rFonts w:ascii="Calibri" w:hAnsi="Calibri"/>
                <w:color w:val="1A1A1A"/>
                <w:sz w:val="20"/>
              </w:rPr>
              <w:t>25</w:t>
            </w:r>
          </w:p>
        </w:tc>
        <w:tc>
          <w:tcPr>
            <w:tcW w:type="dxa" w:w="1417"/>
            <w:vAlign w:val="center"/>
          </w:tcPr>
          <w:p>
            <w:pPr>
              <w:jc w:val="right"/>
            </w:pPr>
            <w:r/>
            <w:r>
              <w:rPr>
                <w:rFonts w:ascii="Calibri" w:hAnsi="Calibri"/>
                <w:color w:val="1A1A1A"/>
                <w:sz w:val="20"/>
              </w:rPr>
              <w:t>0.58</w:t>
            </w:r>
          </w:p>
        </w:tc>
        <w:tc>
          <w:tcPr>
            <w:tcW w:type="dxa" w:w="1134"/>
            <w:vAlign w:val="center"/>
          </w:tcPr>
          <w:p>
            <w:pPr>
              <w:jc w:val="right"/>
            </w:pPr>
            <w:r/>
            <w:r>
              <w:rPr>
                <w:rFonts w:ascii="Calibri" w:hAnsi="Calibri"/>
                <w:color w:val="1A1A1A"/>
                <w:sz w:val="20"/>
              </w:rPr>
              <w:t>AED 170</w:t>
            </w:r>
          </w:p>
        </w:tc>
        <w:tc>
          <w:tcPr>
            <w:tcW w:type="dxa" w:w="850"/>
            <w:vAlign w:val="center"/>
          </w:tcPr>
          <w:p>
            <w:pPr>
              <w:jc w:val="right"/>
            </w:pPr>
            <w:r/>
            <w:r>
              <w:rPr>
                <w:rFonts w:ascii="Calibri" w:hAnsi="Calibri"/>
                <w:color w:val="1A1A1A"/>
                <w:sz w:val="20"/>
              </w:rPr>
              <w:t>250</w:t>
            </w:r>
          </w:p>
        </w:tc>
        <w:tc>
          <w:tcPr>
            <w:tcW w:type="dxa" w:w="1417"/>
            <w:vAlign w:val="center"/>
          </w:tcPr>
          <w:p>
            <w:pPr>
              <w:jc w:val="right"/>
            </w:pPr>
            <w:r/>
            <w:r>
              <w:rPr>
                <w:rFonts w:ascii="Calibri" w:hAnsi="Calibri"/>
                <w:color w:val="1A1A1A"/>
                <w:sz w:val="20"/>
              </w:rPr>
              <w:t>AED 12.3 M</w:t>
            </w:r>
          </w:p>
        </w:tc>
      </w:tr>
      <w:tr>
        <w:tc>
          <w:tcPr>
            <w:tcW w:type="dxa" w:w="2835"/>
            <w:vAlign w:val="center"/>
          </w:tcPr>
          <w:p>
            <w:pPr>
              <w:jc w:val="left"/>
            </w:pPr>
            <w:r/>
            <w:r>
              <w:rPr>
                <w:rFonts w:ascii="Calibri" w:hAnsi="Calibri"/>
                <w:color w:val="1A1A1A"/>
                <w:sz w:val="20"/>
              </w:rPr>
              <w:t>Current config, actual (3-hr day)</w:t>
            </w:r>
          </w:p>
        </w:tc>
        <w:tc>
          <w:tcPr>
            <w:tcW w:type="dxa" w:w="1134"/>
            <w:vAlign w:val="center"/>
          </w:tcPr>
          <w:p>
            <w:pPr>
              <w:jc w:val="right"/>
            </w:pPr>
            <w:r/>
            <w:r>
              <w:rPr>
                <w:rFonts w:ascii="Calibri" w:hAnsi="Calibri"/>
                <w:color w:val="1A1A1A"/>
                <w:sz w:val="20"/>
              </w:rPr>
              <w:t>6</w:t>
            </w:r>
          </w:p>
        </w:tc>
        <w:tc>
          <w:tcPr>
            <w:tcW w:type="dxa" w:w="1134"/>
            <w:vAlign w:val="center"/>
          </w:tcPr>
          <w:p>
            <w:pPr>
              <w:jc w:val="right"/>
            </w:pPr>
            <w:r/>
            <w:r>
              <w:rPr>
                <w:rFonts w:ascii="Calibri" w:hAnsi="Calibri"/>
                <w:color w:val="1A1A1A"/>
                <w:sz w:val="20"/>
              </w:rPr>
              <w:t>25</w:t>
            </w:r>
          </w:p>
        </w:tc>
        <w:tc>
          <w:tcPr>
            <w:tcW w:type="dxa" w:w="1417"/>
            <w:vAlign w:val="center"/>
          </w:tcPr>
          <w:p>
            <w:pPr>
              <w:jc w:val="right"/>
            </w:pPr>
            <w:r/>
            <w:r>
              <w:rPr>
                <w:rFonts w:ascii="Calibri" w:hAnsi="Calibri"/>
                <w:color w:val="1A1A1A"/>
                <w:sz w:val="20"/>
              </w:rPr>
              <w:t>0.58</w:t>
            </w:r>
          </w:p>
        </w:tc>
        <w:tc>
          <w:tcPr>
            <w:tcW w:type="dxa" w:w="1134"/>
            <w:vAlign w:val="center"/>
          </w:tcPr>
          <w:p>
            <w:pPr>
              <w:jc w:val="right"/>
            </w:pPr>
            <w:r/>
            <w:r>
              <w:rPr>
                <w:rFonts w:ascii="Calibri" w:hAnsi="Calibri"/>
                <w:color w:val="1A1A1A"/>
                <w:sz w:val="20"/>
              </w:rPr>
              <w:t>AED 170</w:t>
            </w:r>
          </w:p>
        </w:tc>
        <w:tc>
          <w:tcPr>
            <w:tcW w:type="dxa" w:w="850"/>
            <w:vAlign w:val="center"/>
          </w:tcPr>
          <w:p>
            <w:pPr>
              <w:jc w:val="right"/>
            </w:pPr>
            <w:r/>
            <w:r>
              <w:rPr>
                <w:rFonts w:ascii="Calibri" w:hAnsi="Calibri"/>
                <w:color w:val="1A1A1A"/>
                <w:sz w:val="20"/>
              </w:rPr>
              <w:t>250</w:t>
            </w:r>
          </w:p>
        </w:tc>
        <w:tc>
          <w:tcPr>
            <w:tcW w:type="dxa" w:w="1417"/>
            <w:vAlign w:val="center"/>
          </w:tcPr>
          <w:p>
            <w:pPr>
              <w:jc w:val="right"/>
            </w:pPr>
            <w:r/>
            <w:r>
              <w:rPr>
                <w:rFonts w:ascii="Calibri" w:hAnsi="Calibri"/>
                <w:color w:val="1A1A1A"/>
                <w:sz w:val="20"/>
              </w:rPr>
              <w:t>AED 3.7 M</w:t>
            </w:r>
          </w:p>
        </w:tc>
      </w:tr>
    </w:tbl>
    <w:p>
      <w:pPr>
        <w:spacing w:before="200" w:after="40"/>
      </w:pPr>
      <w:r>
        <w:rPr>
          <w:rFonts w:ascii="Calibri" w:hAnsi="Calibri"/>
          <w:b/>
          <w:color w:val="1A1A1A"/>
          <w:sz w:val="24"/>
        </w:rPr>
        <w:t>Read</w:t>
      </w:r>
    </w:p>
    <w:p>
      <w:pPr>
        <w:pStyle w:val="ListBullet"/>
        <w:spacing w:after="40"/>
        <w:ind w:left="283"/>
      </w:pPr>
      <w:r>
        <w:rPr>
          <w:rFonts w:ascii="Calibri" w:hAnsi="Calibri"/>
          <w:color w:val="1A1A1A"/>
          <w:sz w:val="22"/>
        </w:rPr>
        <w:t>Per realistic flight, the current pitch produces ~+23% revenue vs. the original at equal operating hours, driven by the larger commercial loading (25 vs 12). ARPU is slightly lower (AED 170 vs 192) because the current day mix has 35% children vs. the original's 20%.</w:t>
      </w:r>
    </w:p>
    <w:p>
      <w:pPr>
        <w:pStyle w:val="ListBullet"/>
        <w:spacing w:after="40"/>
        <w:ind w:left="283"/>
      </w:pPr>
      <w:r>
        <w:rPr>
          <w:rFonts w:ascii="Calibri" w:hAnsi="Calibri"/>
          <w:color w:val="1A1A1A"/>
          <w:sz w:val="22"/>
        </w:rPr>
        <w:t>The current pitch runs only 3 daytime hours instead of 10, which is why daytime revenue is AED 3.7 M and not AED 12.3 M. The afternoon window is intentionally kept dark to protect the premium night product. This is a deliberate trade-off, not a hardware constraint — and represents ~AED 8.6 M of unbooked daytime upside if the trade were reversed.</w:t>
      </w:r>
    </w:p>
    <w:p>
      <w:pPr>
        <w:spacing w:before="360" w:after="160"/>
      </w:pPr>
      <w:r>
        <w:rPr>
          <w:rFonts w:ascii="Calibri" w:hAnsi="Calibri"/>
          <w:b/>
          <w:color w:val="1A1A1A"/>
          <w:sz w:val="40"/>
        </w:rPr>
        <w:t>6. CAPEX comparison</w:t>
      </w:r>
    </w:p>
    <w:p>
      <w:pPr>
        <w:spacing w:before="200" w:after="40"/>
      </w:pPr>
      <w:r>
        <w:rPr>
          <w:rFonts w:ascii="Calibri" w:hAnsi="Calibri"/>
          <w:b/>
          <w:color w:val="1A1A1A"/>
          <w:sz w:val="24"/>
        </w:rPr>
        <w:t>Original CAPEX scope (AED 15 M, page 11)</w:t>
      </w:r>
    </w:p>
    <w:p>
      <w:pPr>
        <w:pStyle w:val="ListBullet"/>
        <w:spacing w:after="40"/>
        <w:ind w:left="283"/>
      </w:pPr>
      <w:r>
        <w:rPr>
          <w:rFonts w:ascii="Calibri" w:hAnsi="Calibri"/>
          <w:color w:val="1A1A1A"/>
          <w:sz w:val="22"/>
        </w:rPr>
        <w:t>Relocation, transport, and reassembly of existing tethered helium balloon system</w:t>
      </w:r>
    </w:p>
    <w:p>
      <w:pPr>
        <w:pStyle w:val="ListBullet"/>
        <w:spacing w:after="40"/>
        <w:ind w:left="283"/>
      </w:pPr>
      <w:r>
        <w:rPr>
          <w:rFonts w:ascii="Calibri" w:hAnsi="Calibri"/>
          <w:color w:val="1A1A1A"/>
          <w:sz w:val="22"/>
        </w:rPr>
        <w:t>Site preparation, foundations, and utilities (power and minor infrastructure)</w:t>
      </w:r>
    </w:p>
    <w:p>
      <w:pPr>
        <w:pStyle w:val="ListBullet"/>
        <w:spacing w:after="40"/>
        <w:ind w:left="283"/>
      </w:pPr>
      <w:r>
        <w:rPr>
          <w:rFonts w:ascii="Calibri" w:hAnsi="Calibri"/>
          <w:color w:val="1A1A1A"/>
          <w:sz w:val="22"/>
        </w:rPr>
        <w:t>Basic guest facilities: ticketing kiosk, shaded waiting area, minimal landscaping</w:t>
      </w:r>
    </w:p>
    <w:p>
      <w:pPr>
        <w:pStyle w:val="ListBullet"/>
        <w:spacing w:after="40"/>
        <w:ind w:left="283"/>
      </w:pPr>
      <w:r>
        <w:rPr>
          <w:rFonts w:ascii="Calibri" w:hAnsi="Calibri"/>
          <w:color w:val="1A1A1A"/>
          <w:sz w:val="22"/>
        </w:rPr>
        <w:t>Working capital for launch marketing and pre-opening readiness</w:t>
      </w:r>
    </w:p>
    <w:p>
      <w:pPr>
        <w:spacing w:before="200" w:after="40"/>
      </w:pPr>
      <w:r>
        <w:rPr>
          <w:rFonts w:ascii="Calibri" w:hAnsi="Calibri"/>
          <w:b/>
          <w:color w:val="1A1A1A"/>
          <w:sz w:val="24"/>
        </w:rPr>
        <w:t>Current CAPEX scope (AED 25.9 M, aluminum tier)</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4252"/>
            <w:shd w:val="clear" w:color="auto" w:fill="F1E9D2"/>
            <w:vAlign w:val="center"/>
          </w:tcPr>
          <w:p>
            <w:r/>
            <w:r>
              <w:rPr>
                <w:rFonts w:ascii="Calibri" w:hAnsi="Calibri"/>
                <w:b/>
                <w:color w:val="1A1A1A"/>
                <w:sz w:val="20"/>
              </w:rPr>
              <w:t>Line</w:t>
            </w:r>
          </w:p>
        </w:tc>
        <w:tc>
          <w:tcPr>
            <w:tcW w:type="dxa" w:w="1701"/>
            <w:shd w:val="clear" w:color="auto" w:fill="F1E9D2"/>
            <w:vAlign w:val="center"/>
          </w:tcPr>
          <w:p>
            <w:r/>
            <w:r>
              <w:rPr>
                <w:rFonts w:ascii="Calibri" w:hAnsi="Calibri"/>
                <w:b/>
                <w:color w:val="1A1A1A"/>
                <w:sz w:val="20"/>
              </w:rPr>
              <w:t>Amount</w:t>
            </w:r>
          </w:p>
        </w:tc>
        <w:tc>
          <w:tcPr>
            <w:tcW w:type="dxa" w:w="3685"/>
            <w:shd w:val="clear" w:color="auto" w:fill="F1E9D2"/>
            <w:vAlign w:val="center"/>
          </w:tcPr>
          <w:p>
            <w:r/>
            <w:r>
              <w:rPr>
                <w:rFonts w:ascii="Calibri" w:hAnsi="Calibri"/>
                <w:b/>
                <w:color w:val="1A1A1A"/>
                <w:sz w:val="20"/>
              </w:rPr>
              <w:t>Notes</w:t>
            </w:r>
          </w:p>
        </w:tc>
      </w:tr>
      <w:tr>
        <w:tc>
          <w:tcPr>
            <w:tcW w:type="dxa" w:w="4252"/>
            <w:vAlign w:val="center"/>
          </w:tcPr>
          <w:p>
            <w:pPr>
              <w:jc w:val="left"/>
            </w:pPr>
            <w:r/>
            <w:r>
              <w:rPr>
                <w:rFonts w:ascii="Calibri" w:hAnsi="Calibri"/>
                <w:color w:val="1A1A1A"/>
                <w:sz w:val="20"/>
              </w:rPr>
              <w:t>Balloon (gondola + envelope + winch system)</w:t>
            </w:r>
          </w:p>
        </w:tc>
        <w:tc>
          <w:tcPr>
            <w:tcW w:type="dxa" w:w="1701"/>
            <w:vAlign w:val="center"/>
          </w:tcPr>
          <w:p>
            <w:pPr>
              <w:jc w:val="right"/>
            </w:pPr>
            <w:r/>
            <w:r>
              <w:rPr>
                <w:rFonts w:ascii="Calibri" w:hAnsi="Calibri"/>
                <w:color w:val="1A1A1A"/>
                <w:sz w:val="20"/>
              </w:rPr>
              <w:t>AED 8.0 M</w:t>
            </w:r>
          </w:p>
        </w:tc>
        <w:tc>
          <w:tcPr>
            <w:tcW w:type="dxa" w:w="3685"/>
            <w:vAlign w:val="center"/>
          </w:tcPr>
          <w:p>
            <w:pPr>
              <w:jc w:val="right"/>
            </w:pPr>
            <w:r/>
            <w:r>
              <w:rPr>
                <w:rFonts w:ascii="Calibri" w:hAnsi="Calibri"/>
                <w:color w:val="1A1A1A"/>
                <w:sz w:val="20"/>
              </w:rPr>
              <w:t>Hardware only</w:t>
            </w:r>
          </w:p>
        </w:tc>
      </w:tr>
      <w:tr>
        <w:tc>
          <w:tcPr>
            <w:tcW w:type="dxa" w:w="4252"/>
            <w:vAlign w:val="center"/>
          </w:tcPr>
          <w:p>
            <w:pPr>
              <w:jc w:val="left"/>
            </w:pPr>
            <w:r/>
            <w:r>
              <w:rPr>
                <w:rFonts w:ascii="Calibri" w:hAnsi="Calibri"/>
                <w:color w:val="1A1A1A"/>
                <w:sz w:val="20"/>
              </w:rPr>
              <w:t>LED canvas (8 mm aluminum tile + adjustable feet)</w:t>
            </w:r>
          </w:p>
        </w:tc>
        <w:tc>
          <w:tcPr>
            <w:tcW w:type="dxa" w:w="1701"/>
            <w:vAlign w:val="center"/>
          </w:tcPr>
          <w:p>
            <w:pPr>
              <w:jc w:val="right"/>
            </w:pPr>
            <w:r/>
            <w:r>
              <w:rPr>
                <w:rFonts w:ascii="Calibri" w:hAnsi="Calibri"/>
                <w:color w:val="1A1A1A"/>
                <w:sz w:val="20"/>
              </w:rPr>
              <w:t>AED 15.1 M</w:t>
            </w:r>
          </w:p>
        </w:tc>
        <w:tc>
          <w:tcPr>
            <w:tcW w:type="dxa" w:w="3685"/>
            <w:vAlign w:val="center"/>
          </w:tcPr>
          <w:p>
            <w:pPr>
              <w:jc w:val="right"/>
            </w:pPr>
            <w:r/>
            <w:r>
              <w:rPr>
                <w:rFonts w:ascii="Calibri" w:hAnsi="Calibri"/>
                <w:color w:val="1A1A1A"/>
                <w:sz w:val="20"/>
              </w:rPr>
              <w:t>New layer; absorbs site civils</w:t>
            </w:r>
          </w:p>
        </w:tc>
      </w:tr>
      <w:tr>
        <w:tc>
          <w:tcPr>
            <w:tcW w:type="dxa" w:w="4252"/>
            <w:vAlign w:val="center"/>
          </w:tcPr>
          <w:p>
            <w:pPr>
              <w:jc w:val="left"/>
            </w:pPr>
            <w:r/>
            <w:r>
              <w:rPr>
                <w:rFonts w:ascii="Calibri" w:hAnsi="Calibri"/>
                <w:color w:val="1A1A1A"/>
                <w:sz w:val="20"/>
              </w:rPr>
              <w:t>Content launch package (3 hero shows + ambient)</w:t>
            </w:r>
          </w:p>
        </w:tc>
        <w:tc>
          <w:tcPr>
            <w:tcW w:type="dxa" w:w="1701"/>
            <w:vAlign w:val="center"/>
          </w:tcPr>
          <w:p>
            <w:pPr>
              <w:jc w:val="right"/>
            </w:pPr>
            <w:r/>
            <w:r>
              <w:rPr>
                <w:rFonts w:ascii="Calibri" w:hAnsi="Calibri"/>
                <w:color w:val="1A1A1A"/>
                <w:sz w:val="20"/>
              </w:rPr>
              <w:t>AED 2.8 M</w:t>
            </w:r>
          </w:p>
        </w:tc>
        <w:tc>
          <w:tcPr>
            <w:tcW w:type="dxa" w:w="3685"/>
            <w:vAlign w:val="center"/>
          </w:tcPr>
          <w:p>
            <w:pPr>
              <w:jc w:val="right"/>
            </w:pPr>
            <w:r/>
            <w:r>
              <w:rPr>
                <w:rFonts w:ascii="Calibri" w:hAnsi="Calibri"/>
                <w:color w:val="1A1A1A"/>
                <w:sz w:val="20"/>
              </w:rPr>
              <w:t>New layer</w:t>
            </w:r>
          </w:p>
        </w:tc>
      </w:tr>
      <w:tr>
        <w:tc>
          <w:tcPr>
            <w:tcW w:type="dxa" w:w="4252"/>
            <w:vAlign w:val="center"/>
          </w:tcPr>
          <w:p>
            <w:pPr>
              <w:jc w:val="left"/>
            </w:pPr>
            <w:r/>
            <w:r>
              <w:rPr>
                <w:rFonts w:ascii="Calibri" w:hAnsi="Calibri"/>
                <w:color w:val="1A1A1A"/>
                <w:sz w:val="20"/>
              </w:rPr>
              <w:t>Total</w:t>
            </w:r>
          </w:p>
        </w:tc>
        <w:tc>
          <w:tcPr>
            <w:tcW w:type="dxa" w:w="1701"/>
            <w:vAlign w:val="center"/>
          </w:tcPr>
          <w:p>
            <w:pPr>
              <w:jc w:val="right"/>
            </w:pPr>
            <w:r/>
            <w:r>
              <w:rPr>
                <w:rFonts w:ascii="Calibri" w:hAnsi="Calibri"/>
                <w:color w:val="1A1A1A"/>
                <w:sz w:val="20"/>
              </w:rPr>
              <w:t>AED 25.9 M</w:t>
            </w:r>
          </w:p>
        </w:tc>
        <w:tc>
          <w:tcPr>
            <w:tcW w:type="dxa" w:w="3685"/>
            <w:vAlign w:val="center"/>
          </w:tcPr>
          <w:p>
            <w:pPr>
              <w:jc w:val="right"/>
            </w:pPr>
            <w:r/>
            <w:r>
              <w:rPr>
                <w:rFonts w:ascii="Calibri" w:hAnsi="Calibri"/>
                <w:color w:val="1A1A1A"/>
                <w:sz w:val="20"/>
              </w:rPr>
            </w:r>
          </w:p>
        </w:tc>
      </w:tr>
    </w:tbl>
    <w:p>
      <w:pPr>
        <w:spacing w:before="160" w:after="40"/>
      </w:pPr>
      <w:r>
        <w:rPr>
          <w:rFonts w:ascii="Calibri" w:hAnsi="Calibri"/>
          <w:b/>
          <w:color w:val="B02A2A"/>
          <w:sz w:val="22"/>
        </w:rPr>
        <w:t>⚠ The AED 8 M balloon line is undocumented.</w:t>
      </w:r>
    </w:p>
    <w:p>
      <w:pPr>
        <w:spacing w:after="120"/>
      </w:pPr>
      <w:r>
        <w:rPr>
          <w:rFonts w:ascii="Calibri" w:hAnsi="Calibri"/>
          <w:b w:val="0"/>
          <w:i w:val="0"/>
          <w:color w:val="1A1A1A"/>
          <w:sz w:val="20"/>
        </w:rPr>
        <w:t>The current pitch books the balloon at AED 8 M but the source of that figure is not recorded in pitch-blueprint.md or any supporting memo. The most internally-consistent reading is "balloon hardware only; site civils are absorbed inside the AED 15.1 M LED canvas line (the canvas IS the ground installation)." If that's correct, the AED 25.9 M project CAPEX is genuinely comparable to "original AED 15 M relocation + AED 15 M LED canvas," modulo a small overlap. Recommendation: confirm AED 8 M with Hero (new procurement vs. relocation quote) and add a footnote to the deck disclosing scope.</w:t>
      </w:r>
    </w:p>
    <w:p>
      <w:pPr>
        <w:spacing w:before="360" w:after="160"/>
      </w:pPr>
      <w:r>
        <w:rPr>
          <w:rFonts w:ascii="Calibri" w:hAnsi="Calibri"/>
          <w:b/>
          <w:color w:val="1A1A1A"/>
          <w:sz w:val="40"/>
        </w:rPr>
        <w:t>7. OpEx comparison</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118"/>
            <w:shd w:val="clear" w:color="auto" w:fill="F1E9D2"/>
            <w:vAlign w:val="center"/>
          </w:tcPr>
          <w:p>
            <w:r/>
            <w:r>
              <w:rPr>
                <w:rFonts w:ascii="Calibri" w:hAnsi="Calibri"/>
                <w:b/>
                <w:color w:val="1A1A1A"/>
                <w:sz w:val="20"/>
              </w:rPr>
              <w:t>Line</w:t>
            </w:r>
          </w:p>
        </w:tc>
        <w:tc>
          <w:tcPr>
            <w:tcW w:type="dxa" w:w="1701"/>
            <w:shd w:val="clear" w:color="auto" w:fill="F1E9D2"/>
            <w:vAlign w:val="center"/>
          </w:tcPr>
          <w:p>
            <w:r/>
            <w:r>
              <w:rPr>
                <w:rFonts w:ascii="Calibri" w:hAnsi="Calibri"/>
                <w:b/>
                <w:color w:val="1A1A1A"/>
                <w:sz w:val="20"/>
              </w:rPr>
              <w:t>Original</w:t>
            </w:r>
          </w:p>
        </w:tc>
        <w:tc>
          <w:tcPr>
            <w:tcW w:type="dxa" w:w="1701"/>
            <w:shd w:val="clear" w:color="auto" w:fill="F1E9D2"/>
            <w:vAlign w:val="center"/>
          </w:tcPr>
          <w:p>
            <w:r/>
            <w:r>
              <w:rPr>
                <w:rFonts w:ascii="Calibri" w:hAnsi="Calibri"/>
                <w:b/>
                <w:color w:val="1A1A1A"/>
                <w:sz w:val="20"/>
              </w:rPr>
              <w:t>Current</w:t>
            </w:r>
          </w:p>
        </w:tc>
        <w:tc>
          <w:tcPr>
            <w:tcW w:type="dxa" w:w="2835"/>
            <w:shd w:val="clear" w:color="auto" w:fill="F1E9D2"/>
            <w:vAlign w:val="center"/>
          </w:tcPr>
          <w:p>
            <w:r/>
            <w:r>
              <w:rPr>
                <w:rFonts w:ascii="Calibri" w:hAnsi="Calibri"/>
                <w:b/>
                <w:color w:val="1A1A1A"/>
                <w:sz w:val="20"/>
              </w:rPr>
              <w:t>Notes</w:t>
            </w:r>
          </w:p>
        </w:tc>
      </w:tr>
      <w:tr>
        <w:tc>
          <w:tcPr>
            <w:tcW w:type="dxa" w:w="3118"/>
            <w:vAlign w:val="center"/>
          </w:tcPr>
          <w:p>
            <w:pPr>
              <w:jc w:val="left"/>
            </w:pPr>
            <w:r/>
            <w:r>
              <w:rPr>
                <w:rFonts w:ascii="Calibri" w:hAnsi="Calibri"/>
                <w:color w:val="1A1A1A"/>
                <w:sz w:val="20"/>
              </w:rPr>
              <w:t>Balloon operations (helium, crew, certs)</w:t>
            </w:r>
          </w:p>
        </w:tc>
        <w:tc>
          <w:tcPr>
            <w:tcW w:type="dxa" w:w="1701"/>
            <w:vAlign w:val="center"/>
          </w:tcPr>
          <w:p>
            <w:pPr>
              <w:jc w:val="right"/>
            </w:pPr>
            <w:r/>
            <w:r>
              <w:rPr>
                <w:rFonts w:ascii="Calibri" w:hAnsi="Calibri"/>
                <w:color w:val="1A1A1A"/>
                <w:sz w:val="20"/>
              </w:rPr>
              <w:t>AED 7.2 M (combined)</w:t>
            </w:r>
          </w:p>
        </w:tc>
        <w:tc>
          <w:tcPr>
            <w:tcW w:type="dxa" w:w="1701"/>
            <w:vAlign w:val="center"/>
          </w:tcPr>
          <w:p>
            <w:pPr>
              <w:jc w:val="right"/>
            </w:pPr>
            <w:r/>
            <w:r>
              <w:rPr>
                <w:rFonts w:ascii="Calibri" w:hAnsi="Calibri"/>
                <w:color w:val="1A1A1A"/>
                <w:sz w:val="20"/>
              </w:rPr>
              <w:t>AED 4.3 M</w:t>
            </w:r>
          </w:p>
        </w:tc>
        <w:tc>
          <w:tcPr>
            <w:tcW w:type="dxa" w:w="2835"/>
            <w:vAlign w:val="center"/>
          </w:tcPr>
          <w:p>
            <w:pPr>
              <w:jc w:val="right"/>
            </w:pPr>
            <w:r/>
            <w:r>
              <w:rPr>
                <w:rFonts w:ascii="Calibri" w:hAnsi="Calibri"/>
                <w:color w:val="1A1A1A"/>
                <w:sz w:val="20"/>
              </w:rPr>
              <w:t>Lower in current — original bundled marketing/admin</w:t>
            </w:r>
          </w:p>
        </w:tc>
      </w:tr>
      <w:tr>
        <w:tc>
          <w:tcPr>
            <w:tcW w:type="dxa" w:w="3118"/>
            <w:vAlign w:val="center"/>
          </w:tcPr>
          <w:p>
            <w:pPr>
              <w:jc w:val="left"/>
            </w:pPr>
            <w:r/>
            <w:r>
              <w:rPr>
                <w:rFonts w:ascii="Calibri" w:hAnsi="Calibri"/>
                <w:color w:val="1A1A1A"/>
                <w:sz w:val="20"/>
              </w:rPr>
              <w:t>LED field maintenance</w:t>
            </w:r>
          </w:p>
        </w:tc>
        <w:tc>
          <w:tcPr>
            <w:tcW w:type="dxa" w:w="1701"/>
            <w:vAlign w:val="center"/>
          </w:tcPr>
          <w:p>
            <w:pPr>
              <w:jc w:val="right"/>
            </w:pPr>
            <w:r/>
            <w:r>
              <w:rPr>
                <w:rFonts w:ascii="Calibri" w:hAnsi="Calibri"/>
                <w:color w:val="1A1A1A"/>
                <w:sz w:val="20"/>
              </w:rPr>
              <w:t>—</w:t>
            </w:r>
          </w:p>
        </w:tc>
        <w:tc>
          <w:tcPr>
            <w:tcW w:type="dxa" w:w="1701"/>
            <w:vAlign w:val="center"/>
          </w:tcPr>
          <w:p>
            <w:pPr>
              <w:jc w:val="right"/>
            </w:pPr>
            <w:r/>
            <w:r>
              <w:rPr>
                <w:rFonts w:ascii="Calibri" w:hAnsi="Calibri"/>
                <w:color w:val="1A1A1A"/>
                <w:sz w:val="20"/>
              </w:rPr>
              <w:t>AED 0.4 M</w:t>
            </w:r>
          </w:p>
        </w:tc>
        <w:tc>
          <w:tcPr>
            <w:tcW w:type="dxa" w:w="2835"/>
            <w:vAlign w:val="center"/>
          </w:tcPr>
          <w:p>
            <w:pPr>
              <w:jc w:val="right"/>
            </w:pPr>
            <w:r/>
            <w:r>
              <w:rPr>
                <w:rFonts w:ascii="Calibri" w:hAnsi="Calibri"/>
                <w:color w:val="1A1A1A"/>
                <w:sz w:val="20"/>
              </w:rPr>
              <w:t>New layer</w:t>
            </w:r>
          </w:p>
        </w:tc>
      </w:tr>
      <w:tr>
        <w:tc>
          <w:tcPr>
            <w:tcW w:type="dxa" w:w="3118"/>
            <w:vAlign w:val="center"/>
          </w:tcPr>
          <w:p>
            <w:pPr>
              <w:jc w:val="left"/>
            </w:pPr>
            <w:r/>
            <w:r>
              <w:rPr>
                <w:rFonts w:ascii="Calibri" w:hAnsi="Calibri"/>
                <w:color w:val="1A1A1A"/>
                <w:sz w:val="20"/>
              </w:rPr>
              <w:t>Content operations (net)</w:t>
            </w:r>
          </w:p>
        </w:tc>
        <w:tc>
          <w:tcPr>
            <w:tcW w:type="dxa" w:w="1701"/>
            <w:vAlign w:val="center"/>
          </w:tcPr>
          <w:p>
            <w:pPr>
              <w:jc w:val="right"/>
            </w:pPr>
            <w:r/>
            <w:r>
              <w:rPr>
                <w:rFonts w:ascii="Calibri" w:hAnsi="Calibri"/>
                <w:color w:val="1A1A1A"/>
                <w:sz w:val="20"/>
              </w:rPr>
              <w:t>—</w:t>
            </w:r>
          </w:p>
        </w:tc>
        <w:tc>
          <w:tcPr>
            <w:tcW w:type="dxa" w:w="1701"/>
            <w:vAlign w:val="center"/>
          </w:tcPr>
          <w:p>
            <w:pPr>
              <w:jc w:val="right"/>
            </w:pPr>
            <w:r/>
            <w:r>
              <w:rPr>
                <w:rFonts w:ascii="Calibri" w:hAnsi="Calibri"/>
                <w:color w:val="1A1A1A"/>
                <w:sz w:val="20"/>
              </w:rPr>
              <w:t>AED 2.6 M</w:t>
            </w:r>
          </w:p>
        </w:tc>
        <w:tc>
          <w:tcPr>
            <w:tcW w:type="dxa" w:w="2835"/>
            <w:vAlign w:val="center"/>
          </w:tcPr>
          <w:p>
            <w:pPr>
              <w:jc w:val="right"/>
            </w:pPr>
            <w:r/>
            <w:r>
              <w:rPr>
                <w:rFonts w:ascii="Calibri" w:hAnsi="Calibri"/>
                <w:color w:val="1A1A1A"/>
                <w:sz w:val="20"/>
              </w:rPr>
              <w:t>New layer</w:t>
            </w:r>
          </w:p>
        </w:tc>
      </w:tr>
      <w:tr>
        <w:tc>
          <w:tcPr>
            <w:tcW w:type="dxa" w:w="3118"/>
            <w:vAlign w:val="center"/>
          </w:tcPr>
          <w:p>
            <w:pPr>
              <w:jc w:val="left"/>
            </w:pPr>
            <w:r/>
            <w:r>
              <w:rPr>
                <w:rFonts w:ascii="Calibri" w:hAnsi="Calibri"/>
                <w:color w:val="1A1A1A"/>
                <w:sz w:val="20"/>
              </w:rPr>
              <w:t>Site staff</w:t>
            </w:r>
          </w:p>
        </w:tc>
        <w:tc>
          <w:tcPr>
            <w:tcW w:type="dxa" w:w="1701"/>
            <w:vAlign w:val="center"/>
          </w:tcPr>
          <w:p>
            <w:pPr>
              <w:jc w:val="right"/>
            </w:pPr>
            <w:r/>
            <w:r>
              <w:rPr>
                <w:rFonts w:ascii="Calibri" w:hAnsi="Calibri"/>
                <w:color w:val="1A1A1A"/>
                <w:sz w:val="20"/>
              </w:rPr>
              <w:t>(in AED 7.2 M)</w:t>
            </w:r>
          </w:p>
        </w:tc>
        <w:tc>
          <w:tcPr>
            <w:tcW w:type="dxa" w:w="1701"/>
            <w:vAlign w:val="center"/>
          </w:tcPr>
          <w:p>
            <w:pPr>
              <w:jc w:val="right"/>
            </w:pPr>
            <w:r/>
            <w:r>
              <w:rPr>
                <w:rFonts w:ascii="Calibri" w:hAnsi="Calibri"/>
                <w:color w:val="1A1A1A"/>
                <w:sz w:val="20"/>
              </w:rPr>
              <w:t>AED 1.2 M</w:t>
            </w:r>
          </w:p>
        </w:tc>
        <w:tc>
          <w:tcPr>
            <w:tcW w:type="dxa" w:w="2835"/>
            <w:vAlign w:val="center"/>
          </w:tcPr>
          <w:p>
            <w:pPr>
              <w:jc w:val="right"/>
            </w:pPr>
            <w:r/>
            <w:r>
              <w:rPr>
                <w:rFonts w:ascii="Calibri" w:hAnsi="Calibri"/>
                <w:color w:val="1A1A1A"/>
                <w:sz w:val="20"/>
              </w:rPr>
              <w:t>Broken out</w:t>
            </w:r>
          </w:p>
        </w:tc>
      </w:tr>
      <w:tr>
        <w:tc>
          <w:tcPr>
            <w:tcW w:type="dxa" w:w="3118"/>
            <w:vAlign w:val="center"/>
          </w:tcPr>
          <w:p>
            <w:pPr>
              <w:jc w:val="left"/>
            </w:pPr>
            <w:r/>
            <w:r>
              <w:rPr>
                <w:rFonts w:ascii="Calibri" w:hAnsi="Calibri"/>
                <w:color w:val="1A1A1A"/>
                <w:sz w:val="20"/>
              </w:rPr>
              <w:t>Marketing &amp; PR</w:t>
            </w:r>
          </w:p>
        </w:tc>
        <w:tc>
          <w:tcPr>
            <w:tcW w:type="dxa" w:w="1701"/>
            <w:vAlign w:val="center"/>
          </w:tcPr>
          <w:p>
            <w:pPr>
              <w:jc w:val="right"/>
            </w:pPr>
            <w:r/>
            <w:r>
              <w:rPr>
                <w:rFonts w:ascii="Calibri" w:hAnsi="Calibri"/>
                <w:color w:val="1A1A1A"/>
                <w:sz w:val="20"/>
              </w:rPr>
              <w:t>(in AED 7.2 M)</w:t>
            </w:r>
          </w:p>
        </w:tc>
        <w:tc>
          <w:tcPr>
            <w:tcW w:type="dxa" w:w="1701"/>
            <w:vAlign w:val="center"/>
          </w:tcPr>
          <w:p>
            <w:pPr>
              <w:jc w:val="right"/>
            </w:pPr>
            <w:r/>
            <w:r>
              <w:rPr>
                <w:rFonts w:ascii="Calibri" w:hAnsi="Calibri"/>
                <w:color w:val="1A1A1A"/>
                <w:sz w:val="20"/>
              </w:rPr>
              <w:t>AED 0.5 M</w:t>
            </w:r>
          </w:p>
        </w:tc>
        <w:tc>
          <w:tcPr>
            <w:tcW w:type="dxa" w:w="2835"/>
            <w:vAlign w:val="center"/>
          </w:tcPr>
          <w:p>
            <w:pPr>
              <w:jc w:val="right"/>
            </w:pPr>
            <w:r/>
            <w:r>
              <w:rPr>
                <w:rFonts w:ascii="Calibri" w:hAnsi="Calibri"/>
                <w:color w:val="1A1A1A"/>
                <w:sz w:val="20"/>
              </w:rPr>
              <w:t>Broken out</w:t>
            </w:r>
          </w:p>
        </w:tc>
      </w:tr>
      <w:tr>
        <w:tc>
          <w:tcPr>
            <w:tcW w:type="dxa" w:w="3118"/>
            <w:vAlign w:val="center"/>
          </w:tcPr>
          <w:p>
            <w:pPr>
              <w:jc w:val="left"/>
            </w:pPr>
            <w:r/>
            <w:r>
              <w:rPr>
                <w:rFonts w:ascii="Calibri" w:hAnsi="Calibri"/>
                <w:color w:val="1A1A1A"/>
                <w:sz w:val="20"/>
              </w:rPr>
              <w:t>Insurance / regulatory / admin</w:t>
            </w:r>
          </w:p>
        </w:tc>
        <w:tc>
          <w:tcPr>
            <w:tcW w:type="dxa" w:w="1701"/>
            <w:vAlign w:val="center"/>
          </w:tcPr>
          <w:p>
            <w:pPr>
              <w:jc w:val="right"/>
            </w:pPr>
            <w:r/>
            <w:r>
              <w:rPr>
                <w:rFonts w:ascii="Calibri" w:hAnsi="Calibri"/>
                <w:color w:val="1A1A1A"/>
                <w:sz w:val="20"/>
              </w:rPr>
              <w:t>(in AED 7.2 M)</w:t>
            </w:r>
          </w:p>
        </w:tc>
        <w:tc>
          <w:tcPr>
            <w:tcW w:type="dxa" w:w="1701"/>
            <w:vAlign w:val="center"/>
          </w:tcPr>
          <w:p>
            <w:pPr>
              <w:jc w:val="right"/>
            </w:pPr>
            <w:r/>
            <w:r>
              <w:rPr>
                <w:rFonts w:ascii="Calibri" w:hAnsi="Calibri"/>
                <w:color w:val="1A1A1A"/>
                <w:sz w:val="20"/>
              </w:rPr>
              <w:t>AED 0.5 M</w:t>
            </w:r>
          </w:p>
        </w:tc>
        <w:tc>
          <w:tcPr>
            <w:tcW w:type="dxa" w:w="2835"/>
            <w:vAlign w:val="center"/>
          </w:tcPr>
          <w:p>
            <w:pPr>
              <w:jc w:val="right"/>
            </w:pPr>
            <w:r/>
            <w:r>
              <w:rPr>
                <w:rFonts w:ascii="Calibri" w:hAnsi="Calibri"/>
                <w:color w:val="1A1A1A"/>
                <w:sz w:val="20"/>
              </w:rPr>
              <w:t>Broken out</w:t>
            </w:r>
          </w:p>
        </w:tc>
      </w:tr>
      <w:tr>
        <w:tc>
          <w:tcPr>
            <w:tcW w:type="dxa" w:w="3118"/>
            <w:vAlign w:val="center"/>
          </w:tcPr>
          <w:p>
            <w:pPr>
              <w:jc w:val="left"/>
            </w:pPr>
            <w:r/>
            <w:r>
              <w:rPr>
                <w:rFonts w:ascii="Calibri" w:hAnsi="Calibri"/>
                <w:color w:val="1A1A1A"/>
                <w:sz w:val="20"/>
              </w:rPr>
              <w:t>LED power</w:t>
            </w:r>
          </w:p>
        </w:tc>
        <w:tc>
          <w:tcPr>
            <w:tcW w:type="dxa" w:w="1701"/>
            <w:vAlign w:val="center"/>
          </w:tcPr>
          <w:p>
            <w:pPr>
              <w:jc w:val="right"/>
            </w:pPr>
            <w:r/>
            <w:r>
              <w:rPr>
                <w:rFonts w:ascii="Calibri" w:hAnsi="Calibri"/>
                <w:color w:val="1A1A1A"/>
                <w:sz w:val="20"/>
              </w:rPr>
              <w:t>—</w:t>
            </w:r>
          </w:p>
        </w:tc>
        <w:tc>
          <w:tcPr>
            <w:tcW w:type="dxa" w:w="1701"/>
            <w:vAlign w:val="center"/>
          </w:tcPr>
          <w:p>
            <w:pPr>
              <w:jc w:val="right"/>
            </w:pPr>
            <w:r/>
            <w:r>
              <w:rPr>
                <w:rFonts w:ascii="Calibri" w:hAnsi="Calibri"/>
                <w:color w:val="1A1A1A"/>
                <w:sz w:val="20"/>
              </w:rPr>
              <w:t>AED 0.025 M</w:t>
            </w:r>
          </w:p>
        </w:tc>
        <w:tc>
          <w:tcPr>
            <w:tcW w:type="dxa" w:w="2835"/>
            <w:vAlign w:val="center"/>
          </w:tcPr>
          <w:p>
            <w:pPr>
              <w:jc w:val="right"/>
            </w:pPr>
            <w:r/>
            <w:r>
              <w:rPr>
                <w:rFonts w:ascii="Calibri" w:hAnsi="Calibri"/>
                <w:color w:val="1A1A1A"/>
                <w:sz w:val="20"/>
              </w:rPr>
              <w:t>New layer</w:t>
            </w:r>
          </w:p>
        </w:tc>
      </w:tr>
      <w:tr>
        <w:tc>
          <w:tcPr>
            <w:tcW w:type="dxa" w:w="3118"/>
            <w:vAlign w:val="center"/>
          </w:tcPr>
          <w:p>
            <w:pPr>
              <w:jc w:val="left"/>
            </w:pPr>
            <w:r/>
            <w:r>
              <w:rPr>
                <w:rFonts w:ascii="Calibri" w:hAnsi="Calibri"/>
                <w:color w:val="1A1A1A"/>
                <w:sz w:val="20"/>
              </w:rPr>
              <w:t>Contingency (5%)</w:t>
            </w:r>
          </w:p>
        </w:tc>
        <w:tc>
          <w:tcPr>
            <w:tcW w:type="dxa" w:w="1701"/>
            <w:vAlign w:val="center"/>
          </w:tcPr>
          <w:p>
            <w:pPr>
              <w:jc w:val="right"/>
            </w:pPr>
            <w:r/>
            <w:r>
              <w:rPr>
                <w:rFonts w:ascii="Calibri" w:hAnsi="Calibri"/>
                <w:color w:val="1A1A1A"/>
                <w:sz w:val="20"/>
              </w:rPr>
              <w:t>—</w:t>
            </w:r>
          </w:p>
        </w:tc>
        <w:tc>
          <w:tcPr>
            <w:tcW w:type="dxa" w:w="1701"/>
            <w:vAlign w:val="center"/>
          </w:tcPr>
          <w:p>
            <w:pPr>
              <w:jc w:val="right"/>
            </w:pPr>
            <w:r/>
            <w:r>
              <w:rPr>
                <w:rFonts w:ascii="Calibri" w:hAnsi="Calibri"/>
                <w:color w:val="1A1A1A"/>
                <w:sz w:val="20"/>
              </w:rPr>
              <w:t>AED 0.25 M</w:t>
            </w:r>
          </w:p>
        </w:tc>
        <w:tc>
          <w:tcPr>
            <w:tcW w:type="dxa" w:w="2835"/>
            <w:vAlign w:val="center"/>
          </w:tcPr>
          <w:p>
            <w:pPr>
              <w:jc w:val="right"/>
            </w:pPr>
            <w:r/>
            <w:r>
              <w:rPr>
                <w:rFonts w:ascii="Calibri" w:hAnsi="Calibri"/>
                <w:color w:val="1A1A1A"/>
                <w:sz w:val="20"/>
              </w:rPr>
              <w:t>Best-practice add</w:t>
            </w:r>
          </w:p>
        </w:tc>
      </w:tr>
      <w:tr>
        <w:tc>
          <w:tcPr>
            <w:tcW w:type="dxa" w:w="3118"/>
            <w:vAlign w:val="center"/>
          </w:tcPr>
          <w:p>
            <w:pPr>
              <w:jc w:val="left"/>
            </w:pPr>
            <w:r/>
            <w:r>
              <w:rPr>
                <w:rFonts w:ascii="Calibri" w:hAnsi="Calibri"/>
                <w:color w:val="1A1A1A"/>
                <w:sz w:val="20"/>
              </w:rPr>
              <w:t>Total annual OpEx</w:t>
            </w:r>
          </w:p>
        </w:tc>
        <w:tc>
          <w:tcPr>
            <w:tcW w:type="dxa" w:w="1701"/>
            <w:vAlign w:val="center"/>
          </w:tcPr>
          <w:p>
            <w:pPr>
              <w:jc w:val="right"/>
            </w:pPr>
            <w:r/>
            <w:r>
              <w:rPr>
                <w:rFonts w:ascii="Calibri" w:hAnsi="Calibri"/>
                <w:color w:val="1A1A1A"/>
                <w:sz w:val="20"/>
              </w:rPr>
              <w:t>AED 7.2 M</w:t>
            </w:r>
          </w:p>
        </w:tc>
        <w:tc>
          <w:tcPr>
            <w:tcW w:type="dxa" w:w="1701"/>
            <w:vAlign w:val="center"/>
          </w:tcPr>
          <w:p>
            <w:pPr>
              <w:jc w:val="right"/>
            </w:pPr>
            <w:r/>
            <w:r>
              <w:rPr>
                <w:rFonts w:ascii="Calibri" w:hAnsi="Calibri"/>
                <w:color w:val="1A1A1A"/>
                <w:sz w:val="20"/>
              </w:rPr>
              <w:t>AED 9.8 M</w:t>
            </w:r>
          </w:p>
        </w:tc>
        <w:tc>
          <w:tcPr>
            <w:tcW w:type="dxa" w:w="2835"/>
            <w:vAlign w:val="center"/>
          </w:tcPr>
          <w:p>
            <w:pPr>
              <w:jc w:val="right"/>
            </w:pPr>
            <w:r/>
            <w:r>
              <w:rPr>
                <w:rFonts w:ascii="Calibri" w:hAnsi="Calibri"/>
                <w:color w:val="1A1A1A"/>
                <w:sz w:val="20"/>
              </w:rPr>
              <w:t>+AED 2.6 M for the LED layer</w:t>
            </w:r>
          </w:p>
        </w:tc>
      </w:tr>
    </w:tbl>
    <w:p>
      <w:pPr>
        <w:spacing w:after="80"/>
      </w:pPr>
      <w:r>
        <w:rPr>
          <w:rFonts w:ascii="Calibri" w:hAnsi="Calibri"/>
          <w:b w:val="0"/>
          <w:i/>
          <w:color w:val="555555"/>
          <w:sz w:val="20"/>
        </w:rPr>
        <w:t>The +AED 2.6 M delta is the price of running the night LED product. In exchange the current pitch adds AED 15 M+ in night-ticket and sponsorship revenue. The LED layer is OpEx-positive by a wide margin at the project level — the question is whether that holds at the investor level after the revenue-share waterfall is applied (§10).</w:t>
      </w:r>
    </w:p>
    <w:p>
      <w:pPr>
        <w:spacing w:before="360" w:after="160"/>
      </w:pPr>
      <w:r>
        <w:rPr>
          <w:rFonts w:ascii="Calibri" w:hAnsi="Calibri"/>
          <w:b/>
          <w:color w:val="1A1A1A"/>
          <w:sz w:val="40"/>
        </w:rPr>
        <w:t>8. Revenue build — line by line</w:t>
      </w:r>
    </w:p>
    <w:p>
      <w:pPr>
        <w:spacing w:before="200" w:after="40"/>
      </w:pPr>
      <w:r>
        <w:rPr>
          <w:rFonts w:ascii="Calibri" w:hAnsi="Calibri"/>
          <w:b/>
          <w:color w:val="1A1A1A"/>
          <w:sz w:val="24"/>
        </w:rPr>
        <w:t>Original (page 9) — single stream</w:t>
      </w:r>
    </w:p>
    <w:p>
      <w:pPr>
        <w:spacing w:after="80"/>
      </w:pPr>
      <w:r>
        <w:rPr>
          <w:rFonts w:ascii="Calibri" w:hAnsi="Calibri"/>
          <w:b w:val="0"/>
          <w:i w:val="0"/>
          <w:color w:val="1A1A1A"/>
          <w:sz w:val="22"/>
        </w:rPr>
        <w:t>The original proposal has one revenue line: day ticket sales.</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835"/>
            <w:shd w:val="clear" w:color="auto" w:fill="F1E9D2"/>
            <w:vAlign w:val="center"/>
          </w:tcPr>
          <w:p>
            <w:r/>
            <w:r>
              <w:rPr>
                <w:rFonts w:ascii="Calibri" w:hAnsi="Calibri"/>
                <w:b/>
                <w:color w:val="1A1A1A"/>
                <w:sz w:val="20"/>
              </w:rPr>
              <w:t>Stream</w:t>
            </w:r>
          </w:p>
        </w:tc>
        <w:tc>
          <w:tcPr>
            <w:tcW w:type="dxa" w:w="3969"/>
            <w:shd w:val="clear" w:color="auto" w:fill="F1E9D2"/>
            <w:vAlign w:val="center"/>
          </w:tcPr>
          <w:p>
            <w:r/>
            <w:r>
              <w:rPr>
                <w:rFonts w:ascii="Calibri" w:hAnsi="Calibri"/>
                <w:b/>
                <w:color w:val="1A1A1A"/>
                <w:sz w:val="20"/>
              </w:rPr>
              <w:t>Calculation</w:t>
            </w:r>
          </w:p>
        </w:tc>
        <w:tc>
          <w:tcPr>
            <w:tcW w:type="dxa" w:w="2268"/>
            <w:shd w:val="clear" w:color="auto" w:fill="F1E9D2"/>
            <w:vAlign w:val="center"/>
          </w:tcPr>
          <w:p>
            <w:r/>
            <w:r>
              <w:rPr>
                <w:rFonts w:ascii="Calibri" w:hAnsi="Calibri"/>
                <w:b/>
                <w:color w:val="1A1A1A"/>
                <w:sz w:val="20"/>
              </w:rPr>
              <w:t>Year 1 (AED)</w:t>
            </w:r>
          </w:p>
        </w:tc>
      </w:tr>
      <w:tr>
        <w:tc>
          <w:tcPr>
            <w:tcW w:type="dxa" w:w="2835"/>
            <w:vAlign w:val="center"/>
          </w:tcPr>
          <w:p>
            <w:pPr>
              <w:jc w:val="left"/>
            </w:pPr>
            <w:r/>
            <w:r>
              <w:rPr>
                <w:rFonts w:ascii="Calibri" w:hAnsi="Calibri"/>
                <w:color w:val="1A1A1A"/>
                <w:sz w:val="20"/>
              </w:rPr>
              <w:t>Day ticket revenue</w:t>
            </w:r>
          </w:p>
        </w:tc>
        <w:tc>
          <w:tcPr>
            <w:tcW w:type="dxa" w:w="3969"/>
            <w:vAlign w:val="center"/>
          </w:tcPr>
          <w:p>
            <w:pPr>
              <w:jc w:val="right"/>
            </w:pPr>
            <w:r/>
            <w:r>
              <w:rPr>
                <w:rFonts w:ascii="Calibri" w:hAnsi="Calibri"/>
                <w:color w:val="1A1A1A"/>
                <w:sz w:val="20"/>
              </w:rPr>
              <w:t>128,520 guests × AED 192 weighted ARPU</w:t>
            </w:r>
          </w:p>
        </w:tc>
        <w:tc>
          <w:tcPr>
            <w:tcW w:type="dxa" w:w="2268"/>
            <w:vAlign w:val="center"/>
          </w:tcPr>
          <w:p>
            <w:pPr>
              <w:jc w:val="right"/>
            </w:pPr>
            <w:r/>
            <w:r>
              <w:rPr>
                <w:rFonts w:ascii="Calibri" w:hAnsi="Calibri"/>
                <w:color w:val="1A1A1A"/>
                <w:sz w:val="20"/>
              </w:rPr>
              <w:t>AED 24.7 M</w:t>
            </w:r>
          </w:p>
        </w:tc>
      </w:tr>
      <w:tr>
        <w:tc>
          <w:tcPr>
            <w:tcW w:type="dxa" w:w="2835"/>
            <w:vAlign w:val="center"/>
          </w:tcPr>
          <w:p>
            <w:pPr>
              <w:jc w:val="left"/>
            </w:pPr>
            <w:r/>
            <w:r>
              <w:rPr>
                <w:rFonts w:ascii="Calibri" w:hAnsi="Calibri"/>
                <w:color w:val="1A1A1A"/>
                <w:sz w:val="20"/>
              </w:rPr>
              <w:t>Total annual revenue</w:t>
            </w:r>
          </w:p>
        </w:tc>
        <w:tc>
          <w:tcPr>
            <w:tcW w:type="dxa" w:w="3969"/>
            <w:vAlign w:val="center"/>
          </w:tcPr>
          <w:p>
            <w:pPr>
              <w:jc w:val="right"/>
            </w:pPr>
            <w:r/>
            <w:r>
              <w:rPr>
                <w:rFonts w:ascii="Calibri" w:hAnsi="Calibri"/>
                <w:color w:val="1A1A1A"/>
                <w:sz w:val="20"/>
              </w:rPr>
            </w:r>
          </w:p>
        </w:tc>
        <w:tc>
          <w:tcPr>
            <w:tcW w:type="dxa" w:w="2268"/>
            <w:vAlign w:val="center"/>
          </w:tcPr>
          <w:p>
            <w:pPr>
              <w:jc w:val="right"/>
            </w:pPr>
            <w:r/>
            <w:r>
              <w:rPr>
                <w:rFonts w:ascii="Calibri" w:hAnsi="Calibri"/>
                <w:color w:val="1A1A1A"/>
                <w:sz w:val="20"/>
              </w:rPr>
              <w:t>AED 24.7 M</w:t>
            </w:r>
          </w:p>
        </w:tc>
      </w:tr>
    </w:tbl>
    <w:p>
      <w:pPr>
        <w:spacing w:before="200" w:after="40"/>
      </w:pPr>
      <w:r>
        <w:rPr>
          <w:rFonts w:ascii="Calibri" w:hAnsi="Calibri"/>
          <w:b/>
          <w:color w:val="1A1A1A"/>
          <w:sz w:val="24"/>
        </w:rPr>
        <w:t>Current (v2 memo) — six streams</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2835"/>
            <w:shd w:val="clear" w:color="auto" w:fill="F1E9D2"/>
            <w:vAlign w:val="center"/>
          </w:tcPr>
          <w:p>
            <w:r/>
            <w:r>
              <w:rPr>
                <w:rFonts w:ascii="Calibri" w:hAnsi="Calibri"/>
                <w:b/>
                <w:color w:val="1A1A1A"/>
                <w:sz w:val="20"/>
              </w:rPr>
              <w:t>Stream</w:t>
            </w:r>
          </w:p>
        </w:tc>
        <w:tc>
          <w:tcPr>
            <w:tcW w:type="dxa" w:w="1984"/>
            <w:shd w:val="clear" w:color="auto" w:fill="F1E9D2"/>
            <w:vAlign w:val="center"/>
          </w:tcPr>
          <w:p>
            <w:r/>
            <w:r>
              <w:rPr>
                <w:rFonts w:ascii="Calibri" w:hAnsi="Calibri"/>
                <w:b/>
                <w:color w:val="1A1A1A"/>
                <w:sz w:val="20"/>
              </w:rPr>
              <w:t>Conservative</w:t>
            </w:r>
          </w:p>
        </w:tc>
        <w:tc>
          <w:tcPr>
            <w:tcW w:type="dxa" w:w="1984"/>
            <w:shd w:val="clear" w:color="auto" w:fill="F1E9D2"/>
            <w:vAlign w:val="center"/>
          </w:tcPr>
          <w:p>
            <w:r/>
            <w:r>
              <w:rPr>
                <w:rFonts w:ascii="Calibri" w:hAnsi="Calibri"/>
                <w:b/>
                <w:color w:val="1A1A1A"/>
                <w:sz w:val="20"/>
              </w:rPr>
              <w:t>Base Case</w:t>
            </w:r>
          </w:p>
        </w:tc>
        <w:tc>
          <w:tcPr>
            <w:tcW w:type="dxa" w:w="2268"/>
            <w:shd w:val="clear" w:color="auto" w:fill="F1E9D2"/>
            <w:vAlign w:val="center"/>
          </w:tcPr>
          <w:p>
            <w:r/>
            <w:r>
              <w:rPr>
                <w:rFonts w:ascii="Calibri" w:hAnsi="Calibri"/>
                <w:b/>
                <w:color w:val="1A1A1A"/>
                <w:sz w:val="20"/>
              </w:rPr>
              <w:t>Strong</w:t>
            </w:r>
          </w:p>
        </w:tc>
      </w:tr>
      <w:tr>
        <w:tc>
          <w:tcPr>
            <w:tcW w:type="dxa" w:w="2835"/>
            <w:vAlign w:val="center"/>
          </w:tcPr>
          <w:p>
            <w:pPr>
              <w:jc w:val="left"/>
            </w:pPr>
            <w:r/>
            <w:r>
              <w:rPr>
                <w:rFonts w:ascii="Calibri" w:hAnsi="Calibri"/>
                <w:color w:val="1A1A1A"/>
                <w:sz w:val="20"/>
              </w:rPr>
              <w:t>Day ticket revenue</w:t>
            </w:r>
          </w:p>
        </w:tc>
        <w:tc>
          <w:tcPr>
            <w:tcW w:type="dxa" w:w="1984"/>
            <w:vAlign w:val="center"/>
          </w:tcPr>
          <w:p>
            <w:pPr>
              <w:jc w:val="right"/>
            </w:pPr>
            <w:r/>
            <w:r>
              <w:rPr>
                <w:rFonts w:ascii="Calibri" w:hAnsi="Calibri"/>
                <w:color w:val="1A1A1A"/>
                <w:sz w:val="20"/>
              </w:rPr>
              <w:t>AED 2.0 M</w:t>
            </w:r>
          </w:p>
        </w:tc>
        <w:tc>
          <w:tcPr>
            <w:tcW w:type="dxa" w:w="1984"/>
            <w:vAlign w:val="center"/>
          </w:tcPr>
          <w:p>
            <w:pPr>
              <w:jc w:val="right"/>
            </w:pPr>
            <w:r/>
            <w:r>
              <w:rPr>
                <w:rFonts w:ascii="Calibri" w:hAnsi="Calibri"/>
                <w:color w:val="1A1A1A"/>
                <w:sz w:val="20"/>
              </w:rPr>
              <w:t>AED 3.7 M</w:t>
            </w:r>
          </w:p>
        </w:tc>
        <w:tc>
          <w:tcPr>
            <w:tcW w:type="dxa" w:w="2268"/>
            <w:vAlign w:val="center"/>
          </w:tcPr>
          <w:p>
            <w:pPr>
              <w:jc w:val="right"/>
            </w:pPr>
            <w:r/>
            <w:r>
              <w:rPr>
                <w:rFonts w:ascii="Calibri" w:hAnsi="Calibri"/>
                <w:color w:val="1A1A1A"/>
                <w:sz w:val="20"/>
              </w:rPr>
              <w:t>AED 4.7 M</w:t>
            </w:r>
          </w:p>
        </w:tc>
      </w:tr>
      <w:tr>
        <w:tc>
          <w:tcPr>
            <w:tcW w:type="dxa" w:w="2835"/>
            <w:vAlign w:val="center"/>
          </w:tcPr>
          <w:p>
            <w:pPr>
              <w:jc w:val="left"/>
            </w:pPr>
            <w:r/>
            <w:r>
              <w:rPr>
                <w:rFonts w:ascii="Calibri" w:hAnsi="Calibri"/>
                <w:color w:val="1A1A1A"/>
                <w:sz w:val="20"/>
              </w:rPr>
              <w:t>Night ticket revenue</w:t>
            </w:r>
          </w:p>
        </w:tc>
        <w:tc>
          <w:tcPr>
            <w:tcW w:type="dxa" w:w="1984"/>
            <w:vAlign w:val="center"/>
          </w:tcPr>
          <w:p>
            <w:pPr>
              <w:jc w:val="right"/>
            </w:pPr>
            <w:r/>
            <w:r>
              <w:rPr>
                <w:rFonts w:ascii="Calibri" w:hAnsi="Calibri"/>
                <w:color w:val="1A1A1A"/>
                <w:sz w:val="20"/>
              </w:rPr>
              <w:t>AED 8.3 M</w:t>
            </w:r>
          </w:p>
        </w:tc>
        <w:tc>
          <w:tcPr>
            <w:tcW w:type="dxa" w:w="1984"/>
            <w:vAlign w:val="center"/>
          </w:tcPr>
          <w:p>
            <w:pPr>
              <w:jc w:val="right"/>
            </w:pPr>
            <w:r/>
            <w:r>
              <w:rPr>
                <w:rFonts w:ascii="Calibri" w:hAnsi="Calibri"/>
                <w:color w:val="1A1A1A"/>
                <w:sz w:val="20"/>
              </w:rPr>
              <w:t>AED 15.0 M</w:t>
            </w:r>
          </w:p>
        </w:tc>
        <w:tc>
          <w:tcPr>
            <w:tcW w:type="dxa" w:w="2268"/>
            <w:vAlign w:val="center"/>
          </w:tcPr>
          <w:p>
            <w:pPr>
              <w:jc w:val="right"/>
            </w:pPr>
            <w:r/>
            <w:r>
              <w:rPr>
                <w:rFonts w:ascii="Calibri" w:hAnsi="Calibri"/>
                <w:color w:val="1A1A1A"/>
                <w:sz w:val="20"/>
              </w:rPr>
              <w:t>AED 18.8 M</w:t>
            </w:r>
          </w:p>
        </w:tc>
      </w:tr>
      <w:tr>
        <w:tc>
          <w:tcPr>
            <w:tcW w:type="dxa" w:w="2835"/>
            <w:vAlign w:val="center"/>
          </w:tcPr>
          <w:p>
            <w:pPr>
              <w:jc w:val="left"/>
            </w:pPr>
            <w:r/>
            <w:r>
              <w:rPr>
                <w:rFonts w:ascii="Calibri" w:hAnsi="Calibri"/>
                <w:color w:val="1A1A1A"/>
                <w:sz w:val="20"/>
              </w:rPr>
              <w:t>F&amp;B / retail</w:t>
            </w:r>
          </w:p>
        </w:tc>
        <w:tc>
          <w:tcPr>
            <w:tcW w:type="dxa" w:w="1984"/>
            <w:vAlign w:val="center"/>
          </w:tcPr>
          <w:p>
            <w:pPr>
              <w:jc w:val="right"/>
            </w:pPr>
            <w:r/>
            <w:r>
              <w:rPr>
                <w:rFonts w:ascii="Calibri" w:hAnsi="Calibri"/>
                <w:color w:val="1A1A1A"/>
                <w:sz w:val="20"/>
              </w:rPr>
              <w:t>AED 0.3 M</w:t>
            </w:r>
          </w:p>
        </w:tc>
        <w:tc>
          <w:tcPr>
            <w:tcW w:type="dxa" w:w="1984"/>
            <w:vAlign w:val="center"/>
          </w:tcPr>
          <w:p>
            <w:pPr>
              <w:jc w:val="right"/>
            </w:pPr>
            <w:r/>
            <w:r>
              <w:rPr>
                <w:rFonts w:ascii="Calibri" w:hAnsi="Calibri"/>
                <w:color w:val="1A1A1A"/>
                <w:sz w:val="20"/>
              </w:rPr>
              <w:t>AED 0.7 M</w:t>
            </w:r>
          </w:p>
        </w:tc>
        <w:tc>
          <w:tcPr>
            <w:tcW w:type="dxa" w:w="2268"/>
            <w:vAlign w:val="center"/>
          </w:tcPr>
          <w:p>
            <w:pPr>
              <w:jc w:val="right"/>
            </w:pPr>
            <w:r/>
            <w:r>
              <w:rPr>
                <w:rFonts w:ascii="Calibri" w:hAnsi="Calibri"/>
                <w:color w:val="1A1A1A"/>
                <w:sz w:val="20"/>
              </w:rPr>
              <w:t>AED 1.1 M</w:t>
            </w:r>
          </w:p>
        </w:tc>
      </w:tr>
      <w:tr>
        <w:tc>
          <w:tcPr>
            <w:tcW w:type="dxa" w:w="2835"/>
            <w:vAlign w:val="center"/>
          </w:tcPr>
          <w:p>
            <w:pPr>
              <w:jc w:val="left"/>
            </w:pPr>
            <w:r/>
            <w:r>
              <w:rPr>
                <w:rFonts w:ascii="Calibri" w:hAnsi="Calibri"/>
                <w:color w:val="1A1A1A"/>
                <w:sz w:val="20"/>
              </w:rPr>
              <w:t>Sponsorship</w:t>
            </w:r>
          </w:p>
        </w:tc>
        <w:tc>
          <w:tcPr>
            <w:tcW w:type="dxa" w:w="1984"/>
            <w:vAlign w:val="center"/>
          </w:tcPr>
          <w:p>
            <w:pPr>
              <w:jc w:val="right"/>
            </w:pPr>
            <w:r/>
            <w:r>
              <w:rPr>
                <w:rFonts w:ascii="Calibri" w:hAnsi="Calibri"/>
                <w:color w:val="1A1A1A"/>
                <w:sz w:val="20"/>
              </w:rPr>
              <w:t>AED 0.7 M</w:t>
            </w:r>
          </w:p>
        </w:tc>
        <w:tc>
          <w:tcPr>
            <w:tcW w:type="dxa" w:w="1984"/>
            <w:vAlign w:val="center"/>
          </w:tcPr>
          <w:p>
            <w:pPr>
              <w:jc w:val="right"/>
            </w:pPr>
            <w:r/>
            <w:r>
              <w:rPr>
                <w:rFonts w:ascii="Calibri" w:hAnsi="Calibri"/>
                <w:color w:val="1A1A1A"/>
                <w:sz w:val="20"/>
              </w:rPr>
              <w:t>AED 1.6 M</w:t>
            </w:r>
          </w:p>
        </w:tc>
        <w:tc>
          <w:tcPr>
            <w:tcW w:type="dxa" w:w="2268"/>
            <w:vAlign w:val="center"/>
          </w:tcPr>
          <w:p>
            <w:pPr>
              <w:jc w:val="right"/>
            </w:pPr>
            <w:r/>
            <w:r>
              <w:rPr>
                <w:rFonts w:ascii="Calibri" w:hAnsi="Calibri"/>
                <w:color w:val="1A1A1A"/>
                <w:sz w:val="20"/>
              </w:rPr>
              <w:t>AED 2.2 M</w:t>
            </w:r>
          </w:p>
        </w:tc>
      </w:tr>
      <w:tr>
        <w:tc>
          <w:tcPr>
            <w:tcW w:type="dxa" w:w="2835"/>
            <w:vAlign w:val="center"/>
          </w:tcPr>
          <w:p>
            <w:pPr>
              <w:jc w:val="left"/>
            </w:pPr>
            <w:r/>
            <w:r>
              <w:rPr>
                <w:rFonts w:ascii="Calibri" w:hAnsi="Calibri"/>
                <w:color w:val="1A1A1A"/>
                <w:sz w:val="20"/>
              </w:rPr>
              <w:t>Museum partnership</w:t>
            </w:r>
          </w:p>
        </w:tc>
        <w:tc>
          <w:tcPr>
            <w:tcW w:type="dxa" w:w="1984"/>
            <w:vAlign w:val="center"/>
          </w:tcPr>
          <w:p>
            <w:pPr>
              <w:jc w:val="right"/>
            </w:pPr>
            <w:r/>
            <w:r>
              <w:rPr>
                <w:rFonts w:ascii="Calibri" w:hAnsi="Calibri"/>
                <w:color w:val="1A1A1A"/>
                <w:sz w:val="20"/>
              </w:rPr>
              <w:t>AED 0.1 M</w:t>
            </w:r>
          </w:p>
        </w:tc>
        <w:tc>
          <w:tcPr>
            <w:tcW w:type="dxa" w:w="1984"/>
            <w:vAlign w:val="center"/>
          </w:tcPr>
          <w:p>
            <w:pPr>
              <w:jc w:val="right"/>
            </w:pPr>
            <w:r/>
            <w:r>
              <w:rPr>
                <w:rFonts w:ascii="Calibri" w:hAnsi="Calibri"/>
                <w:color w:val="1A1A1A"/>
                <w:sz w:val="20"/>
              </w:rPr>
              <w:t>AED 0.4 M</w:t>
            </w:r>
          </w:p>
        </w:tc>
        <w:tc>
          <w:tcPr>
            <w:tcW w:type="dxa" w:w="2268"/>
            <w:vAlign w:val="center"/>
          </w:tcPr>
          <w:p>
            <w:pPr>
              <w:jc w:val="right"/>
            </w:pPr>
            <w:r/>
            <w:r>
              <w:rPr>
                <w:rFonts w:ascii="Calibri" w:hAnsi="Calibri"/>
                <w:color w:val="1A1A1A"/>
                <w:sz w:val="20"/>
              </w:rPr>
              <w:t>AED 0.5 M</w:t>
            </w:r>
          </w:p>
        </w:tc>
      </w:tr>
      <w:tr>
        <w:tc>
          <w:tcPr>
            <w:tcW w:type="dxa" w:w="2835"/>
            <w:vAlign w:val="center"/>
          </w:tcPr>
          <w:p>
            <w:pPr>
              <w:jc w:val="left"/>
            </w:pPr>
            <w:r/>
            <w:r>
              <w:rPr>
                <w:rFonts w:ascii="Calibri" w:hAnsi="Calibri"/>
                <w:color w:val="1A1A1A"/>
                <w:sz w:val="20"/>
              </w:rPr>
              <w:t>Private gondola / VIP</w:t>
            </w:r>
          </w:p>
        </w:tc>
        <w:tc>
          <w:tcPr>
            <w:tcW w:type="dxa" w:w="1984"/>
            <w:vAlign w:val="center"/>
          </w:tcPr>
          <w:p>
            <w:pPr>
              <w:jc w:val="right"/>
            </w:pPr>
            <w:r/>
            <w:r>
              <w:rPr>
                <w:rFonts w:ascii="Calibri" w:hAnsi="Calibri"/>
                <w:color w:val="1A1A1A"/>
                <w:sz w:val="20"/>
              </w:rPr>
              <w:t>AED 0.4 M</w:t>
            </w:r>
          </w:p>
        </w:tc>
        <w:tc>
          <w:tcPr>
            <w:tcW w:type="dxa" w:w="1984"/>
            <w:vAlign w:val="center"/>
          </w:tcPr>
          <w:p>
            <w:pPr>
              <w:jc w:val="right"/>
            </w:pPr>
            <w:r/>
            <w:r>
              <w:rPr>
                <w:rFonts w:ascii="Calibri" w:hAnsi="Calibri"/>
                <w:color w:val="1A1A1A"/>
                <w:sz w:val="20"/>
              </w:rPr>
              <w:t>AED 0.8 M</w:t>
            </w:r>
          </w:p>
        </w:tc>
        <w:tc>
          <w:tcPr>
            <w:tcW w:type="dxa" w:w="2268"/>
            <w:vAlign w:val="center"/>
          </w:tcPr>
          <w:p>
            <w:pPr>
              <w:jc w:val="right"/>
            </w:pPr>
            <w:r/>
            <w:r>
              <w:rPr>
                <w:rFonts w:ascii="Calibri" w:hAnsi="Calibri"/>
                <w:color w:val="1A1A1A"/>
                <w:sz w:val="20"/>
              </w:rPr>
              <w:t>AED 1.0 M</w:t>
            </w:r>
          </w:p>
        </w:tc>
      </w:tr>
      <w:tr>
        <w:tc>
          <w:tcPr>
            <w:tcW w:type="dxa" w:w="2835"/>
            <w:vAlign w:val="center"/>
          </w:tcPr>
          <w:p>
            <w:pPr>
              <w:jc w:val="left"/>
            </w:pPr>
            <w:r/>
            <w:r>
              <w:rPr>
                <w:rFonts w:ascii="Calibri" w:hAnsi="Calibri"/>
                <w:color w:val="1A1A1A"/>
                <w:sz w:val="20"/>
              </w:rPr>
              <w:t>Total annual revenue</w:t>
            </w:r>
          </w:p>
        </w:tc>
        <w:tc>
          <w:tcPr>
            <w:tcW w:type="dxa" w:w="1984"/>
            <w:vAlign w:val="center"/>
          </w:tcPr>
          <w:p>
            <w:pPr>
              <w:jc w:val="right"/>
            </w:pPr>
            <w:r/>
            <w:r>
              <w:rPr>
                <w:rFonts w:ascii="Calibri" w:hAnsi="Calibri"/>
                <w:color w:val="1A1A1A"/>
                <w:sz w:val="20"/>
              </w:rPr>
              <w:t>AED 11.8 M</w:t>
            </w:r>
          </w:p>
        </w:tc>
        <w:tc>
          <w:tcPr>
            <w:tcW w:type="dxa" w:w="1984"/>
            <w:vAlign w:val="center"/>
          </w:tcPr>
          <w:p>
            <w:pPr>
              <w:jc w:val="right"/>
            </w:pPr>
            <w:r/>
            <w:r>
              <w:rPr>
                <w:rFonts w:ascii="Calibri" w:hAnsi="Calibri"/>
                <w:color w:val="1A1A1A"/>
                <w:sz w:val="20"/>
              </w:rPr>
              <w:t>AED 22.2 M</w:t>
            </w:r>
          </w:p>
        </w:tc>
        <w:tc>
          <w:tcPr>
            <w:tcW w:type="dxa" w:w="2268"/>
            <w:vAlign w:val="center"/>
          </w:tcPr>
          <w:p>
            <w:pPr>
              <w:jc w:val="right"/>
            </w:pPr>
            <w:r/>
            <w:r>
              <w:rPr>
                <w:rFonts w:ascii="Calibri" w:hAnsi="Calibri"/>
                <w:color w:val="1A1A1A"/>
                <w:sz w:val="20"/>
              </w:rPr>
              <w:t>AED 28.3 M</w:t>
            </w:r>
          </w:p>
        </w:tc>
      </w:tr>
    </w:tbl>
    <w:p>
      <w:pPr>
        <w:spacing w:after="80"/>
      </w:pPr>
      <w:r>
        <w:rPr>
          <w:rFonts w:ascii="Calibri" w:hAnsi="Calibri"/>
          <w:b w:val="0"/>
          <w:i/>
          <w:color w:val="555555"/>
          <w:sz w:val="20"/>
        </w:rPr>
        <w:t>The current pitch headline (AED 22.2 M v2 / AED 24.7 M blueprint) is similar to the original (AED 24.7 M), but the composition is completely different: the original was 100% sightseeing tickets, while the current model is ~17% day tickets / ~68% night tickets / ~15% ancillaries.</w:t>
      </w:r>
    </w:p>
    <w:p>
      <w:pPr>
        <w:spacing w:before="360" w:after="160"/>
      </w:pPr>
      <w:r>
        <w:rPr>
          <w:rFonts w:ascii="Calibri" w:hAnsi="Calibri"/>
          <w:b/>
          <w:color w:val="1A1A1A"/>
          <w:sz w:val="40"/>
        </w:rPr>
        <w:t>9. Revenue-share waterfall — the missing structural piece</w:t>
      </w:r>
    </w:p>
    <w:p>
      <w:pPr>
        <w:spacing w:after="80"/>
      </w:pPr>
      <w:r>
        <w:rPr>
          <w:rFonts w:ascii="Calibri" w:hAnsi="Calibri"/>
          <w:b w:val="0"/>
          <w:i w:val="0"/>
          <w:color w:val="1A1A1A"/>
          <w:sz w:val="22"/>
        </w:rPr>
        <w:t>Page 11 of the original proposal defines a revenue-share structure between four parties. The current pitch does not yet incorporate this. Re-stated explicitly:</w:t>
      </w:r>
    </w:p>
    <w:p>
      <w:pPr>
        <w:spacing w:before="200" w:after="40"/>
      </w:pPr>
      <w:r>
        <w:rPr>
          <w:rFonts w:ascii="Calibri" w:hAnsi="Calibri"/>
          <w:b/>
          <w:color w:val="1A1A1A"/>
          <w:sz w:val="24"/>
        </w:rPr>
        <w:t>Original waterfall — sequential</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850"/>
            <w:shd w:val="clear" w:color="auto" w:fill="F1E9D2"/>
            <w:vAlign w:val="center"/>
          </w:tcPr>
          <w:p>
            <w:r/>
            <w:r>
              <w:rPr>
                <w:rFonts w:ascii="Calibri" w:hAnsi="Calibri"/>
                <w:b/>
                <w:color w:val="1A1A1A"/>
                <w:sz w:val="20"/>
              </w:rPr>
              <w:t>Step</w:t>
            </w:r>
          </w:p>
        </w:tc>
        <w:tc>
          <w:tcPr>
            <w:tcW w:type="dxa" w:w="2835"/>
            <w:shd w:val="clear" w:color="auto" w:fill="F1E9D2"/>
            <w:vAlign w:val="center"/>
          </w:tcPr>
          <w:p>
            <w:r/>
            <w:r>
              <w:rPr>
                <w:rFonts w:ascii="Calibri" w:hAnsi="Calibri"/>
                <w:b/>
                <w:color w:val="1A1A1A"/>
                <w:sz w:val="20"/>
              </w:rPr>
              <w:t>Party</w:t>
            </w:r>
          </w:p>
        </w:tc>
        <w:tc>
          <w:tcPr>
            <w:tcW w:type="dxa" w:w="3969"/>
            <w:shd w:val="clear" w:color="auto" w:fill="F1E9D2"/>
            <w:vAlign w:val="center"/>
          </w:tcPr>
          <w:p>
            <w:r/>
            <w:r>
              <w:rPr>
                <w:rFonts w:ascii="Calibri" w:hAnsi="Calibri"/>
                <w:b/>
                <w:color w:val="1A1A1A"/>
                <w:sz w:val="20"/>
              </w:rPr>
              <w:t>Rule</w:t>
            </w:r>
          </w:p>
        </w:tc>
        <w:tc>
          <w:tcPr>
            <w:tcW w:type="dxa" w:w="1984"/>
            <w:shd w:val="clear" w:color="auto" w:fill="F1E9D2"/>
            <w:vAlign w:val="center"/>
          </w:tcPr>
          <w:p>
            <w:r/>
            <w:r>
              <w:rPr>
                <w:rFonts w:ascii="Calibri" w:hAnsi="Calibri"/>
                <w:b/>
                <w:color w:val="1A1A1A"/>
                <w:sz w:val="20"/>
              </w:rPr>
              <w:t>Cumulative share of GROSS</w:t>
            </w:r>
          </w:p>
        </w:tc>
      </w:tr>
      <w:tr>
        <w:tc>
          <w:tcPr>
            <w:tcW w:type="dxa" w:w="850"/>
            <w:vAlign w:val="center"/>
          </w:tcPr>
          <w:p>
            <w:pPr>
              <w:jc w:val="left"/>
            </w:pPr>
            <w:r/>
            <w:r>
              <w:rPr>
                <w:rFonts w:ascii="Calibri" w:hAnsi="Calibri"/>
                <w:color w:val="1A1A1A"/>
                <w:sz w:val="20"/>
              </w:rPr>
              <w:t>1</w:t>
            </w:r>
          </w:p>
        </w:tc>
        <w:tc>
          <w:tcPr>
            <w:tcW w:type="dxa" w:w="2835"/>
            <w:vAlign w:val="center"/>
          </w:tcPr>
          <w:p>
            <w:pPr>
              <w:jc w:val="right"/>
            </w:pPr>
            <w:r/>
            <w:r>
              <w:rPr>
                <w:rFonts w:ascii="Calibri" w:hAnsi="Calibri"/>
                <w:color w:val="1A1A1A"/>
                <w:sz w:val="20"/>
              </w:rPr>
              <w:t>Government</w:t>
            </w:r>
          </w:p>
        </w:tc>
        <w:tc>
          <w:tcPr>
            <w:tcW w:type="dxa" w:w="3969"/>
            <w:vAlign w:val="center"/>
          </w:tcPr>
          <w:p>
            <w:pPr>
              <w:jc w:val="right"/>
            </w:pPr>
            <w:r/>
            <w:r>
              <w:rPr>
                <w:rFonts w:ascii="Calibri" w:hAnsi="Calibri"/>
                <w:color w:val="1A1A1A"/>
                <w:sz w:val="20"/>
              </w:rPr>
              <w:t>5% VAT on gross</w:t>
            </w:r>
          </w:p>
        </w:tc>
        <w:tc>
          <w:tcPr>
            <w:tcW w:type="dxa" w:w="1984"/>
            <w:vAlign w:val="center"/>
          </w:tcPr>
          <w:p>
            <w:pPr>
              <w:jc w:val="right"/>
            </w:pPr>
            <w:r/>
            <w:r>
              <w:rPr>
                <w:rFonts w:ascii="Calibri" w:hAnsi="Calibri"/>
                <w:color w:val="1A1A1A"/>
                <w:sz w:val="20"/>
              </w:rPr>
              <w:t>5.00%</w:t>
            </w:r>
          </w:p>
        </w:tc>
      </w:tr>
      <w:tr>
        <w:tc>
          <w:tcPr>
            <w:tcW w:type="dxa" w:w="850"/>
            <w:vAlign w:val="center"/>
          </w:tcPr>
          <w:p>
            <w:pPr>
              <w:jc w:val="left"/>
            </w:pPr>
            <w:r/>
            <w:r>
              <w:rPr>
                <w:rFonts w:ascii="Calibri" w:hAnsi="Calibri"/>
                <w:color w:val="1A1A1A"/>
                <w:sz w:val="20"/>
              </w:rPr>
              <w:t>2</w:t>
            </w:r>
          </w:p>
        </w:tc>
        <w:tc>
          <w:tcPr>
            <w:tcW w:type="dxa" w:w="2835"/>
            <w:vAlign w:val="center"/>
          </w:tcPr>
          <w:p>
            <w:pPr>
              <w:jc w:val="right"/>
            </w:pPr>
            <w:r/>
            <w:r>
              <w:rPr>
                <w:rFonts w:ascii="Calibri" w:hAnsi="Calibri"/>
                <w:color w:val="1A1A1A"/>
                <w:sz w:val="20"/>
              </w:rPr>
              <w:t>Partner / Authority</w:t>
            </w:r>
          </w:p>
        </w:tc>
        <w:tc>
          <w:tcPr>
            <w:tcW w:type="dxa" w:w="3969"/>
            <w:vAlign w:val="center"/>
          </w:tcPr>
          <w:p>
            <w:pPr>
              <w:jc w:val="right"/>
            </w:pPr>
            <w:r/>
            <w:r>
              <w:rPr>
                <w:rFonts w:ascii="Calibri" w:hAnsi="Calibri"/>
                <w:color w:val="1A1A1A"/>
                <w:sz w:val="20"/>
              </w:rPr>
              <w:t>12% of net-of-VAT (i.e. 12% × 95%)</w:t>
            </w:r>
          </w:p>
        </w:tc>
        <w:tc>
          <w:tcPr>
            <w:tcW w:type="dxa" w:w="1984"/>
            <w:vAlign w:val="center"/>
          </w:tcPr>
          <w:p>
            <w:pPr>
              <w:jc w:val="right"/>
            </w:pPr>
            <w:r/>
            <w:r>
              <w:rPr>
                <w:rFonts w:ascii="Calibri" w:hAnsi="Calibri"/>
                <w:color w:val="1A1A1A"/>
                <w:sz w:val="20"/>
              </w:rPr>
              <w:t>11.40%</w:t>
            </w:r>
          </w:p>
        </w:tc>
      </w:tr>
      <w:tr>
        <w:tc>
          <w:tcPr>
            <w:tcW w:type="dxa" w:w="850"/>
            <w:vAlign w:val="center"/>
          </w:tcPr>
          <w:p>
            <w:pPr>
              <w:jc w:val="left"/>
            </w:pPr>
            <w:r/>
            <w:r>
              <w:rPr>
                <w:rFonts w:ascii="Calibri" w:hAnsi="Calibri"/>
                <w:color w:val="1A1A1A"/>
                <w:sz w:val="20"/>
              </w:rPr>
              <w:t>3</w:t>
            </w:r>
          </w:p>
        </w:tc>
        <w:tc>
          <w:tcPr>
            <w:tcW w:type="dxa" w:w="2835"/>
            <w:vAlign w:val="center"/>
          </w:tcPr>
          <w:p>
            <w:pPr>
              <w:jc w:val="right"/>
            </w:pPr>
            <w:r/>
            <w:r>
              <w:rPr>
                <w:rFonts w:ascii="Calibri" w:hAnsi="Calibri"/>
                <w:color w:val="1A1A1A"/>
                <w:sz w:val="20"/>
              </w:rPr>
              <w:t>Operator (Hero Experiences)</w:t>
            </w:r>
          </w:p>
        </w:tc>
        <w:tc>
          <w:tcPr>
            <w:tcW w:type="dxa" w:w="3969"/>
            <w:vAlign w:val="center"/>
          </w:tcPr>
          <w:p>
            <w:pPr>
              <w:jc w:val="right"/>
            </w:pPr>
            <w:r/>
            <w:r>
              <w:rPr>
                <w:rFonts w:ascii="Calibri" w:hAnsi="Calibri"/>
                <w:color w:val="1A1A1A"/>
                <w:sz w:val="20"/>
              </w:rPr>
              <w:t>83% of the post-VAT, post-Partner pool (i.e. 83% × 88% × 95%)</w:t>
            </w:r>
          </w:p>
        </w:tc>
        <w:tc>
          <w:tcPr>
            <w:tcW w:type="dxa" w:w="1984"/>
            <w:vAlign w:val="center"/>
          </w:tcPr>
          <w:p>
            <w:pPr>
              <w:jc w:val="right"/>
            </w:pPr>
            <w:r/>
            <w:r>
              <w:rPr>
                <w:rFonts w:ascii="Calibri" w:hAnsi="Calibri"/>
                <w:color w:val="1A1A1A"/>
                <w:sz w:val="20"/>
              </w:rPr>
              <w:t>69.40%</w:t>
            </w:r>
          </w:p>
        </w:tc>
      </w:tr>
      <w:tr>
        <w:tc>
          <w:tcPr>
            <w:tcW w:type="dxa" w:w="850"/>
            <w:vAlign w:val="center"/>
          </w:tcPr>
          <w:p>
            <w:pPr>
              <w:jc w:val="left"/>
            </w:pPr>
            <w:r/>
            <w:r>
              <w:rPr>
                <w:rFonts w:ascii="Calibri" w:hAnsi="Calibri"/>
                <w:color w:val="1A1A1A"/>
                <w:sz w:val="20"/>
              </w:rPr>
              <w:t>4</w:t>
            </w:r>
          </w:p>
        </w:tc>
        <w:tc>
          <w:tcPr>
            <w:tcW w:type="dxa" w:w="2835"/>
            <w:vAlign w:val="center"/>
          </w:tcPr>
          <w:p>
            <w:pPr>
              <w:jc w:val="right"/>
            </w:pPr>
            <w:r/>
            <w:r>
              <w:rPr>
                <w:rFonts w:ascii="Calibri" w:hAnsi="Calibri"/>
                <w:color w:val="1A1A1A"/>
                <w:sz w:val="20"/>
              </w:rPr>
              <w:t>Investor (residual)</w:t>
            </w:r>
          </w:p>
        </w:tc>
        <w:tc>
          <w:tcPr>
            <w:tcW w:type="dxa" w:w="3969"/>
            <w:vAlign w:val="center"/>
          </w:tcPr>
          <w:p>
            <w:pPr>
              <w:jc w:val="right"/>
            </w:pPr>
            <w:r/>
            <w:r>
              <w:rPr>
                <w:rFonts w:ascii="Calibri" w:hAnsi="Calibri"/>
                <w:color w:val="1A1A1A"/>
                <w:sz w:val="20"/>
              </w:rPr>
              <w:t>17% of the post-VAT, post-Partner pool (i.e. 17% × 88% × 95%)</w:t>
            </w:r>
          </w:p>
        </w:tc>
        <w:tc>
          <w:tcPr>
            <w:tcW w:type="dxa" w:w="1984"/>
            <w:vAlign w:val="center"/>
          </w:tcPr>
          <w:p>
            <w:pPr>
              <w:jc w:val="right"/>
            </w:pPr>
            <w:r/>
            <w:r>
              <w:rPr>
                <w:rFonts w:ascii="Calibri" w:hAnsi="Calibri"/>
                <w:color w:val="1A1A1A"/>
                <w:sz w:val="20"/>
              </w:rPr>
              <w:t>14.21%</w:t>
            </w:r>
          </w:p>
        </w:tc>
      </w:tr>
      <w:tr>
        <w:tc>
          <w:tcPr>
            <w:tcW w:type="dxa" w:w="850"/>
            <w:vAlign w:val="center"/>
          </w:tcPr>
          <w:p>
            <w:pPr>
              <w:jc w:val="left"/>
            </w:pPr>
            <w:r/>
            <w:r>
              <w:rPr>
                <w:rFonts w:ascii="Calibri" w:hAnsi="Calibri"/>
                <w:color w:val="1A1A1A"/>
                <w:sz w:val="20"/>
              </w:rPr>
            </w:r>
          </w:p>
        </w:tc>
        <w:tc>
          <w:tcPr>
            <w:tcW w:type="dxa" w:w="2835"/>
            <w:vAlign w:val="center"/>
          </w:tcPr>
          <w:p>
            <w:pPr>
              <w:jc w:val="right"/>
            </w:pPr>
            <w:r/>
            <w:r>
              <w:rPr>
                <w:rFonts w:ascii="Calibri" w:hAnsi="Calibri"/>
                <w:color w:val="1A1A1A"/>
                <w:sz w:val="20"/>
              </w:rPr>
              <w:t>Total</w:t>
            </w:r>
          </w:p>
        </w:tc>
        <w:tc>
          <w:tcPr>
            <w:tcW w:type="dxa" w:w="3969"/>
            <w:vAlign w:val="center"/>
          </w:tcPr>
          <w:p>
            <w:pPr>
              <w:jc w:val="right"/>
            </w:pPr>
            <w:r/>
            <w:r>
              <w:rPr>
                <w:rFonts w:ascii="Calibri" w:hAnsi="Calibri"/>
                <w:color w:val="1A1A1A"/>
                <w:sz w:val="20"/>
              </w:rPr>
            </w:r>
          </w:p>
        </w:tc>
        <w:tc>
          <w:tcPr>
            <w:tcW w:type="dxa" w:w="1984"/>
            <w:vAlign w:val="center"/>
          </w:tcPr>
          <w:p>
            <w:pPr>
              <w:jc w:val="right"/>
            </w:pPr>
            <w:r/>
            <w:r>
              <w:rPr>
                <w:rFonts w:ascii="Calibri" w:hAnsi="Calibri"/>
                <w:color w:val="1A1A1A"/>
                <w:sz w:val="20"/>
              </w:rPr>
              <w:t>100.00%</w:t>
            </w:r>
          </w:p>
        </w:tc>
      </w:tr>
    </w:tbl>
    <w:p>
      <w:pPr>
        <w:spacing w:after="80"/>
      </w:pPr>
      <w:r>
        <w:rPr>
          <w:rFonts w:ascii="Calibri" w:hAnsi="Calibri"/>
          <w:b w:val="0"/>
          <w:i w:val="0"/>
          <w:color w:val="1A1A1A"/>
          <w:sz w:val="22"/>
        </w:rPr>
        <w:t>Sanity check against the original's stated "AED 35.4 M investor retained over 10 years":</w:t>
      </w:r>
    </w:p>
    <w:p>
      <w:pPr>
        <w:pStyle w:val="ListBullet"/>
        <w:spacing w:after="40"/>
        <w:ind w:left="283"/>
      </w:pPr>
      <w:r>
        <w:rPr>
          <w:rFonts w:ascii="Calibri" w:hAnsi="Calibri"/>
          <w:color w:val="1A1A1A"/>
          <w:sz w:val="22"/>
        </w:rPr>
        <w:t>Year 1 gross revenue: AED 24.7 M</w:t>
      </w:r>
    </w:p>
    <w:p>
      <w:pPr>
        <w:pStyle w:val="ListBullet"/>
        <w:spacing w:after="40"/>
        <w:ind w:left="283"/>
      </w:pPr>
      <w:r>
        <w:rPr>
          <w:rFonts w:ascii="Calibri" w:hAnsi="Calibri"/>
          <w:color w:val="1A1A1A"/>
          <w:sz w:val="22"/>
        </w:rPr>
        <w:t>Year 1 investor share: 24.7 × 14.21% = AED 3.51 M</w:t>
      </w:r>
    </w:p>
    <w:p>
      <w:pPr>
        <w:pStyle w:val="ListBullet"/>
        <w:spacing w:after="40"/>
        <w:ind w:left="283"/>
      </w:pPr>
      <w:r>
        <w:rPr>
          <w:rFonts w:ascii="Calibri" w:hAnsi="Calibri"/>
          <w:color w:val="1A1A1A"/>
          <w:sz w:val="22"/>
        </w:rPr>
        <w:t>10 years × AED 3.51 M (flat) = AED 35.1 M ≈ AED 35.4 M ✓</w:t>
      </w:r>
    </w:p>
    <w:p>
      <w:pPr>
        <w:spacing w:before="200" w:after="40"/>
      </w:pPr>
      <w:r>
        <w:rPr>
          <w:rFonts w:ascii="Calibri" w:hAnsi="Calibri"/>
          <w:b/>
          <w:color w:val="1A1A1A"/>
          <w:sz w:val="24"/>
        </w:rPr>
        <w:t>What the splits look like in cash</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835"/>
            <w:shd w:val="clear" w:color="auto" w:fill="F1E9D2"/>
            <w:vAlign w:val="center"/>
          </w:tcPr>
          <w:p>
            <w:r/>
            <w:r>
              <w:rPr>
                <w:rFonts w:ascii="Calibri" w:hAnsi="Calibri"/>
                <w:b/>
                <w:color w:val="1A1A1A"/>
                <w:sz w:val="20"/>
              </w:rPr>
              <w:t>Party</w:t>
            </w:r>
          </w:p>
        </w:tc>
        <w:tc>
          <w:tcPr>
            <w:tcW w:type="dxa" w:w="3118"/>
            <w:shd w:val="clear" w:color="auto" w:fill="F1E9D2"/>
            <w:vAlign w:val="center"/>
          </w:tcPr>
          <w:p>
            <w:r/>
            <w:r>
              <w:rPr>
                <w:rFonts w:ascii="Calibri" w:hAnsi="Calibri"/>
                <w:b/>
                <w:color w:val="1A1A1A"/>
                <w:sz w:val="20"/>
              </w:rPr>
              <w:t>Year 1 cash (orig. AED 24.7 M)</w:t>
            </w:r>
          </w:p>
        </w:tc>
        <w:tc>
          <w:tcPr>
            <w:tcW w:type="dxa" w:w="3118"/>
            <w:shd w:val="clear" w:color="auto" w:fill="F1E9D2"/>
            <w:vAlign w:val="center"/>
          </w:tcPr>
          <w:p>
            <w:r/>
            <w:r>
              <w:rPr>
                <w:rFonts w:ascii="Calibri" w:hAnsi="Calibri"/>
                <w:b/>
                <w:color w:val="1A1A1A"/>
                <w:sz w:val="20"/>
              </w:rPr>
              <w:t>Year 1 cash (current Base AED 22.2 M)</w:t>
            </w:r>
          </w:p>
        </w:tc>
      </w:tr>
      <w:tr>
        <w:tc>
          <w:tcPr>
            <w:tcW w:type="dxa" w:w="2835"/>
            <w:vAlign w:val="center"/>
          </w:tcPr>
          <w:p>
            <w:pPr>
              <w:jc w:val="left"/>
            </w:pPr>
            <w:r/>
            <w:r>
              <w:rPr>
                <w:rFonts w:ascii="Calibri" w:hAnsi="Calibri"/>
                <w:color w:val="1A1A1A"/>
                <w:sz w:val="20"/>
              </w:rPr>
              <w:t>Government (VAT)</w:t>
            </w:r>
          </w:p>
        </w:tc>
        <w:tc>
          <w:tcPr>
            <w:tcW w:type="dxa" w:w="3118"/>
            <w:vAlign w:val="center"/>
          </w:tcPr>
          <w:p>
            <w:pPr>
              <w:jc w:val="right"/>
            </w:pPr>
            <w:r/>
            <w:r>
              <w:rPr>
                <w:rFonts w:ascii="Calibri" w:hAnsi="Calibri"/>
                <w:color w:val="1A1A1A"/>
                <w:sz w:val="20"/>
              </w:rPr>
              <w:t>AED 1.24 M</w:t>
            </w:r>
          </w:p>
        </w:tc>
        <w:tc>
          <w:tcPr>
            <w:tcW w:type="dxa" w:w="3118"/>
            <w:vAlign w:val="center"/>
          </w:tcPr>
          <w:p>
            <w:pPr>
              <w:jc w:val="right"/>
            </w:pPr>
            <w:r/>
            <w:r>
              <w:rPr>
                <w:rFonts w:ascii="Calibri" w:hAnsi="Calibri"/>
                <w:color w:val="1A1A1A"/>
                <w:sz w:val="20"/>
              </w:rPr>
              <w:t>AED 1.11 M</w:t>
            </w:r>
          </w:p>
        </w:tc>
      </w:tr>
      <w:tr>
        <w:tc>
          <w:tcPr>
            <w:tcW w:type="dxa" w:w="2835"/>
            <w:vAlign w:val="center"/>
          </w:tcPr>
          <w:p>
            <w:pPr>
              <w:jc w:val="left"/>
            </w:pPr>
            <w:r/>
            <w:r>
              <w:rPr>
                <w:rFonts w:ascii="Calibri" w:hAnsi="Calibri"/>
                <w:color w:val="1A1A1A"/>
                <w:sz w:val="20"/>
              </w:rPr>
              <w:t>Partner / Authority</w:t>
            </w:r>
          </w:p>
        </w:tc>
        <w:tc>
          <w:tcPr>
            <w:tcW w:type="dxa" w:w="3118"/>
            <w:vAlign w:val="center"/>
          </w:tcPr>
          <w:p>
            <w:pPr>
              <w:jc w:val="right"/>
            </w:pPr>
            <w:r/>
            <w:r>
              <w:rPr>
                <w:rFonts w:ascii="Calibri" w:hAnsi="Calibri"/>
                <w:color w:val="1A1A1A"/>
                <w:sz w:val="20"/>
              </w:rPr>
              <w:t>AED 2.81 M</w:t>
            </w:r>
          </w:p>
        </w:tc>
        <w:tc>
          <w:tcPr>
            <w:tcW w:type="dxa" w:w="3118"/>
            <w:vAlign w:val="center"/>
          </w:tcPr>
          <w:p>
            <w:pPr>
              <w:jc w:val="right"/>
            </w:pPr>
            <w:r/>
            <w:r>
              <w:rPr>
                <w:rFonts w:ascii="Calibri" w:hAnsi="Calibri"/>
                <w:color w:val="1A1A1A"/>
                <w:sz w:val="20"/>
              </w:rPr>
              <w:t>AED 2.53 M</w:t>
            </w:r>
          </w:p>
        </w:tc>
      </w:tr>
      <w:tr>
        <w:tc>
          <w:tcPr>
            <w:tcW w:type="dxa" w:w="2835"/>
            <w:vAlign w:val="center"/>
          </w:tcPr>
          <w:p>
            <w:pPr>
              <w:jc w:val="left"/>
            </w:pPr>
            <w:r/>
            <w:r>
              <w:rPr>
                <w:rFonts w:ascii="Calibri" w:hAnsi="Calibri"/>
                <w:color w:val="1A1A1A"/>
                <w:sz w:val="20"/>
              </w:rPr>
              <w:t>Operator (Hero)</w:t>
            </w:r>
          </w:p>
        </w:tc>
        <w:tc>
          <w:tcPr>
            <w:tcW w:type="dxa" w:w="3118"/>
            <w:vAlign w:val="center"/>
          </w:tcPr>
          <w:p>
            <w:pPr>
              <w:jc w:val="right"/>
            </w:pPr>
            <w:r/>
            <w:r>
              <w:rPr>
                <w:rFonts w:ascii="Calibri" w:hAnsi="Calibri"/>
                <w:color w:val="1A1A1A"/>
                <w:sz w:val="20"/>
              </w:rPr>
              <w:t>AED 17.14 M</w:t>
            </w:r>
          </w:p>
        </w:tc>
        <w:tc>
          <w:tcPr>
            <w:tcW w:type="dxa" w:w="3118"/>
            <w:vAlign w:val="center"/>
          </w:tcPr>
          <w:p>
            <w:pPr>
              <w:jc w:val="right"/>
            </w:pPr>
            <w:r/>
            <w:r>
              <w:rPr>
                <w:rFonts w:ascii="Calibri" w:hAnsi="Calibri"/>
                <w:color w:val="1A1A1A"/>
                <w:sz w:val="20"/>
              </w:rPr>
              <w:t>AED 15.41 M</w:t>
            </w:r>
          </w:p>
        </w:tc>
      </w:tr>
      <w:tr>
        <w:tc>
          <w:tcPr>
            <w:tcW w:type="dxa" w:w="2835"/>
            <w:vAlign w:val="center"/>
          </w:tcPr>
          <w:p>
            <w:pPr>
              <w:jc w:val="left"/>
            </w:pPr>
            <w:r/>
            <w:r>
              <w:rPr>
                <w:rFonts w:ascii="Calibri" w:hAnsi="Calibri"/>
                <w:color w:val="1A1A1A"/>
                <w:sz w:val="20"/>
              </w:rPr>
              <w:t>Investor</w:t>
            </w:r>
          </w:p>
        </w:tc>
        <w:tc>
          <w:tcPr>
            <w:tcW w:type="dxa" w:w="3118"/>
            <w:vAlign w:val="center"/>
          </w:tcPr>
          <w:p>
            <w:pPr>
              <w:jc w:val="right"/>
            </w:pPr>
            <w:r/>
            <w:r>
              <w:rPr>
                <w:rFonts w:ascii="Calibri" w:hAnsi="Calibri"/>
                <w:color w:val="1A1A1A"/>
                <w:sz w:val="20"/>
              </w:rPr>
              <w:t>AED 3.51 M</w:t>
            </w:r>
          </w:p>
        </w:tc>
        <w:tc>
          <w:tcPr>
            <w:tcW w:type="dxa" w:w="3118"/>
            <w:vAlign w:val="center"/>
          </w:tcPr>
          <w:p>
            <w:pPr>
              <w:jc w:val="right"/>
            </w:pPr>
            <w:r/>
            <w:r>
              <w:rPr>
                <w:rFonts w:ascii="Calibri" w:hAnsi="Calibri"/>
                <w:color w:val="1A1A1A"/>
                <w:sz w:val="20"/>
              </w:rPr>
              <w:t>AED 3.16 M</w:t>
            </w:r>
          </w:p>
        </w:tc>
      </w:tr>
      <w:tr>
        <w:tc>
          <w:tcPr>
            <w:tcW w:type="dxa" w:w="2835"/>
            <w:vAlign w:val="center"/>
          </w:tcPr>
          <w:p>
            <w:pPr>
              <w:jc w:val="left"/>
            </w:pPr>
            <w:r/>
            <w:r>
              <w:rPr>
                <w:rFonts w:ascii="Calibri" w:hAnsi="Calibri"/>
                <w:color w:val="1A1A1A"/>
                <w:sz w:val="20"/>
              </w:rPr>
              <w:t>Gross</w:t>
            </w:r>
          </w:p>
        </w:tc>
        <w:tc>
          <w:tcPr>
            <w:tcW w:type="dxa" w:w="3118"/>
            <w:vAlign w:val="center"/>
          </w:tcPr>
          <w:p>
            <w:pPr>
              <w:jc w:val="right"/>
            </w:pPr>
            <w:r/>
            <w:r>
              <w:rPr>
                <w:rFonts w:ascii="Calibri" w:hAnsi="Calibri"/>
                <w:color w:val="1A1A1A"/>
                <w:sz w:val="20"/>
              </w:rPr>
              <w:t>AED 24.70 M</w:t>
            </w:r>
          </w:p>
        </w:tc>
        <w:tc>
          <w:tcPr>
            <w:tcW w:type="dxa" w:w="3118"/>
            <w:vAlign w:val="center"/>
          </w:tcPr>
          <w:p>
            <w:pPr>
              <w:jc w:val="right"/>
            </w:pPr>
            <w:r/>
            <w:r>
              <w:rPr>
                <w:rFonts w:ascii="Calibri" w:hAnsi="Calibri"/>
                <w:color w:val="1A1A1A"/>
                <w:sz w:val="20"/>
              </w:rPr>
              <w:t>AED 22.20 M</w:t>
            </w:r>
          </w:p>
        </w:tc>
      </w:tr>
    </w:tbl>
    <w:p>
      <w:pPr>
        <w:spacing w:after="80"/>
      </w:pPr>
      <w:r>
        <w:rPr>
          <w:rFonts w:ascii="Calibri" w:hAnsi="Calibri"/>
          <w:b w:val="0"/>
          <w:i/>
          <w:color w:val="555555"/>
          <w:sz w:val="20"/>
        </w:rPr>
        <w:t>The Operator keeps AED 15–17 M annually before paying any OpEx out of its 69.4% share. The Investor receives AED 3.16–3.51 M annually and is also the party that funded CAPEX. These are not symmetric positions.</w:t>
      </w:r>
    </w:p>
    <w:p>
      <w:pPr>
        <w:spacing w:before="360" w:after="160"/>
      </w:pPr>
      <w:r>
        <w:rPr>
          <w:rFonts w:ascii="Calibri" w:hAnsi="Calibri"/>
          <w:b/>
          <w:color w:val="1A1A1A"/>
          <w:sz w:val="40"/>
        </w:rPr>
        <w:t>10. Applying the waterfall to the current pitch</w:t>
      </w:r>
    </w:p>
    <w:p>
      <w:pPr>
        <w:spacing w:after="80"/>
      </w:pPr>
      <w:r>
        <w:rPr>
          <w:rFonts w:ascii="Calibri" w:hAnsi="Calibri"/>
          <w:b w:val="0"/>
          <w:i w:val="0"/>
          <w:color w:val="1A1A1A"/>
          <w:sz w:val="22"/>
        </w:rPr>
        <w:t>Below is the current Base Case (v2 memo, AED 22.2 M annual revenue, AED 25.9 M CAPEX) restated with the original's waterfall applied. For completeness the original's own returns are restated the same way against its CAPEX of AED 15 M.</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685"/>
            <w:shd w:val="clear" w:color="auto" w:fill="F1E9D2"/>
            <w:vAlign w:val="center"/>
          </w:tcPr>
          <w:p>
            <w:r/>
            <w:r>
              <w:rPr>
                <w:rFonts w:ascii="Calibri" w:hAnsi="Calibri"/>
                <w:b/>
                <w:color w:val="1A1A1A"/>
                <w:sz w:val="20"/>
              </w:rPr>
              <w:t>Metric</w:t>
            </w:r>
          </w:p>
        </w:tc>
        <w:tc>
          <w:tcPr>
            <w:tcW w:type="dxa" w:w="2551"/>
            <w:shd w:val="clear" w:color="auto" w:fill="F1E9D2"/>
            <w:vAlign w:val="center"/>
          </w:tcPr>
          <w:p>
            <w:r/>
            <w:r>
              <w:rPr>
                <w:rFonts w:ascii="Calibri" w:hAnsi="Calibri"/>
                <w:b/>
                <w:color w:val="1A1A1A"/>
                <w:sz w:val="20"/>
              </w:rPr>
              <w:t>Original (orig. CAPEX 15 M)</w:t>
            </w:r>
          </w:p>
        </w:tc>
        <w:tc>
          <w:tcPr>
            <w:tcW w:type="dxa" w:w="2551"/>
            <w:shd w:val="clear" w:color="auto" w:fill="F1E9D2"/>
            <w:vAlign w:val="center"/>
          </w:tcPr>
          <w:p>
            <w:r/>
            <w:r>
              <w:rPr>
                <w:rFonts w:ascii="Calibri" w:hAnsi="Calibri"/>
                <w:b/>
                <w:color w:val="1A1A1A"/>
                <w:sz w:val="20"/>
              </w:rPr>
              <w:t>Current (CAPEX 25.9 M)</w:t>
            </w:r>
          </w:p>
        </w:tc>
        <w:tc>
          <w:tcPr>
            <w:tcW w:type="dxa" w:w="1417"/>
            <w:shd w:val="clear" w:color="auto" w:fill="F1E9D2"/>
            <w:vAlign w:val="center"/>
          </w:tcPr>
          <w:p>
            <w:r/>
            <w:r>
              <w:rPr>
                <w:rFonts w:ascii="Calibri" w:hAnsi="Calibri"/>
                <w:b/>
                <w:color w:val="1A1A1A"/>
                <w:sz w:val="20"/>
              </w:rPr>
              <w:t>Delta</w:t>
            </w:r>
          </w:p>
        </w:tc>
      </w:tr>
      <w:tr>
        <w:tc>
          <w:tcPr>
            <w:tcW w:type="dxa" w:w="3685"/>
            <w:vAlign w:val="center"/>
          </w:tcPr>
          <w:p>
            <w:pPr>
              <w:jc w:val="left"/>
            </w:pPr>
            <w:r/>
            <w:r>
              <w:rPr>
                <w:rFonts w:ascii="Calibri" w:hAnsi="Calibri"/>
                <w:color w:val="1A1A1A"/>
                <w:sz w:val="20"/>
              </w:rPr>
              <w:t>Year 1 gross revenue</w:t>
            </w:r>
          </w:p>
        </w:tc>
        <w:tc>
          <w:tcPr>
            <w:tcW w:type="dxa" w:w="2551"/>
            <w:vAlign w:val="center"/>
          </w:tcPr>
          <w:p>
            <w:pPr>
              <w:jc w:val="right"/>
            </w:pPr>
            <w:r/>
            <w:r>
              <w:rPr>
                <w:rFonts w:ascii="Calibri" w:hAnsi="Calibri"/>
                <w:color w:val="1A1A1A"/>
                <w:sz w:val="20"/>
              </w:rPr>
              <w:t>AED 24.7 M</w:t>
            </w:r>
          </w:p>
        </w:tc>
        <w:tc>
          <w:tcPr>
            <w:tcW w:type="dxa" w:w="2551"/>
            <w:vAlign w:val="center"/>
          </w:tcPr>
          <w:p>
            <w:pPr>
              <w:jc w:val="right"/>
            </w:pPr>
            <w:r/>
            <w:r>
              <w:rPr>
                <w:rFonts w:ascii="Calibri" w:hAnsi="Calibri"/>
                <w:color w:val="1A1A1A"/>
                <w:sz w:val="20"/>
              </w:rPr>
              <w:t>AED 22.2 M</w:t>
            </w:r>
          </w:p>
        </w:tc>
        <w:tc>
          <w:tcPr>
            <w:tcW w:type="dxa" w:w="1417"/>
            <w:vAlign w:val="center"/>
          </w:tcPr>
          <w:p>
            <w:pPr>
              <w:jc w:val="right"/>
            </w:pPr>
            <w:r/>
            <w:r>
              <w:rPr>
                <w:rFonts w:ascii="Calibri" w:hAnsi="Calibri"/>
                <w:color w:val="1A1A1A"/>
                <w:sz w:val="20"/>
              </w:rPr>
              <w:t>–AED 2.5 M</w:t>
            </w:r>
          </w:p>
        </w:tc>
      </w:tr>
      <w:tr>
        <w:tc>
          <w:tcPr>
            <w:tcW w:type="dxa" w:w="3685"/>
            <w:vAlign w:val="center"/>
          </w:tcPr>
          <w:p>
            <w:pPr>
              <w:jc w:val="left"/>
            </w:pPr>
            <w:r/>
            <w:r>
              <w:rPr>
                <w:rFonts w:ascii="Calibri" w:hAnsi="Calibri"/>
                <w:color w:val="1A1A1A"/>
                <w:sz w:val="20"/>
              </w:rPr>
              <w:t>Year 1 investor cash (14.21% of gross)</w:t>
            </w:r>
          </w:p>
        </w:tc>
        <w:tc>
          <w:tcPr>
            <w:tcW w:type="dxa" w:w="2551"/>
            <w:vAlign w:val="center"/>
          </w:tcPr>
          <w:p>
            <w:pPr>
              <w:jc w:val="right"/>
            </w:pPr>
            <w:r/>
            <w:r>
              <w:rPr>
                <w:rFonts w:ascii="Calibri" w:hAnsi="Calibri"/>
                <w:color w:val="1A1A1A"/>
                <w:sz w:val="20"/>
              </w:rPr>
              <w:t>AED 3.51 M</w:t>
            </w:r>
          </w:p>
        </w:tc>
        <w:tc>
          <w:tcPr>
            <w:tcW w:type="dxa" w:w="2551"/>
            <w:vAlign w:val="center"/>
          </w:tcPr>
          <w:p>
            <w:pPr>
              <w:jc w:val="right"/>
            </w:pPr>
            <w:r/>
            <w:r>
              <w:rPr>
                <w:rFonts w:ascii="Calibri" w:hAnsi="Calibri"/>
                <w:color w:val="1A1A1A"/>
                <w:sz w:val="20"/>
              </w:rPr>
              <w:t>AED 3.16 M</w:t>
            </w:r>
          </w:p>
        </w:tc>
        <w:tc>
          <w:tcPr>
            <w:tcW w:type="dxa" w:w="1417"/>
            <w:vAlign w:val="center"/>
          </w:tcPr>
          <w:p>
            <w:pPr>
              <w:jc w:val="right"/>
            </w:pPr>
            <w:r/>
            <w:r>
              <w:rPr>
                <w:rFonts w:ascii="Calibri" w:hAnsi="Calibri"/>
                <w:color w:val="1A1A1A"/>
                <w:sz w:val="20"/>
              </w:rPr>
              <w:t>–AED 0.35 M</w:t>
            </w:r>
          </w:p>
        </w:tc>
      </w:tr>
      <w:tr>
        <w:tc>
          <w:tcPr>
            <w:tcW w:type="dxa" w:w="3685"/>
            <w:vAlign w:val="center"/>
          </w:tcPr>
          <w:p>
            <w:pPr>
              <w:jc w:val="left"/>
            </w:pPr>
            <w:r/>
            <w:r>
              <w:rPr>
                <w:rFonts w:ascii="Calibri" w:hAnsi="Calibri"/>
                <w:color w:val="1A1A1A"/>
                <w:sz w:val="20"/>
              </w:rPr>
              <w:t>Simple payback (flat, no growth)</w:t>
            </w:r>
          </w:p>
        </w:tc>
        <w:tc>
          <w:tcPr>
            <w:tcW w:type="dxa" w:w="2551"/>
            <w:vAlign w:val="center"/>
          </w:tcPr>
          <w:p>
            <w:pPr>
              <w:jc w:val="right"/>
            </w:pPr>
            <w:r/>
            <w:r>
              <w:rPr>
                <w:rFonts w:ascii="Calibri" w:hAnsi="Calibri"/>
                <w:color w:val="1A1A1A"/>
                <w:sz w:val="20"/>
              </w:rPr>
              <w:t>~4.3 yrs</w:t>
            </w:r>
          </w:p>
        </w:tc>
        <w:tc>
          <w:tcPr>
            <w:tcW w:type="dxa" w:w="2551"/>
            <w:vAlign w:val="center"/>
          </w:tcPr>
          <w:p>
            <w:pPr>
              <w:jc w:val="right"/>
            </w:pPr>
            <w:r/>
            <w:r>
              <w:rPr>
                <w:rFonts w:ascii="Calibri" w:hAnsi="Calibri"/>
                <w:color w:val="1A1A1A"/>
                <w:sz w:val="20"/>
              </w:rPr>
              <w:t>~8.2 yrs</w:t>
            </w:r>
          </w:p>
        </w:tc>
        <w:tc>
          <w:tcPr>
            <w:tcW w:type="dxa" w:w="1417"/>
            <w:vAlign w:val="center"/>
          </w:tcPr>
          <w:p>
            <w:pPr>
              <w:jc w:val="right"/>
            </w:pPr>
            <w:r/>
            <w:r>
              <w:rPr>
                <w:rFonts w:ascii="Calibri" w:hAnsi="Calibri"/>
                <w:color w:val="1A1A1A"/>
                <w:sz w:val="20"/>
              </w:rPr>
              <w:t>+3.9 yrs</w:t>
            </w:r>
          </w:p>
        </w:tc>
      </w:tr>
      <w:tr>
        <w:tc>
          <w:tcPr>
            <w:tcW w:type="dxa" w:w="3685"/>
            <w:vAlign w:val="center"/>
          </w:tcPr>
          <w:p>
            <w:pPr>
              <w:jc w:val="left"/>
            </w:pPr>
            <w:r/>
            <w:r>
              <w:rPr>
                <w:rFonts w:ascii="Calibri" w:hAnsi="Calibri"/>
                <w:color w:val="1A1A1A"/>
                <w:sz w:val="20"/>
              </w:rPr>
              <w:t>Simple payback (5% YoY growth)</w:t>
            </w:r>
          </w:p>
        </w:tc>
        <w:tc>
          <w:tcPr>
            <w:tcW w:type="dxa" w:w="2551"/>
            <w:vAlign w:val="center"/>
          </w:tcPr>
          <w:p>
            <w:pPr>
              <w:jc w:val="right"/>
            </w:pPr>
            <w:r/>
            <w:r>
              <w:rPr>
                <w:rFonts w:ascii="Calibri" w:hAnsi="Calibri"/>
                <w:color w:val="1A1A1A"/>
                <w:sz w:val="20"/>
              </w:rPr>
              <w:t>~3.8 yrs</w:t>
            </w:r>
          </w:p>
        </w:tc>
        <w:tc>
          <w:tcPr>
            <w:tcW w:type="dxa" w:w="2551"/>
            <w:vAlign w:val="center"/>
          </w:tcPr>
          <w:p>
            <w:pPr>
              <w:jc w:val="right"/>
            </w:pPr>
            <w:r/>
            <w:r>
              <w:rPr>
                <w:rFonts w:ascii="Calibri" w:hAnsi="Calibri"/>
                <w:color w:val="1A1A1A"/>
                <w:sz w:val="20"/>
              </w:rPr>
              <w:t>~6.9 yrs</w:t>
            </w:r>
          </w:p>
        </w:tc>
        <w:tc>
          <w:tcPr>
            <w:tcW w:type="dxa" w:w="1417"/>
            <w:vAlign w:val="center"/>
          </w:tcPr>
          <w:p>
            <w:pPr>
              <w:jc w:val="right"/>
            </w:pPr>
            <w:r/>
            <w:r>
              <w:rPr>
                <w:rFonts w:ascii="Calibri" w:hAnsi="Calibri"/>
                <w:color w:val="1A1A1A"/>
                <w:sz w:val="20"/>
              </w:rPr>
              <w:t>+3.1 yrs</w:t>
            </w:r>
          </w:p>
        </w:tc>
      </w:tr>
      <w:tr>
        <w:tc>
          <w:tcPr>
            <w:tcW w:type="dxa" w:w="3685"/>
            <w:vAlign w:val="center"/>
          </w:tcPr>
          <w:p>
            <w:pPr>
              <w:jc w:val="left"/>
            </w:pPr>
            <w:r/>
            <w:r>
              <w:rPr>
                <w:rFonts w:ascii="Calibri" w:hAnsi="Calibri"/>
                <w:color w:val="1A1A1A"/>
                <w:sz w:val="20"/>
              </w:rPr>
              <w:t>10-yr investor cash (flat)</w:t>
            </w:r>
          </w:p>
        </w:tc>
        <w:tc>
          <w:tcPr>
            <w:tcW w:type="dxa" w:w="2551"/>
            <w:vAlign w:val="center"/>
          </w:tcPr>
          <w:p>
            <w:pPr>
              <w:jc w:val="right"/>
            </w:pPr>
            <w:r/>
            <w:r>
              <w:rPr>
                <w:rFonts w:ascii="Calibri" w:hAnsi="Calibri"/>
                <w:color w:val="1A1A1A"/>
                <w:sz w:val="20"/>
              </w:rPr>
              <w:t>AED 35.1 M</w:t>
            </w:r>
          </w:p>
        </w:tc>
        <w:tc>
          <w:tcPr>
            <w:tcW w:type="dxa" w:w="2551"/>
            <w:vAlign w:val="center"/>
          </w:tcPr>
          <w:p>
            <w:pPr>
              <w:jc w:val="right"/>
            </w:pPr>
            <w:r/>
            <w:r>
              <w:rPr>
                <w:rFonts w:ascii="Calibri" w:hAnsi="Calibri"/>
                <w:color w:val="1A1A1A"/>
                <w:sz w:val="20"/>
              </w:rPr>
              <w:t>AED 31.6 M</w:t>
            </w:r>
          </w:p>
        </w:tc>
        <w:tc>
          <w:tcPr>
            <w:tcW w:type="dxa" w:w="1417"/>
            <w:vAlign w:val="center"/>
          </w:tcPr>
          <w:p>
            <w:pPr>
              <w:jc w:val="right"/>
            </w:pPr>
            <w:r/>
            <w:r>
              <w:rPr>
                <w:rFonts w:ascii="Calibri" w:hAnsi="Calibri"/>
                <w:color w:val="1A1A1A"/>
                <w:sz w:val="20"/>
              </w:rPr>
              <w:t>–AED 3.5 M</w:t>
            </w:r>
          </w:p>
        </w:tc>
      </w:tr>
      <w:tr>
        <w:tc>
          <w:tcPr>
            <w:tcW w:type="dxa" w:w="3685"/>
            <w:vAlign w:val="center"/>
          </w:tcPr>
          <w:p>
            <w:pPr>
              <w:jc w:val="left"/>
            </w:pPr>
            <w:r/>
            <w:r>
              <w:rPr>
                <w:rFonts w:ascii="Calibri" w:hAnsi="Calibri"/>
                <w:color w:val="1A1A1A"/>
                <w:sz w:val="20"/>
              </w:rPr>
              <w:t>10-yr investor cash (5% YoY)</w:t>
            </w:r>
          </w:p>
        </w:tc>
        <w:tc>
          <w:tcPr>
            <w:tcW w:type="dxa" w:w="2551"/>
            <w:vAlign w:val="center"/>
          </w:tcPr>
          <w:p>
            <w:pPr>
              <w:jc w:val="right"/>
            </w:pPr>
            <w:r/>
            <w:r>
              <w:rPr>
                <w:rFonts w:ascii="Calibri" w:hAnsi="Calibri"/>
                <w:color w:val="1A1A1A"/>
                <w:sz w:val="20"/>
              </w:rPr>
              <w:t>AED 44.2 M</w:t>
            </w:r>
          </w:p>
        </w:tc>
        <w:tc>
          <w:tcPr>
            <w:tcW w:type="dxa" w:w="2551"/>
            <w:vAlign w:val="center"/>
          </w:tcPr>
          <w:p>
            <w:pPr>
              <w:jc w:val="right"/>
            </w:pPr>
            <w:r/>
            <w:r>
              <w:rPr>
                <w:rFonts w:ascii="Calibri" w:hAnsi="Calibri"/>
                <w:color w:val="1A1A1A"/>
                <w:sz w:val="20"/>
              </w:rPr>
              <w:t>AED 39.7 M</w:t>
            </w:r>
          </w:p>
        </w:tc>
        <w:tc>
          <w:tcPr>
            <w:tcW w:type="dxa" w:w="1417"/>
            <w:vAlign w:val="center"/>
          </w:tcPr>
          <w:p>
            <w:pPr>
              <w:jc w:val="right"/>
            </w:pPr>
            <w:r/>
            <w:r>
              <w:rPr>
                <w:rFonts w:ascii="Calibri" w:hAnsi="Calibri"/>
                <w:color w:val="1A1A1A"/>
                <w:sz w:val="20"/>
              </w:rPr>
              <w:t>–AED 4.5 M</w:t>
            </w:r>
          </w:p>
        </w:tc>
      </w:tr>
      <w:tr>
        <w:tc>
          <w:tcPr>
            <w:tcW w:type="dxa" w:w="3685"/>
            <w:vAlign w:val="center"/>
          </w:tcPr>
          <w:p>
            <w:pPr>
              <w:jc w:val="left"/>
            </w:pPr>
            <w:r/>
            <w:r>
              <w:rPr>
                <w:rFonts w:ascii="Calibri" w:hAnsi="Calibri"/>
                <w:color w:val="1A1A1A"/>
                <w:sz w:val="20"/>
              </w:rPr>
              <w:t>10-yr MOIC at investor level (5% YoY)</w:t>
            </w:r>
          </w:p>
        </w:tc>
        <w:tc>
          <w:tcPr>
            <w:tcW w:type="dxa" w:w="2551"/>
            <w:vAlign w:val="center"/>
          </w:tcPr>
          <w:p>
            <w:pPr>
              <w:jc w:val="right"/>
            </w:pPr>
            <w:r/>
            <w:r>
              <w:rPr>
                <w:rFonts w:ascii="Calibri" w:hAnsi="Calibri"/>
                <w:color w:val="1A1A1A"/>
                <w:sz w:val="20"/>
              </w:rPr>
              <w:t>~2.9×</w:t>
            </w:r>
          </w:p>
        </w:tc>
        <w:tc>
          <w:tcPr>
            <w:tcW w:type="dxa" w:w="2551"/>
            <w:vAlign w:val="center"/>
          </w:tcPr>
          <w:p>
            <w:pPr>
              <w:jc w:val="right"/>
            </w:pPr>
            <w:r/>
            <w:r>
              <w:rPr>
                <w:rFonts w:ascii="Calibri" w:hAnsi="Calibri"/>
                <w:color w:val="1A1A1A"/>
                <w:sz w:val="20"/>
              </w:rPr>
              <w:t>~1.5×</w:t>
            </w:r>
          </w:p>
        </w:tc>
        <w:tc>
          <w:tcPr>
            <w:tcW w:type="dxa" w:w="1417"/>
            <w:vAlign w:val="center"/>
          </w:tcPr>
          <w:p>
            <w:pPr>
              <w:jc w:val="right"/>
            </w:pPr>
            <w:r/>
            <w:r>
              <w:rPr>
                <w:rFonts w:ascii="Calibri" w:hAnsi="Calibri"/>
                <w:color w:val="1A1A1A"/>
                <w:sz w:val="20"/>
              </w:rPr>
              <w:t>–1.4×</w:t>
            </w:r>
          </w:p>
        </w:tc>
      </w:tr>
      <w:tr>
        <w:tc>
          <w:tcPr>
            <w:tcW w:type="dxa" w:w="3685"/>
            <w:vAlign w:val="center"/>
          </w:tcPr>
          <w:p>
            <w:pPr>
              <w:jc w:val="left"/>
            </w:pPr>
            <w:r/>
            <w:r>
              <w:rPr>
                <w:rFonts w:ascii="Calibri" w:hAnsi="Calibri"/>
                <w:color w:val="1A1A1A"/>
                <w:sz w:val="20"/>
              </w:rPr>
              <w:t>vs. Current PROJECT-level MOIC (no waterfall)</w:t>
            </w:r>
          </w:p>
        </w:tc>
        <w:tc>
          <w:tcPr>
            <w:tcW w:type="dxa" w:w="2551"/>
            <w:vAlign w:val="center"/>
          </w:tcPr>
          <w:p>
            <w:pPr>
              <w:jc w:val="right"/>
            </w:pPr>
            <w:r/>
            <w:r>
              <w:rPr>
                <w:rFonts w:ascii="Calibri" w:hAnsi="Calibri"/>
                <w:color w:val="1A1A1A"/>
                <w:sz w:val="20"/>
              </w:rPr>
              <w:t>—</w:t>
            </w:r>
          </w:p>
        </w:tc>
        <w:tc>
          <w:tcPr>
            <w:tcW w:type="dxa" w:w="2551"/>
            <w:vAlign w:val="center"/>
          </w:tcPr>
          <w:p>
            <w:pPr>
              <w:jc w:val="right"/>
            </w:pPr>
            <w:r/>
            <w:r>
              <w:rPr>
                <w:rFonts w:ascii="Calibri" w:hAnsi="Calibri"/>
                <w:color w:val="1A1A1A"/>
                <w:sz w:val="20"/>
              </w:rPr>
              <w:t>~4.7×</w:t>
            </w:r>
          </w:p>
        </w:tc>
        <w:tc>
          <w:tcPr>
            <w:tcW w:type="dxa" w:w="1417"/>
            <w:vAlign w:val="center"/>
          </w:tcPr>
          <w:p>
            <w:pPr>
              <w:jc w:val="right"/>
            </w:pPr>
            <w:r/>
            <w:r>
              <w:rPr>
                <w:rFonts w:ascii="Calibri" w:hAnsi="Calibri"/>
                <w:color w:val="1A1A1A"/>
                <w:sz w:val="20"/>
              </w:rPr>
              <w:t>Gap from waterfall</w:t>
            </w:r>
          </w:p>
        </w:tc>
      </w:tr>
    </w:tbl>
    <w:p>
      <w:pPr>
        <w:spacing w:before="160" w:after="40"/>
      </w:pPr>
      <w:r>
        <w:rPr>
          <w:rFonts w:ascii="Calibri" w:hAnsi="Calibri"/>
          <w:b/>
          <w:color w:val="B02A2A"/>
          <w:sz w:val="22"/>
        </w:rPr>
        <w:t>⚠ Headline finding.</w:t>
      </w:r>
    </w:p>
    <w:p>
      <w:pPr>
        <w:spacing w:after="120"/>
      </w:pPr>
      <w:r>
        <w:rPr>
          <w:rFonts w:ascii="Calibri" w:hAnsi="Calibri"/>
          <w:b w:val="0"/>
          <w:i w:val="0"/>
          <w:color w:val="1A1A1A"/>
          <w:sz w:val="20"/>
        </w:rPr>
        <w:t>If the original waterfall (12% Partner / 83% Operator / 5% VAT) is preserved in the current deal, the investor sees AED ~3.16 M of cash per year against a AED 25.9 M CAPEX. That is roughly an 8-year flat payback and a ~1.5× 10-year MOIC at the investor level — versus the ~2.1 year payback and ~4.7× MOIC the current deck shows at the project level. The two numbers describe different pots of money. The deck should be explicit about which one it is quoting.</w:t>
      </w:r>
    </w:p>
    <w:p>
      <w:pPr>
        <w:spacing w:before="200" w:after="40"/>
      </w:pPr>
      <w:r>
        <w:rPr>
          <w:rFonts w:ascii="Calibri" w:hAnsi="Calibri"/>
          <w:b/>
          <w:color w:val="1A1A1A"/>
          <w:sz w:val="24"/>
        </w:rPr>
        <w:t>Implications</w:t>
      </w:r>
    </w:p>
    <w:p>
      <w:pPr>
        <w:pStyle w:val="ListBullet"/>
        <w:spacing w:after="40"/>
        <w:ind w:left="283"/>
      </w:pPr>
      <w:r>
        <w:rPr>
          <w:rFonts w:ascii="Calibri" w:hAnsi="Calibri"/>
          <w:color w:val="1A1A1A"/>
          <w:sz w:val="22"/>
        </w:rPr>
        <w:t>If we keep the original waterfall, the current pitch overstates investor-facing returns by a factor of ~3× because it reports at the project level, not at the investor level.</w:t>
      </w:r>
    </w:p>
    <w:p>
      <w:pPr>
        <w:pStyle w:val="ListBullet"/>
        <w:spacing w:after="40"/>
        <w:ind w:left="283"/>
      </w:pPr>
      <w:r>
        <w:rPr>
          <w:rFonts w:ascii="Calibri" w:hAnsi="Calibri"/>
          <w:color w:val="1A1A1A"/>
          <w:sz w:val="22"/>
        </w:rPr>
        <w:t>The investor in the current deal is also funding an additional AED 15 M of LED canvas + AED 2.8 M of content that did not exist in the original — but the waterfall does not adjust to compensate for that. This is the structural inconsistency to resolve before the next investor read.</w:t>
      </w:r>
    </w:p>
    <w:p>
      <w:pPr>
        <w:pStyle w:val="ListBullet"/>
        <w:spacing w:after="40"/>
        <w:ind w:left="283"/>
      </w:pPr>
      <w:r>
        <w:rPr>
          <w:rFonts w:ascii="Calibri" w:hAnsi="Calibri"/>
          <w:color w:val="1A1A1A"/>
          <w:sz w:val="22"/>
        </w:rPr>
        <w:t>Three possible resolutions (not mutually exclusive): (a) renegotiate the waterfall to give the investor a larger residual reflecting the expanded CAPEX scope; (b) carve out the LED canvas revenue stream (night tickets, sponsorship) under a different waterfall than the balloon stream; (c) restructure as a two-investor model where the balloon investor and the LED canvas investor are different parties with different return profiles.</w:t>
      </w:r>
    </w:p>
    <w:p>
      <w:pPr>
        <w:spacing w:before="360" w:after="160"/>
      </w:pPr>
      <w:r>
        <w:rPr>
          <w:rFonts w:ascii="Calibri" w:hAnsi="Calibri"/>
          <w:b/>
          <w:color w:val="1A1A1A"/>
          <w:sz w:val="40"/>
        </w:rPr>
        <w:t>11. Open questions for the CEO</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567"/>
            <w:shd w:val="clear" w:color="auto" w:fill="F1E9D2"/>
            <w:vAlign w:val="center"/>
          </w:tcPr>
          <w:p>
            <w:r/>
            <w:r>
              <w:rPr>
                <w:rFonts w:ascii="Calibri" w:hAnsi="Calibri"/>
                <w:b/>
                <w:color w:val="1A1A1A"/>
                <w:sz w:val="20"/>
              </w:rPr>
              <w:t>#</w:t>
            </w:r>
          </w:p>
        </w:tc>
        <w:tc>
          <w:tcPr>
            <w:tcW w:type="dxa" w:w="4252"/>
            <w:shd w:val="clear" w:color="auto" w:fill="F1E9D2"/>
            <w:vAlign w:val="center"/>
          </w:tcPr>
          <w:p>
            <w:r/>
            <w:r>
              <w:rPr>
                <w:rFonts w:ascii="Calibri" w:hAnsi="Calibri"/>
                <w:b/>
                <w:color w:val="1A1A1A"/>
                <w:sz w:val="20"/>
              </w:rPr>
              <w:t>Question</w:t>
            </w:r>
          </w:p>
        </w:tc>
        <w:tc>
          <w:tcPr>
            <w:tcW w:type="dxa" w:w="3969"/>
            <w:shd w:val="clear" w:color="auto" w:fill="F1E9D2"/>
            <w:vAlign w:val="center"/>
          </w:tcPr>
          <w:p>
            <w:r/>
            <w:r>
              <w:rPr>
                <w:rFonts w:ascii="Calibri" w:hAnsi="Calibri"/>
                <w:b/>
                <w:color w:val="1A1A1A"/>
                <w:sz w:val="20"/>
              </w:rPr>
              <w:t>Why it matters</w:t>
            </w:r>
          </w:p>
        </w:tc>
      </w:tr>
      <w:tr>
        <w:tc>
          <w:tcPr>
            <w:tcW w:type="dxa" w:w="567"/>
            <w:vAlign w:val="center"/>
          </w:tcPr>
          <w:p>
            <w:pPr>
              <w:jc w:val="left"/>
            </w:pPr>
            <w:r/>
            <w:r>
              <w:rPr>
                <w:rFonts w:ascii="Calibri" w:hAnsi="Calibri"/>
                <w:color w:val="1A1A1A"/>
                <w:sz w:val="20"/>
              </w:rPr>
              <w:t>1</w:t>
            </w:r>
          </w:p>
        </w:tc>
        <w:tc>
          <w:tcPr>
            <w:tcW w:type="dxa" w:w="4252"/>
            <w:vAlign w:val="center"/>
          </w:tcPr>
          <w:p>
            <w:pPr>
              <w:jc w:val="right"/>
            </w:pPr>
            <w:r/>
            <w:r>
              <w:rPr>
                <w:rFonts w:ascii="Calibri" w:hAnsi="Calibri"/>
                <w:color w:val="1A1A1A"/>
                <w:sz w:val="20"/>
              </w:rPr>
              <w:t>Is the 12% Partner / 83% Operator / 5% VAT waterfall still binding for Canvas From The Sky, or is the partnership structure being renegotiated for the larger CAPEX scope?</w:t>
            </w:r>
          </w:p>
        </w:tc>
        <w:tc>
          <w:tcPr>
            <w:tcW w:type="dxa" w:w="3969"/>
            <w:vAlign w:val="center"/>
          </w:tcPr>
          <w:p>
            <w:pPr>
              <w:jc w:val="right"/>
            </w:pPr>
            <w:r/>
            <w:r>
              <w:rPr>
                <w:rFonts w:ascii="Calibri" w:hAnsi="Calibri"/>
                <w:color w:val="1A1A1A"/>
                <w:sz w:val="20"/>
              </w:rPr>
              <w:t>Determines whether the deck should quote project-level or investor-level returns.</w:t>
            </w:r>
          </w:p>
        </w:tc>
      </w:tr>
      <w:tr>
        <w:tc>
          <w:tcPr>
            <w:tcW w:type="dxa" w:w="567"/>
            <w:vAlign w:val="center"/>
          </w:tcPr>
          <w:p>
            <w:pPr>
              <w:jc w:val="left"/>
            </w:pPr>
            <w:r/>
            <w:r>
              <w:rPr>
                <w:rFonts w:ascii="Calibri" w:hAnsi="Calibri"/>
                <w:color w:val="1A1A1A"/>
                <w:sz w:val="20"/>
              </w:rPr>
              <w:t>2</w:t>
            </w:r>
          </w:p>
        </w:tc>
        <w:tc>
          <w:tcPr>
            <w:tcW w:type="dxa" w:w="4252"/>
            <w:vAlign w:val="center"/>
          </w:tcPr>
          <w:p>
            <w:pPr>
              <w:jc w:val="right"/>
            </w:pPr>
            <w:r/>
            <w:r>
              <w:rPr>
                <w:rFonts w:ascii="Calibri" w:hAnsi="Calibri"/>
                <w:color w:val="1A1A1A"/>
                <w:sz w:val="20"/>
              </w:rPr>
              <w:t>What is the actual basis for the AED 8 M balloon line (new procurement quote vs. relocation cost vs. placeholder)?</w:t>
            </w:r>
          </w:p>
        </w:tc>
        <w:tc>
          <w:tcPr>
            <w:tcW w:type="dxa" w:w="3969"/>
            <w:vAlign w:val="center"/>
          </w:tcPr>
          <w:p>
            <w:pPr>
              <w:jc w:val="right"/>
            </w:pPr>
            <w:r/>
            <w:r>
              <w:rPr>
                <w:rFonts w:ascii="Calibri" w:hAnsi="Calibri"/>
                <w:color w:val="1A1A1A"/>
                <w:sz w:val="20"/>
              </w:rPr>
              <w:t>Affects CAPEX credibility under investor diligence.</w:t>
            </w:r>
          </w:p>
        </w:tc>
      </w:tr>
      <w:tr>
        <w:tc>
          <w:tcPr>
            <w:tcW w:type="dxa" w:w="567"/>
            <w:vAlign w:val="center"/>
          </w:tcPr>
          <w:p>
            <w:pPr>
              <w:jc w:val="left"/>
            </w:pPr>
            <w:r/>
            <w:r>
              <w:rPr>
                <w:rFonts w:ascii="Calibri" w:hAnsi="Calibri"/>
                <w:color w:val="1A1A1A"/>
                <w:sz w:val="20"/>
              </w:rPr>
              <w:t>3</w:t>
            </w:r>
          </w:p>
        </w:tc>
        <w:tc>
          <w:tcPr>
            <w:tcW w:type="dxa" w:w="4252"/>
            <w:vAlign w:val="center"/>
          </w:tcPr>
          <w:p>
            <w:pPr>
              <w:jc w:val="right"/>
            </w:pPr>
            <w:r/>
            <w:r>
              <w:rPr>
                <w:rFonts w:ascii="Calibri" w:hAnsi="Calibri"/>
                <w:color w:val="1A1A1A"/>
                <w:sz w:val="20"/>
              </w:rPr>
              <w:t>Is the current 3-hour daytime window a hard constraint or a soft choice? Could we extend day operations to recover ~AED 8.6 M of unbooked revenue?</w:t>
            </w:r>
          </w:p>
        </w:tc>
        <w:tc>
          <w:tcPr>
            <w:tcW w:type="dxa" w:w="3969"/>
            <w:vAlign w:val="center"/>
          </w:tcPr>
          <w:p>
            <w:pPr>
              <w:jc w:val="right"/>
            </w:pPr>
            <w:r/>
            <w:r>
              <w:rPr>
                <w:rFonts w:ascii="Calibri" w:hAnsi="Calibri"/>
                <w:color w:val="1A1A1A"/>
                <w:sz w:val="20"/>
              </w:rPr>
              <w:t>Largest unforced upside in the current model.</w:t>
            </w:r>
          </w:p>
        </w:tc>
      </w:tr>
      <w:tr>
        <w:tc>
          <w:tcPr>
            <w:tcW w:type="dxa" w:w="567"/>
            <w:vAlign w:val="center"/>
          </w:tcPr>
          <w:p>
            <w:pPr>
              <w:jc w:val="left"/>
            </w:pPr>
            <w:r/>
            <w:r>
              <w:rPr>
                <w:rFonts w:ascii="Calibri" w:hAnsi="Calibri"/>
                <w:color w:val="1A1A1A"/>
                <w:sz w:val="20"/>
              </w:rPr>
              <w:t>4</w:t>
            </w:r>
          </w:p>
        </w:tc>
        <w:tc>
          <w:tcPr>
            <w:tcW w:type="dxa" w:w="4252"/>
            <w:vAlign w:val="center"/>
          </w:tcPr>
          <w:p>
            <w:pPr>
              <w:jc w:val="right"/>
            </w:pPr>
            <w:r/>
            <w:r>
              <w:rPr>
                <w:rFonts w:ascii="Calibri" w:hAnsi="Calibri"/>
                <w:color w:val="1A1A1A"/>
                <w:sz w:val="20"/>
              </w:rPr>
              <w:t>Should we explicitly position the 25-pax commercial cap as +20% loading uplift attributable to LED canvas demand (vs. the 12-pax Dubai actuals)?</w:t>
            </w:r>
          </w:p>
        </w:tc>
        <w:tc>
          <w:tcPr>
            <w:tcW w:type="dxa" w:w="3969"/>
            <w:vAlign w:val="center"/>
          </w:tcPr>
          <w:p>
            <w:pPr>
              <w:jc w:val="right"/>
            </w:pPr>
            <w:r/>
            <w:r>
              <w:rPr>
                <w:rFonts w:ascii="Calibri" w:hAnsi="Calibri"/>
                <w:color w:val="1A1A1A"/>
                <w:sz w:val="20"/>
              </w:rPr>
              <w:t>Reframes a quiet discrepancy as a demand-side claim investors can validate.</w:t>
            </w:r>
          </w:p>
        </w:tc>
      </w:tr>
      <w:tr>
        <w:tc>
          <w:tcPr>
            <w:tcW w:type="dxa" w:w="567"/>
            <w:vAlign w:val="center"/>
          </w:tcPr>
          <w:p>
            <w:pPr>
              <w:jc w:val="left"/>
            </w:pPr>
            <w:r/>
            <w:r>
              <w:rPr>
                <w:rFonts w:ascii="Calibri" w:hAnsi="Calibri"/>
                <w:color w:val="1A1A1A"/>
                <w:sz w:val="20"/>
              </w:rPr>
              <w:t>5</w:t>
            </w:r>
          </w:p>
        </w:tc>
        <w:tc>
          <w:tcPr>
            <w:tcW w:type="dxa" w:w="4252"/>
            <w:vAlign w:val="center"/>
          </w:tcPr>
          <w:p>
            <w:pPr>
              <w:jc w:val="right"/>
            </w:pPr>
            <w:r/>
            <w:r>
              <w:rPr>
                <w:rFonts w:ascii="Calibri" w:hAnsi="Calibri"/>
                <w:color w:val="1A1A1A"/>
                <w:sz w:val="20"/>
              </w:rPr>
              <w:t>Do we retain the original's 365-day operating year, or stay with v2's 250-day conservative envelope?</w:t>
            </w:r>
          </w:p>
        </w:tc>
        <w:tc>
          <w:tcPr>
            <w:tcW w:type="dxa" w:w="3969"/>
            <w:vAlign w:val="center"/>
          </w:tcPr>
          <w:p>
            <w:pPr>
              <w:jc w:val="right"/>
            </w:pPr>
            <w:r/>
            <w:r>
              <w:rPr>
                <w:rFonts w:ascii="Calibri" w:hAnsi="Calibri"/>
                <w:color w:val="1A1A1A"/>
                <w:sz w:val="20"/>
              </w:rPr>
              <w:t>Worth ~AED 5 M annual revenue at full waterfall.</w:t>
            </w:r>
          </w:p>
        </w:tc>
      </w:tr>
    </w:tbl>
    <w:p>
      <w:pPr>
        <w:spacing w:before="360" w:after="160"/>
      </w:pPr>
      <w:r>
        <w:rPr>
          <w:rFonts w:ascii="Calibri" w:hAnsi="Calibri"/>
          <w:b/>
          <w:color w:val="1A1A1A"/>
          <w:sz w:val="40"/>
        </w:rPr>
        <w:t>Appendix A — Original proposal: full content extract</w:t>
      </w:r>
    </w:p>
    <w:p>
      <w:pPr>
        <w:spacing w:after="80"/>
      </w:pPr>
      <w:r>
        <w:rPr>
          <w:rFonts w:ascii="Calibri" w:hAnsi="Calibri"/>
          <w:b w:val="0"/>
          <w:i w:val="0"/>
          <w:color w:val="1A1A1A"/>
          <w:sz w:val="22"/>
        </w:rPr>
        <w:t>For reference, the complete content of the original 19-page Hero Experiences proposal (archive/ADB_at_Saadiyat_Technical_Proposal.pdf), organised by section.</w:t>
      </w:r>
    </w:p>
    <w:p>
      <w:pPr>
        <w:spacing w:before="280" w:after="80"/>
      </w:pPr>
      <w:r>
        <w:rPr>
          <w:rFonts w:ascii="Calibri" w:hAnsi="Calibri"/>
          <w:b/>
          <w:color w:val="8C6F2A"/>
          <w:sz w:val="28"/>
        </w:rPr>
        <w:t>A.1  Executive Summary (page 3)</w:t>
      </w:r>
    </w:p>
    <w:p>
      <w:pPr>
        <w:spacing w:after="80"/>
      </w:pPr>
      <w:r>
        <w:rPr>
          <w:rFonts w:ascii="Calibri" w:hAnsi="Calibri"/>
          <w:b w:val="0"/>
          <w:i w:val="0"/>
          <w:color w:val="1A1A1A"/>
          <w:sz w:val="22"/>
        </w:rPr>
        <w:t>The Helium Tethered Balloon Experience is a proven, premium attraction offering guests a serene 10-minute ascent up to approximately 300 m for an unforgettable 360° view. Successfully launched and operated as The Dubai Balloon at Atlantis, The Palm. Hero Experiences Group invites a co-investor to fund CAPEX and provide the site, while Hero delivers complete operational management. Returns are distributed through a long-term revenue-share agreement. The fully certified system is ready for relocation; the project can be activated within months.</w:t>
      </w:r>
    </w:p>
    <w:p>
      <w:pPr>
        <w:spacing w:before="280" w:after="80"/>
      </w:pPr>
      <w:r>
        <w:rPr>
          <w:rFonts w:ascii="Calibri" w:hAnsi="Calibri"/>
          <w:b/>
          <w:color w:val="8C6F2A"/>
          <w:sz w:val="28"/>
        </w:rPr>
        <w:t>A.2  Experience Overview (page 5)</w:t>
      </w:r>
    </w:p>
    <w:p>
      <w:pPr>
        <w:spacing w:after="80"/>
      </w:pPr>
      <w:r>
        <w:rPr>
          <w:rFonts w:ascii="Calibri" w:hAnsi="Calibri"/>
          <w:b w:val="0"/>
          <w:i w:val="0"/>
          <w:color w:val="1A1A1A"/>
          <w:sz w:val="22"/>
        </w:rPr>
        <w:t>Signature cultural attraction. ~10-minute ascent to ~300 m above sea level, 360° aerial view of Saadiyat Island. Uninterrupted panoramas of Louvre Abu Dhabi, Zayed National Museum, and the future Guggenheim Abu Dhabi. Premium, family-friendly, fully accessible.</w:t>
      </w:r>
    </w:p>
    <w:p>
      <w:pPr>
        <w:spacing w:after="80"/>
      </w:pPr>
      <w:r>
        <w:rPr>
          <w:rFonts w:ascii="Calibri" w:hAnsi="Calibri"/>
          <w:b w:val="0"/>
          <w:i/>
          <w:color w:val="555555"/>
          <w:sz w:val="20"/>
        </w:rPr>
        <w:t>"Each flight cycle will last approximately ten minutes, including embarkation and disembarkation, allowing for five flights per hour throughout a ten-hour operating day. With a twelve-guest capacity per flight, the attraction will accommodate around 600 guests per day. Across a full operating year (average 30 days per month), this equates to approximately 216,000 guests annually, or roughly 219,000 guests on a 365-day schedule."</w:t>
      </w:r>
    </w:p>
    <w:p>
      <w:pPr>
        <w:spacing w:before="280" w:after="80"/>
      </w:pPr>
      <w:r>
        <w:rPr>
          <w:rFonts w:ascii="Calibri" w:hAnsi="Calibri"/>
          <w:b/>
          <w:color w:val="8C6F2A"/>
          <w:sz w:val="28"/>
        </w:rPr>
        <w:t>A.3  Specifications (page 6)</w:t>
      </w:r>
    </w:p>
    <w:tbl>
      <w:tblPr>
        <w:tblStyle w:val="LightGrid-Accent1"/>
        <w:tblW w:type="auto" w:w="0"/>
        <w:tblLayout w:type="fixed"/>
        <w:tblLook w:firstColumn="1" w:firstRow="1" w:lastColumn="0" w:lastRow="0" w:noHBand="0" w:noVBand="1" w:val="04A0"/>
      </w:tblPr>
      <w:tblGrid>
        <w:gridCol w:w="4986"/>
        <w:gridCol w:w="4986"/>
      </w:tblGrid>
      <w:tr>
        <w:tc>
          <w:tcPr>
            <w:tcW w:type="dxa" w:w="3402"/>
            <w:shd w:val="clear" w:color="auto" w:fill="F1E9D2"/>
            <w:vAlign w:val="center"/>
          </w:tcPr>
          <w:p>
            <w:r/>
            <w:r>
              <w:rPr>
                <w:rFonts w:ascii="Calibri" w:hAnsi="Calibri"/>
                <w:b/>
                <w:color w:val="1A1A1A"/>
                <w:sz w:val="20"/>
              </w:rPr>
              <w:t>Component</w:t>
            </w:r>
          </w:p>
        </w:tc>
        <w:tc>
          <w:tcPr>
            <w:tcW w:type="dxa" w:w="5669"/>
            <w:shd w:val="clear" w:color="auto" w:fill="F1E9D2"/>
            <w:vAlign w:val="center"/>
          </w:tcPr>
          <w:p>
            <w:r/>
            <w:r>
              <w:rPr>
                <w:rFonts w:ascii="Calibri" w:hAnsi="Calibri"/>
                <w:b/>
                <w:color w:val="1A1A1A"/>
                <w:sz w:val="20"/>
              </w:rPr>
              <w:t>Specification</w:t>
            </w:r>
          </w:p>
        </w:tc>
      </w:tr>
      <w:tr>
        <w:tc>
          <w:tcPr>
            <w:tcW w:type="dxa" w:w="3402"/>
            <w:vAlign w:val="center"/>
          </w:tcPr>
          <w:p>
            <w:pPr>
              <w:jc w:val="left"/>
            </w:pPr>
            <w:r/>
            <w:r>
              <w:rPr>
                <w:rFonts w:ascii="Calibri" w:hAnsi="Calibri"/>
                <w:color w:val="1A1A1A"/>
                <w:sz w:val="20"/>
              </w:rPr>
              <w:t>Total height of system</w:t>
            </w:r>
          </w:p>
        </w:tc>
        <w:tc>
          <w:tcPr>
            <w:tcW w:type="dxa" w:w="5669"/>
            <w:vAlign w:val="center"/>
          </w:tcPr>
          <w:p>
            <w:pPr>
              <w:jc w:val="right"/>
            </w:pPr>
            <w:r/>
            <w:r>
              <w:rPr>
                <w:rFonts w:ascii="Calibri" w:hAnsi="Calibri"/>
                <w:color w:val="1A1A1A"/>
                <w:sz w:val="20"/>
              </w:rPr>
              <w:t>34 m (111 ft)</w:t>
            </w:r>
          </w:p>
        </w:tc>
      </w:tr>
      <w:tr>
        <w:tc>
          <w:tcPr>
            <w:tcW w:type="dxa" w:w="3402"/>
            <w:vAlign w:val="center"/>
          </w:tcPr>
          <w:p>
            <w:pPr>
              <w:jc w:val="left"/>
            </w:pPr>
            <w:r/>
            <w:r>
              <w:rPr>
                <w:rFonts w:ascii="Calibri" w:hAnsi="Calibri"/>
                <w:color w:val="1A1A1A"/>
                <w:sz w:val="20"/>
              </w:rPr>
              <w:t>Envelope diameter</w:t>
            </w:r>
          </w:p>
        </w:tc>
        <w:tc>
          <w:tcPr>
            <w:tcW w:type="dxa" w:w="5669"/>
            <w:vAlign w:val="center"/>
          </w:tcPr>
          <w:p>
            <w:pPr>
              <w:jc w:val="right"/>
            </w:pPr>
            <w:r/>
            <w:r>
              <w:rPr>
                <w:rFonts w:ascii="Calibri" w:hAnsi="Calibri"/>
                <w:color w:val="1A1A1A"/>
                <w:sz w:val="20"/>
              </w:rPr>
              <w:t>22.46 m (72 ft)</w:t>
            </w:r>
          </w:p>
        </w:tc>
      </w:tr>
      <w:tr>
        <w:tc>
          <w:tcPr>
            <w:tcW w:type="dxa" w:w="3402"/>
            <w:vAlign w:val="center"/>
          </w:tcPr>
          <w:p>
            <w:pPr>
              <w:jc w:val="left"/>
            </w:pPr>
            <w:r/>
            <w:r>
              <w:rPr>
                <w:rFonts w:ascii="Calibri" w:hAnsi="Calibri"/>
                <w:color w:val="1A1A1A"/>
                <w:sz w:val="20"/>
              </w:rPr>
              <w:t>Envelope volume</w:t>
            </w:r>
          </w:p>
        </w:tc>
        <w:tc>
          <w:tcPr>
            <w:tcW w:type="dxa" w:w="5669"/>
            <w:vAlign w:val="center"/>
          </w:tcPr>
          <w:p>
            <w:pPr>
              <w:jc w:val="right"/>
            </w:pPr>
            <w:r/>
            <w:r>
              <w:rPr>
                <w:rFonts w:ascii="Calibri" w:hAnsi="Calibri"/>
                <w:color w:val="1A1A1A"/>
                <w:sz w:val="20"/>
              </w:rPr>
              <w:t>6,200 m³ (220,000 ft³)</w:t>
            </w:r>
          </w:p>
        </w:tc>
      </w:tr>
      <w:tr>
        <w:tc>
          <w:tcPr>
            <w:tcW w:type="dxa" w:w="3402"/>
            <w:vAlign w:val="center"/>
          </w:tcPr>
          <w:p>
            <w:pPr>
              <w:jc w:val="left"/>
            </w:pPr>
            <w:r/>
            <w:r>
              <w:rPr>
                <w:rFonts w:ascii="Calibri" w:hAnsi="Calibri"/>
                <w:color w:val="1A1A1A"/>
                <w:sz w:val="20"/>
              </w:rPr>
              <w:t>Nominal lift</w:t>
            </w:r>
          </w:p>
        </w:tc>
        <w:tc>
          <w:tcPr>
            <w:tcW w:type="dxa" w:w="5669"/>
            <w:vAlign w:val="center"/>
          </w:tcPr>
          <w:p>
            <w:pPr>
              <w:jc w:val="right"/>
            </w:pPr>
            <w:r/>
            <w:r>
              <w:rPr>
                <w:rFonts w:ascii="Calibri" w:hAnsi="Calibri"/>
                <w:color w:val="1A1A1A"/>
                <w:sz w:val="20"/>
              </w:rPr>
              <w:t>4,800 kg (10,560 lbs)</w:t>
            </w:r>
          </w:p>
        </w:tc>
      </w:tr>
      <w:tr>
        <w:tc>
          <w:tcPr>
            <w:tcW w:type="dxa" w:w="3402"/>
            <w:vAlign w:val="center"/>
          </w:tcPr>
          <w:p>
            <w:pPr>
              <w:jc w:val="left"/>
            </w:pPr>
            <w:r/>
            <w:r>
              <w:rPr>
                <w:rFonts w:ascii="Calibri" w:hAnsi="Calibri"/>
                <w:color w:val="1A1A1A"/>
                <w:sz w:val="20"/>
              </w:rPr>
              <w:t>Helium loss</w:t>
            </w:r>
          </w:p>
        </w:tc>
        <w:tc>
          <w:tcPr>
            <w:tcW w:type="dxa" w:w="5669"/>
            <w:vAlign w:val="center"/>
          </w:tcPr>
          <w:p>
            <w:pPr>
              <w:jc w:val="right"/>
            </w:pPr>
            <w:r/>
            <w:r>
              <w:rPr>
                <w:rFonts w:ascii="Calibri" w:hAnsi="Calibri"/>
                <w:color w:val="1A1A1A"/>
                <w:sz w:val="20"/>
              </w:rPr>
              <w:t>&lt;70 m³/month</w:t>
            </w:r>
          </w:p>
        </w:tc>
      </w:tr>
      <w:tr>
        <w:tc>
          <w:tcPr>
            <w:tcW w:type="dxa" w:w="3402"/>
            <w:vAlign w:val="center"/>
          </w:tcPr>
          <w:p>
            <w:pPr>
              <w:jc w:val="left"/>
            </w:pPr>
            <w:r/>
            <w:r>
              <w:rPr>
                <w:rFonts w:ascii="Calibri" w:hAnsi="Calibri"/>
                <w:color w:val="1A1A1A"/>
                <w:sz w:val="20"/>
              </w:rPr>
              <w:t>Useful envelope pressure</w:t>
            </w:r>
          </w:p>
        </w:tc>
        <w:tc>
          <w:tcPr>
            <w:tcW w:type="dxa" w:w="5669"/>
            <w:vAlign w:val="center"/>
          </w:tcPr>
          <w:p>
            <w:pPr>
              <w:jc w:val="right"/>
            </w:pPr>
            <w:r/>
            <w:r>
              <w:rPr>
                <w:rFonts w:ascii="Calibri" w:hAnsi="Calibri"/>
                <w:color w:val="1A1A1A"/>
                <w:sz w:val="20"/>
              </w:rPr>
              <w:t>up to 900 Pa</w:t>
            </w:r>
          </w:p>
        </w:tc>
      </w:tr>
      <w:tr>
        <w:tc>
          <w:tcPr>
            <w:tcW w:type="dxa" w:w="3402"/>
            <w:vAlign w:val="center"/>
          </w:tcPr>
          <w:p>
            <w:pPr>
              <w:jc w:val="left"/>
            </w:pPr>
            <w:r/>
            <w:r>
              <w:rPr>
                <w:rFonts w:ascii="Calibri" w:hAnsi="Calibri"/>
                <w:color w:val="1A1A1A"/>
                <w:sz w:val="20"/>
              </w:rPr>
              <w:t>Crew</w:t>
            </w:r>
          </w:p>
        </w:tc>
        <w:tc>
          <w:tcPr>
            <w:tcW w:type="dxa" w:w="5669"/>
            <w:vAlign w:val="center"/>
          </w:tcPr>
          <w:p>
            <w:pPr>
              <w:jc w:val="right"/>
            </w:pPr>
            <w:r/>
            <w:r>
              <w:rPr>
                <w:rFonts w:ascii="Calibri" w:hAnsi="Calibri"/>
                <w:color w:val="1A1A1A"/>
                <w:sz w:val="20"/>
              </w:rPr>
              <w:t>2 pilots</w:t>
            </w:r>
          </w:p>
        </w:tc>
      </w:tr>
      <w:tr>
        <w:tc>
          <w:tcPr>
            <w:tcW w:type="dxa" w:w="3402"/>
            <w:vAlign w:val="center"/>
          </w:tcPr>
          <w:p>
            <w:pPr>
              <w:jc w:val="left"/>
            </w:pPr>
            <w:r/>
            <w:r>
              <w:rPr>
                <w:rFonts w:ascii="Calibri" w:hAnsi="Calibri"/>
                <w:color w:val="1A1A1A"/>
                <w:sz w:val="20"/>
              </w:rPr>
              <w:t>Passenger capacity</w:t>
            </w:r>
          </w:p>
        </w:tc>
        <w:tc>
          <w:tcPr>
            <w:tcW w:type="dxa" w:w="5669"/>
            <w:vAlign w:val="center"/>
          </w:tcPr>
          <w:p>
            <w:pPr>
              <w:jc w:val="right"/>
            </w:pPr>
            <w:r/>
            <w:r>
              <w:rPr>
                <w:rFonts w:ascii="Calibri" w:hAnsi="Calibri"/>
                <w:color w:val="1A1A1A"/>
                <w:sz w:val="20"/>
              </w:rPr>
              <w:t>30 passengers</w:t>
            </w:r>
          </w:p>
        </w:tc>
      </w:tr>
      <w:tr>
        <w:tc>
          <w:tcPr>
            <w:tcW w:type="dxa" w:w="3402"/>
            <w:vAlign w:val="center"/>
          </w:tcPr>
          <w:p>
            <w:pPr>
              <w:jc w:val="left"/>
            </w:pPr>
            <w:r/>
            <w:r>
              <w:rPr>
                <w:rFonts w:ascii="Calibri" w:hAnsi="Calibri"/>
                <w:color w:val="1A1A1A"/>
                <w:sz w:val="20"/>
              </w:rPr>
              <w:t>Gondola material</w:t>
            </w:r>
          </w:p>
        </w:tc>
        <w:tc>
          <w:tcPr>
            <w:tcW w:type="dxa" w:w="5669"/>
            <w:vAlign w:val="center"/>
          </w:tcPr>
          <w:p>
            <w:pPr>
              <w:jc w:val="right"/>
            </w:pPr>
            <w:r/>
            <w:r>
              <w:rPr>
                <w:rFonts w:ascii="Calibri" w:hAnsi="Calibri"/>
                <w:color w:val="1A1A1A"/>
                <w:sz w:val="20"/>
              </w:rPr>
              <w:t>composite + aluminum</w:t>
            </w:r>
          </w:p>
        </w:tc>
      </w:tr>
      <w:tr>
        <w:tc>
          <w:tcPr>
            <w:tcW w:type="dxa" w:w="3402"/>
            <w:vAlign w:val="center"/>
          </w:tcPr>
          <w:p>
            <w:pPr>
              <w:jc w:val="left"/>
            </w:pPr>
            <w:r/>
            <w:r>
              <w:rPr>
                <w:rFonts w:ascii="Calibri" w:hAnsi="Calibri"/>
                <w:color w:val="1A1A1A"/>
                <w:sz w:val="20"/>
              </w:rPr>
              <w:t>Gondola exterior diameter</w:t>
            </w:r>
          </w:p>
        </w:tc>
        <w:tc>
          <w:tcPr>
            <w:tcW w:type="dxa" w:w="5669"/>
            <w:vAlign w:val="center"/>
          </w:tcPr>
          <w:p>
            <w:pPr>
              <w:jc w:val="right"/>
            </w:pPr>
            <w:r/>
            <w:r>
              <w:rPr>
                <w:rFonts w:ascii="Calibri" w:hAnsi="Calibri"/>
                <w:color w:val="1A1A1A"/>
                <w:sz w:val="20"/>
              </w:rPr>
              <w:t>5.80 m (19 ft)</w:t>
            </w:r>
          </w:p>
        </w:tc>
      </w:tr>
      <w:tr>
        <w:tc>
          <w:tcPr>
            <w:tcW w:type="dxa" w:w="3402"/>
            <w:vAlign w:val="center"/>
          </w:tcPr>
          <w:p>
            <w:pPr>
              <w:jc w:val="left"/>
            </w:pPr>
            <w:r/>
            <w:r>
              <w:rPr>
                <w:rFonts w:ascii="Calibri" w:hAnsi="Calibri"/>
                <w:color w:val="1A1A1A"/>
                <w:sz w:val="20"/>
              </w:rPr>
              <w:t>Gondola floor area</w:t>
            </w:r>
          </w:p>
        </w:tc>
        <w:tc>
          <w:tcPr>
            <w:tcW w:type="dxa" w:w="5669"/>
            <w:vAlign w:val="center"/>
          </w:tcPr>
          <w:p>
            <w:pPr>
              <w:jc w:val="right"/>
            </w:pPr>
            <w:r/>
            <w:r>
              <w:rPr>
                <w:rFonts w:ascii="Calibri" w:hAnsi="Calibri"/>
                <w:color w:val="1A1A1A"/>
                <w:sz w:val="20"/>
              </w:rPr>
              <w:t>13 m² (140 ft²)</w:t>
            </w:r>
          </w:p>
        </w:tc>
      </w:tr>
      <w:tr>
        <w:tc>
          <w:tcPr>
            <w:tcW w:type="dxa" w:w="3402"/>
            <w:vAlign w:val="center"/>
          </w:tcPr>
          <w:p>
            <w:pPr>
              <w:jc w:val="left"/>
            </w:pPr>
            <w:r/>
            <w:r>
              <w:rPr>
                <w:rFonts w:ascii="Calibri" w:hAnsi="Calibri"/>
                <w:color w:val="1A1A1A"/>
                <w:sz w:val="20"/>
              </w:rPr>
              <w:t>Gondola weight</w:t>
            </w:r>
          </w:p>
        </w:tc>
        <w:tc>
          <w:tcPr>
            <w:tcW w:type="dxa" w:w="5669"/>
            <w:vAlign w:val="center"/>
          </w:tcPr>
          <w:p>
            <w:pPr>
              <w:jc w:val="right"/>
            </w:pPr>
            <w:r/>
            <w:r>
              <w:rPr>
                <w:rFonts w:ascii="Calibri" w:hAnsi="Calibri"/>
                <w:color w:val="1A1A1A"/>
                <w:sz w:val="20"/>
              </w:rPr>
              <w:t>850 kg (1,870 lbs)</w:t>
            </w:r>
          </w:p>
        </w:tc>
      </w:tr>
      <w:tr>
        <w:tc>
          <w:tcPr>
            <w:tcW w:type="dxa" w:w="3402"/>
            <w:vAlign w:val="center"/>
          </w:tcPr>
          <w:p>
            <w:pPr>
              <w:jc w:val="left"/>
            </w:pPr>
            <w:r/>
            <w:r>
              <w:rPr>
                <w:rFonts w:ascii="Calibri" w:hAnsi="Calibri"/>
                <w:color w:val="1A1A1A"/>
                <w:sz w:val="20"/>
              </w:rPr>
              <w:t>Tether diameter</w:t>
            </w:r>
          </w:p>
        </w:tc>
        <w:tc>
          <w:tcPr>
            <w:tcW w:type="dxa" w:w="5669"/>
            <w:vAlign w:val="center"/>
          </w:tcPr>
          <w:p>
            <w:pPr>
              <w:jc w:val="right"/>
            </w:pPr>
            <w:r/>
            <w:r>
              <w:rPr>
                <w:rFonts w:ascii="Calibri" w:hAnsi="Calibri"/>
                <w:color w:val="1A1A1A"/>
                <w:sz w:val="20"/>
              </w:rPr>
              <w:t>22 mm</w:t>
            </w:r>
          </w:p>
        </w:tc>
      </w:tr>
      <w:tr>
        <w:tc>
          <w:tcPr>
            <w:tcW w:type="dxa" w:w="3402"/>
            <w:vAlign w:val="center"/>
          </w:tcPr>
          <w:p>
            <w:pPr>
              <w:jc w:val="left"/>
            </w:pPr>
            <w:r/>
            <w:r>
              <w:rPr>
                <w:rFonts w:ascii="Calibri" w:hAnsi="Calibri"/>
                <w:color w:val="1A1A1A"/>
                <w:sz w:val="20"/>
              </w:rPr>
              <w:t>Tether resistance</w:t>
            </w:r>
          </w:p>
        </w:tc>
        <w:tc>
          <w:tcPr>
            <w:tcW w:type="dxa" w:w="5669"/>
            <w:vAlign w:val="center"/>
          </w:tcPr>
          <w:p>
            <w:pPr>
              <w:jc w:val="right"/>
            </w:pPr>
            <w:r/>
            <w:r>
              <w:rPr>
                <w:rFonts w:ascii="Calibri" w:hAnsi="Calibri"/>
                <w:color w:val="1A1A1A"/>
                <w:sz w:val="20"/>
              </w:rPr>
              <w:t>45 tons (99,000 lbs)</w:t>
            </w:r>
          </w:p>
        </w:tc>
      </w:tr>
      <w:tr>
        <w:tc>
          <w:tcPr>
            <w:tcW w:type="dxa" w:w="3402"/>
            <w:vAlign w:val="center"/>
          </w:tcPr>
          <w:p>
            <w:pPr>
              <w:jc w:val="left"/>
            </w:pPr>
            <w:r/>
            <w:r>
              <w:rPr>
                <w:rFonts w:ascii="Calibri" w:hAnsi="Calibri"/>
                <w:color w:val="1A1A1A"/>
                <w:sz w:val="20"/>
              </w:rPr>
              <w:t>Tether useful length</w:t>
            </w:r>
          </w:p>
        </w:tc>
        <w:tc>
          <w:tcPr>
            <w:tcW w:type="dxa" w:w="5669"/>
            <w:vAlign w:val="center"/>
          </w:tcPr>
          <w:p>
            <w:pPr>
              <w:jc w:val="right"/>
            </w:pPr>
            <w:r/>
            <w:r>
              <w:rPr>
                <w:rFonts w:ascii="Calibri" w:hAnsi="Calibri"/>
                <w:color w:val="1A1A1A"/>
                <w:sz w:val="20"/>
              </w:rPr>
              <w:t>up to 300 m (984 ft)</w:t>
            </w:r>
          </w:p>
        </w:tc>
      </w:tr>
      <w:tr>
        <w:tc>
          <w:tcPr>
            <w:tcW w:type="dxa" w:w="3402"/>
            <w:vAlign w:val="center"/>
          </w:tcPr>
          <w:p>
            <w:pPr>
              <w:jc w:val="left"/>
            </w:pPr>
            <w:r/>
            <w:r>
              <w:rPr>
                <w:rFonts w:ascii="Calibri" w:hAnsi="Calibri"/>
                <w:color w:val="1A1A1A"/>
                <w:sz w:val="20"/>
              </w:rPr>
              <w:t>Winch house dimensions</w:t>
            </w:r>
          </w:p>
        </w:tc>
        <w:tc>
          <w:tcPr>
            <w:tcW w:type="dxa" w:w="5669"/>
            <w:vAlign w:val="center"/>
          </w:tcPr>
          <w:p>
            <w:pPr>
              <w:jc w:val="right"/>
            </w:pPr>
            <w:r/>
            <w:r>
              <w:rPr>
                <w:rFonts w:ascii="Calibri" w:hAnsi="Calibri"/>
                <w:color w:val="1A1A1A"/>
                <w:sz w:val="20"/>
              </w:rPr>
              <w:t>4 × 2.2 × 1.5 m</w:t>
            </w:r>
          </w:p>
        </w:tc>
      </w:tr>
      <w:tr>
        <w:tc>
          <w:tcPr>
            <w:tcW w:type="dxa" w:w="3402"/>
            <w:vAlign w:val="center"/>
          </w:tcPr>
          <w:p>
            <w:pPr>
              <w:jc w:val="left"/>
            </w:pPr>
            <w:r/>
            <w:r>
              <w:rPr>
                <w:rFonts w:ascii="Calibri" w:hAnsi="Calibri"/>
                <w:color w:val="1A1A1A"/>
                <w:sz w:val="20"/>
              </w:rPr>
              <w:t>Winch house weight</w:t>
            </w:r>
          </w:p>
        </w:tc>
        <w:tc>
          <w:tcPr>
            <w:tcW w:type="dxa" w:w="5669"/>
            <w:vAlign w:val="center"/>
          </w:tcPr>
          <w:p>
            <w:pPr>
              <w:jc w:val="right"/>
            </w:pPr>
            <w:r/>
            <w:r>
              <w:rPr>
                <w:rFonts w:ascii="Calibri" w:hAnsi="Calibri"/>
                <w:color w:val="1A1A1A"/>
                <w:sz w:val="20"/>
              </w:rPr>
              <w:t>6 tons</w:t>
            </w:r>
          </w:p>
        </w:tc>
      </w:tr>
      <w:tr>
        <w:tc>
          <w:tcPr>
            <w:tcW w:type="dxa" w:w="3402"/>
            <w:vAlign w:val="center"/>
          </w:tcPr>
          <w:p>
            <w:pPr>
              <w:jc w:val="left"/>
            </w:pPr>
            <w:r/>
            <w:r>
              <w:rPr>
                <w:rFonts w:ascii="Calibri" w:hAnsi="Calibri"/>
                <w:color w:val="1A1A1A"/>
                <w:sz w:val="20"/>
              </w:rPr>
              <w:t>Winch power</w:t>
            </w:r>
          </w:p>
        </w:tc>
        <w:tc>
          <w:tcPr>
            <w:tcW w:type="dxa" w:w="5669"/>
            <w:vAlign w:val="center"/>
          </w:tcPr>
          <w:p>
            <w:pPr>
              <w:jc w:val="right"/>
            </w:pPr>
            <w:r/>
            <w:r>
              <w:rPr>
                <w:rFonts w:ascii="Calibri" w:hAnsi="Calibri"/>
                <w:color w:val="1A1A1A"/>
                <w:sz w:val="20"/>
              </w:rPr>
              <w:t>45 kW</w:t>
            </w:r>
          </w:p>
        </w:tc>
      </w:tr>
      <w:tr>
        <w:tc>
          <w:tcPr>
            <w:tcW w:type="dxa" w:w="3402"/>
            <w:vAlign w:val="center"/>
          </w:tcPr>
          <w:p>
            <w:pPr>
              <w:jc w:val="left"/>
            </w:pPr>
            <w:r/>
            <w:r>
              <w:rPr>
                <w:rFonts w:ascii="Calibri" w:hAnsi="Calibri"/>
                <w:color w:val="1A1A1A"/>
                <w:sz w:val="20"/>
              </w:rPr>
              <w:t>Ascent speed</w:t>
            </w:r>
          </w:p>
        </w:tc>
        <w:tc>
          <w:tcPr>
            <w:tcW w:type="dxa" w:w="5669"/>
            <w:vAlign w:val="center"/>
          </w:tcPr>
          <w:p>
            <w:pPr>
              <w:jc w:val="right"/>
            </w:pPr>
            <w:r/>
            <w:r>
              <w:rPr>
                <w:rFonts w:ascii="Calibri" w:hAnsi="Calibri"/>
                <w:color w:val="1A1A1A"/>
                <w:sz w:val="20"/>
              </w:rPr>
              <w:t>~50 m/min (164 ft/min)</w:t>
            </w:r>
          </w:p>
        </w:tc>
      </w:tr>
      <w:tr>
        <w:tc>
          <w:tcPr>
            <w:tcW w:type="dxa" w:w="3402"/>
            <w:vAlign w:val="center"/>
          </w:tcPr>
          <w:p>
            <w:pPr>
              <w:jc w:val="left"/>
            </w:pPr>
            <w:r/>
            <w:r>
              <w:rPr>
                <w:rFonts w:ascii="Calibri" w:hAnsi="Calibri"/>
                <w:color w:val="1A1A1A"/>
                <w:sz w:val="20"/>
              </w:rPr>
              <w:t>Descent speed</w:t>
            </w:r>
          </w:p>
        </w:tc>
        <w:tc>
          <w:tcPr>
            <w:tcW w:type="dxa" w:w="5669"/>
            <w:vAlign w:val="center"/>
          </w:tcPr>
          <w:p>
            <w:pPr>
              <w:jc w:val="right"/>
            </w:pPr>
            <w:r/>
            <w:r>
              <w:rPr>
                <w:rFonts w:ascii="Calibri" w:hAnsi="Calibri"/>
                <w:color w:val="1A1A1A"/>
                <w:sz w:val="20"/>
              </w:rPr>
              <w:t>~40 m/min (131 ft/min)</w:t>
            </w:r>
          </w:p>
        </w:tc>
      </w:tr>
    </w:tbl>
    <w:p>
      <w:pPr>
        <w:spacing w:before="280" w:after="80"/>
      </w:pPr>
      <w:r>
        <w:rPr>
          <w:rFonts w:ascii="Calibri" w:hAnsi="Calibri"/>
          <w:b/>
          <w:color w:val="8C6F2A"/>
          <w:sz w:val="28"/>
        </w:rPr>
        <w:t>A.4  Highlights (page 7)</w:t>
      </w:r>
    </w:p>
    <w:p>
      <w:pPr>
        <w:pStyle w:val="ListBullet"/>
        <w:spacing w:after="40"/>
        <w:ind w:left="283"/>
      </w:pPr>
      <w:r>
        <w:rPr>
          <w:rFonts w:ascii="Calibri" w:hAnsi="Calibri"/>
          <w:color w:val="1A1A1A"/>
          <w:sz w:val="22"/>
        </w:rPr>
        <w:t>The premier 360° observatory in Abu Dhabi</w:t>
      </w:r>
    </w:p>
    <w:p>
      <w:pPr>
        <w:pStyle w:val="ListBullet"/>
        <w:spacing w:after="40"/>
        <w:ind w:left="283"/>
      </w:pPr>
      <w:r>
        <w:rPr>
          <w:rFonts w:ascii="Calibri" w:hAnsi="Calibri"/>
          <w:color w:val="1A1A1A"/>
          <w:sz w:val="22"/>
        </w:rPr>
        <w:t>Customisable flight times for private bookings — VIP guests, proposals, engagements, exclusive photography sessions</w:t>
      </w:r>
    </w:p>
    <w:p>
      <w:pPr>
        <w:pStyle w:val="ListBullet"/>
        <w:spacing w:after="40"/>
        <w:ind w:left="283"/>
      </w:pPr>
      <w:r>
        <w:rPr>
          <w:rFonts w:ascii="Calibri" w:hAnsi="Calibri"/>
          <w:color w:val="1A1A1A"/>
          <w:sz w:val="22"/>
        </w:rPr>
        <w:t>Sunrise, sunset, and night flights with ambient lighting and optional onboard music or narration</w:t>
      </w:r>
    </w:p>
    <w:p>
      <w:pPr>
        <w:pStyle w:val="ListBullet"/>
        <w:spacing w:after="40"/>
        <w:ind w:left="283"/>
      </w:pPr>
      <w:r>
        <w:rPr>
          <w:rFonts w:ascii="Calibri" w:hAnsi="Calibri"/>
          <w:color w:val="1A1A1A"/>
          <w:sz w:val="22"/>
        </w:rPr>
        <w:t>Supports sustainable, low-impact infrastructure (tethered balloon = smaller footprint)</w:t>
      </w:r>
    </w:p>
    <w:p>
      <w:pPr>
        <w:pStyle w:val="ListBullet"/>
        <w:spacing w:after="40"/>
        <w:ind w:left="283"/>
      </w:pPr>
      <w:r>
        <w:rPr>
          <w:rFonts w:ascii="Calibri" w:hAnsi="Calibri"/>
          <w:color w:val="1A1A1A"/>
          <w:sz w:val="22"/>
        </w:rPr>
        <w:t>Panoramic views of Saadiyat Island: Louvre, Zayed NM, future Guggenheim</w:t>
      </w:r>
    </w:p>
    <w:p>
      <w:pPr>
        <w:pStyle w:val="ListBullet"/>
        <w:spacing w:after="40"/>
        <w:ind w:left="283"/>
      </w:pPr>
      <w:r>
        <w:rPr>
          <w:rFonts w:ascii="Calibri" w:hAnsi="Calibri"/>
          <w:color w:val="1A1A1A"/>
          <w:sz w:val="22"/>
        </w:rPr>
        <w:t>Private charter options for special occasions and media shoots</w:t>
      </w:r>
    </w:p>
    <w:p>
      <w:pPr>
        <w:pStyle w:val="ListBullet"/>
        <w:spacing w:after="40"/>
        <w:ind w:left="283"/>
      </w:pPr>
      <w:r>
        <w:rPr>
          <w:rFonts w:ascii="Calibri" w:hAnsi="Calibri"/>
          <w:color w:val="1A1A1A"/>
          <w:sz w:val="22"/>
        </w:rPr>
        <w:t>Combo ticketing opportunities with Louvre Abu Dhabi, museums, resorts, Saadiyat hospitality partners</w:t>
      </w:r>
    </w:p>
    <w:p>
      <w:pPr>
        <w:spacing w:before="280" w:after="80"/>
      </w:pPr>
      <w:r>
        <w:rPr>
          <w:rFonts w:ascii="Calibri" w:hAnsi="Calibri"/>
          <w:b/>
          <w:color w:val="8C6F2A"/>
          <w:sz w:val="28"/>
        </w:rPr>
        <w:t>A.5  Revenue Potential (page 9)</w:t>
      </w:r>
    </w:p>
    <w:tbl>
      <w:tblPr>
        <w:tblStyle w:val="LightGrid-Accent1"/>
        <w:tblW w:type="auto" w:w="0"/>
        <w:tblLayout w:type="fixed"/>
        <w:tblLook w:firstColumn="1" w:firstRow="1" w:lastColumn="0" w:lastRow="0" w:noHBand="0" w:noVBand="1" w:val="04A0"/>
      </w:tblPr>
      <w:tblGrid>
        <w:gridCol w:w="4986"/>
        <w:gridCol w:w="4986"/>
      </w:tblGrid>
      <w:tr>
        <w:tc>
          <w:tcPr>
            <w:tcW w:type="dxa" w:w="3118"/>
            <w:shd w:val="clear" w:color="auto" w:fill="F1E9D2"/>
            <w:vAlign w:val="center"/>
          </w:tcPr>
          <w:p>
            <w:r/>
            <w:r>
              <w:rPr>
                <w:rFonts w:ascii="Calibri" w:hAnsi="Calibri"/>
                <w:b/>
                <w:color w:val="1A1A1A"/>
                <w:sz w:val="20"/>
              </w:rPr>
              <w:t>Field</w:t>
            </w:r>
          </w:p>
        </w:tc>
        <w:tc>
          <w:tcPr>
            <w:tcW w:type="dxa" w:w="5953"/>
            <w:shd w:val="clear" w:color="auto" w:fill="F1E9D2"/>
            <w:vAlign w:val="center"/>
          </w:tcPr>
          <w:p>
            <w:r/>
            <w:r>
              <w:rPr>
                <w:rFonts w:ascii="Calibri" w:hAnsi="Calibri"/>
                <w:b/>
                <w:color w:val="1A1A1A"/>
                <w:sz w:val="20"/>
              </w:rPr>
              <w:t>Value</w:t>
            </w:r>
          </w:p>
        </w:tc>
      </w:tr>
      <w:tr>
        <w:tc>
          <w:tcPr>
            <w:tcW w:type="dxa" w:w="3118"/>
            <w:vAlign w:val="center"/>
          </w:tcPr>
          <w:p>
            <w:pPr>
              <w:jc w:val="left"/>
            </w:pPr>
            <w:r/>
            <w:r>
              <w:rPr>
                <w:rFonts w:ascii="Calibri" w:hAnsi="Calibri"/>
                <w:color w:val="1A1A1A"/>
                <w:sz w:val="20"/>
              </w:rPr>
              <w:t>Experience type</w:t>
            </w:r>
          </w:p>
        </w:tc>
        <w:tc>
          <w:tcPr>
            <w:tcW w:type="dxa" w:w="5953"/>
            <w:vAlign w:val="center"/>
          </w:tcPr>
          <w:p>
            <w:pPr>
              <w:jc w:val="right"/>
            </w:pPr>
            <w:r/>
            <w:r>
              <w:rPr>
                <w:rFonts w:ascii="Calibri" w:hAnsi="Calibri"/>
                <w:color w:val="1A1A1A"/>
                <w:sz w:val="20"/>
              </w:rPr>
              <w:t>Tethered helium hot air balloon</w:t>
            </w:r>
          </w:p>
        </w:tc>
      </w:tr>
      <w:tr>
        <w:tc>
          <w:tcPr>
            <w:tcW w:type="dxa" w:w="3118"/>
            <w:vAlign w:val="center"/>
          </w:tcPr>
          <w:p>
            <w:pPr>
              <w:jc w:val="left"/>
            </w:pPr>
            <w:r/>
            <w:r>
              <w:rPr>
                <w:rFonts w:ascii="Calibri" w:hAnsi="Calibri"/>
                <w:color w:val="1A1A1A"/>
                <w:sz w:val="20"/>
              </w:rPr>
              <w:t>Average load</w:t>
            </w:r>
          </w:p>
        </w:tc>
        <w:tc>
          <w:tcPr>
            <w:tcW w:type="dxa" w:w="5953"/>
            <w:vAlign w:val="center"/>
          </w:tcPr>
          <w:p>
            <w:pPr>
              <w:jc w:val="right"/>
            </w:pPr>
            <w:r/>
            <w:r>
              <w:rPr>
                <w:rFonts w:ascii="Calibri" w:hAnsi="Calibri"/>
                <w:color w:val="1A1A1A"/>
                <w:sz w:val="20"/>
              </w:rPr>
              <w:t>12 guests per flight</w:t>
            </w:r>
          </w:p>
        </w:tc>
      </w:tr>
      <w:tr>
        <w:tc>
          <w:tcPr>
            <w:tcW w:type="dxa" w:w="3118"/>
            <w:vAlign w:val="center"/>
          </w:tcPr>
          <w:p>
            <w:pPr>
              <w:jc w:val="left"/>
            </w:pPr>
            <w:r/>
            <w:r>
              <w:rPr>
                <w:rFonts w:ascii="Calibri" w:hAnsi="Calibri"/>
                <w:color w:val="1A1A1A"/>
                <w:sz w:val="20"/>
              </w:rPr>
              <w:t>Flight frequency</w:t>
            </w:r>
          </w:p>
        </w:tc>
        <w:tc>
          <w:tcPr>
            <w:tcW w:type="dxa" w:w="5953"/>
            <w:vAlign w:val="center"/>
          </w:tcPr>
          <w:p>
            <w:pPr>
              <w:jc w:val="right"/>
            </w:pPr>
            <w:r/>
            <w:r>
              <w:rPr>
                <w:rFonts w:ascii="Calibri" w:hAnsi="Calibri"/>
                <w:color w:val="1A1A1A"/>
                <w:sz w:val="20"/>
              </w:rPr>
              <w:t>5 flights/hour × 10 hours/day = 600 guests/day max</w:t>
            </w:r>
          </w:p>
        </w:tc>
      </w:tr>
      <w:tr>
        <w:tc>
          <w:tcPr>
            <w:tcW w:type="dxa" w:w="3118"/>
            <w:vAlign w:val="center"/>
          </w:tcPr>
          <w:p>
            <w:pPr>
              <w:jc w:val="left"/>
            </w:pPr>
            <w:r/>
            <w:r>
              <w:rPr>
                <w:rFonts w:ascii="Calibri" w:hAnsi="Calibri"/>
                <w:color w:val="1A1A1A"/>
                <w:sz w:val="20"/>
              </w:rPr>
              <w:t>Operating days</w:t>
            </w:r>
          </w:p>
        </w:tc>
        <w:tc>
          <w:tcPr>
            <w:tcW w:type="dxa" w:w="5953"/>
            <w:vAlign w:val="center"/>
          </w:tcPr>
          <w:p>
            <w:pPr>
              <w:jc w:val="right"/>
            </w:pPr>
            <w:r/>
            <w:r>
              <w:rPr>
                <w:rFonts w:ascii="Calibri" w:hAnsi="Calibri"/>
                <w:color w:val="1A1A1A"/>
                <w:sz w:val="20"/>
              </w:rPr>
              <w:t>365 days per year</w:t>
            </w:r>
          </w:p>
        </w:tc>
      </w:tr>
      <w:tr>
        <w:tc>
          <w:tcPr>
            <w:tcW w:type="dxa" w:w="3118"/>
            <w:vAlign w:val="center"/>
          </w:tcPr>
          <w:p>
            <w:pPr>
              <w:jc w:val="left"/>
            </w:pPr>
            <w:r/>
            <w:r>
              <w:rPr>
                <w:rFonts w:ascii="Calibri" w:hAnsi="Calibri"/>
                <w:color w:val="1A1A1A"/>
                <w:sz w:val="20"/>
              </w:rPr>
              <w:t>Seasonality</w:t>
            </w:r>
          </w:p>
        </w:tc>
        <w:tc>
          <w:tcPr>
            <w:tcW w:type="dxa" w:w="5953"/>
            <w:vAlign w:val="center"/>
          </w:tcPr>
          <w:p>
            <w:pPr>
              <w:jc w:val="right"/>
            </w:pPr>
            <w:r/>
            <w:r>
              <w:rPr>
                <w:rFonts w:ascii="Calibri" w:hAnsi="Calibri"/>
                <w:color w:val="1A1A1A"/>
                <w:sz w:val="20"/>
              </w:rPr>
              <w:t>6 high, 3 shoulder, 3 low months</w:t>
            </w:r>
          </w:p>
        </w:tc>
      </w:tr>
      <w:tr>
        <w:tc>
          <w:tcPr>
            <w:tcW w:type="dxa" w:w="3118"/>
            <w:vAlign w:val="center"/>
          </w:tcPr>
          <w:p>
            <w:pPr>
              <w:jc w:val="left"/>
            </w:pPr>
            <w:r/>
            <w:r>
              <w:rPr>
                <w:rFonts w:ascii="Calibri" w:hAnsi="Calibri"/>
                <w:color w:val="1A1A1A"/>
                <w:sz w:val="20"/>
              </w:rPr>
              <w:t>Weather impact</w:t>
            </w:r>
          </w:p>
        </w:tc>
        <w:tc>
          <w:tcPr>
            <w:tcW w:type="dxa" w:w="5953"/>
            <w:vAlign w:val="center"/>
          </w:tcPr>
          <w:p>
            <w:pPr>
              <w:jc w:val="right"/>
            </w:pPr>
            <w:r/>
            <w:r>
              <w:rPr>
                <w:rFonts w:ascii="Calibri" w:hAnsi="Calibri"/>
                <w:color w:val="1A1A1A"/>
                <w:sz w:val="20"/>
              </w:rPr>
              <w:t>15% flight cancellations annually</w:t>
            </w:r>
          </w:p>
        </w:tc>
      </w:tr>
      <w:tr>
        <w:tc>
          <w:tcPr>
            <w:tcW w:type="dxa" w:w="3118"/>
            <w:vAlign w:val="center"/>
          </w:tcPr>
          <w:p>
            <w:pPr>
              <w:jc w:val="left"/>
            </w:pPr>
            <w:r/>
            <w:r>
              <w:rPr>
                <w:rFonts w:ascii="Calibri" w:hAnsi="Calibri"/>
                <w:color w:val="1A1A1A"/>
                <w:sz w:val="20"/>
              </w:rPr>
              <w:t>Load factor</w:t>
            </w:r>
          </w:p>
        </w:tc>
        <w:tc>
          <w:tcPr>
            <w:tcW w:type="dxa" w:w="5953"/>
            <w:vAlign w:val="center"/>
          </w:tcPr>
          <w:p>
            <w:pPr>
              <w:jc w:val="right"/>
            </w:pPr>
            <w:r/>
            <w:r>
              <w:rPr>
                <w:rFonts w:ascii="Calibri" w:hAnsi="Calibri"/>
                <w:color w:val="1A1A1A"/>
                <w:sz w:val="20"/>
              </w:rPr>
              <w:t>70% capacity utilisation</w:t>
            </w:r>
          </w:p>
        </w:tc>
      </w:tr>
      <w:tr>
        <w:tc>
          <w:tcPr>
            <w:tcW w:type="dxa" w:w="3118"/>
            <w:vAlign w:val="center"/>
          </w:tcPr>
          <w:p>
            <w:pPr>
              <w:jc w:val="left"/>
            </w:pPr>
            <w:r/>
            <w:r>
              <w:rPr>
                <w:rFonts w:ascii="Calibri" w:hAnsi="Calibri"/>
                <w:color w:val="1A1A1A"/>
                <w:sz w:val="20"/>
              </w:rPr>
              <w:t>Effective throughput</w:t>
            </w:r>
          </w:p>
        </w:tc>
        <w:tc>
          <w:tcPr>
            <w:tcW w:type="dxa" w:w="5953"/>
            <w:vAlign w:val="center"/>
          </w:tcPr>
          <w:p>
            <w:pPr>
              <w:jc w:val="right"/>
            </w:pPr>
            <w:r/>
            <w:r>
              <w:rPr>
                <w:rFonts w:ascii="Calibri" w:hAnsi="Calibri"/>
                <w:color w:val="1A1A1A"/>
                <w:sz w:val="20"/>
              </w:rPr>
              <w:t>600 × 0.85 × 0.70 = 357 guests/day (~128,520/year)</w:t>
            </w:r>
          </w:p>
        </w:tc>
      </w:tr>
      <w:tr>
        <w:tc>
          <w:tcPr>
            <w:tcW w:type="dxa" w:w="3118"/>
            <w:vAlign w:val="center"/>
          </w:tcPr>
          <w:p>
            <w:pPr>
              <w:jc w:val="left"/>
            </w:pPr>
            <w:r/>
            <w:r>
              <w:rPr>
                <w:rFonts w:ascii="Calibri" w:hAnsi="Calibri"/>
                <w:color w:val="1A1A1A"/>
                <w:sz w:val="20"/>
              </w:rPr>
              <w:t>Ticket — Adult (80%)</w:t>
            </w:r>
          </w:p>
        </w:tc>
        <w:tc>
          <w:tcPr>
            <w:tcW w:type="dxa" w:w="5953"/>
            <w:vAlign w:val="center"/>
          </w:tcPr>
          <w:p>
            <w:pPr>
              <w:jc w:val="right"/>
            </w:pPr>
            <w:r/>
            <w:r>
              <w:rPr>
                <w:rFonts w:ascii="Calibri" w:hAnsi="Calibri"/>
                <w:color w:val="1A1A1A"/>
                <w:sz w:val="20"/>
              </w:rPr>
              <w:t>AED 195</w:t>
            </w:r>
          </w:p>
        </w:tc>
      </w:tr>
      <w:tr>
        <w:tc>
          <w:tcPr>
            <w:tcW w:type="dxa" w:w="3118"/>
            <w:vAlign w:val="center"/>
          </w:tcPr>
          <w:p>
            <w:pPr>
              <w:jc w:val="left"/>
            </w:pPr>
            <w:r/>
            <w:r>
              <w:rPr>
                <w:rFonts w:ascii="Calibri" w:hAnsi="Calibri"/>
                <w:color w:val="1A1A1A"/>
                <w:sz w:val="20"/>
              </w:rPr>
              <w:t>Ticket — Child (20%)</w:t>
            </w:r>
          </w:p>
        </w:tc>
        <w:tc>
          <w:tcPr>
            <w:tcW w:type="dxa" w:w="5953"/>
            <w:vAlign w:val="center"/>
          </w:tcPr>
          <w:p>
            <w:pPr>
              <w:jc w:val="right"/>
            </w:pPr>
            <w:r/>
            <w:r>
              <w:rPr>
                <w:rFonts w:ascii="Calibri" w:hAnsi="Calibri"/>
                <w:color w:val="1A1A1A"/>
                <w:sz w:val="20"/>
              </w:rPr>
              <w:t>AED 125</w:t>
            </w:r>
          </w:p>
        </w:tc>
      </w:tr>
      <w:tr>
        <w:tc>
          <w:tcPr>
            <w:tcW w:type="dxa" w:w="3118"/>
            <w:vAlign w:val="center"/>
          </w:tcPr>
          <w:p>
            <w:pPr>
              <w:jc w:val="left"/>
            </w:pPr>
            <w:r/>
            <w:r>
              <w:rPr>
                <w:rFonts w:ascii="Calibri" w:hAnsi="Calibri"/>
                <w:color w:val="1A1A1A"/>
                <w:sz w:val="20"/>
              </w:rPr>
              <w:t>Ticket — Express (10%)</w:t>
            </w:r>
          </w:p>
        </w:tc>
        <w:tc>
          <w:tcPr>
            <w:tcW w:type="dxa" w:w="5953"/>
            <w:vAlign w:val="center"/>
          </w:tcPr>
          <w:p>
            <w:pPr>
              <w:jc w:val="right"/>
            </w:pPr>
            <w:r/>
            <w:r>
              <w:rPr>
                <w:rFonts w:ascii="Calibri" w:hAnsi="Calibri"/>
                <w:color w:val="1A1A1A"/>
                <w:sz w:val="20"/>
              </w:rPr>
              <w:t>AED 295</w:t>
            </w:r>
          </w:p>
        </w:tc>
      </w:tr>
      <w:tr>
        <w:tc>
          <w:tcPr>
            <w:tcW w:type="dxa" w:w="3118"/>
            <w:vAlign w:val="center"/>
          </w:tcPr>
          <w:p>
            <w:pPr>
              <w:jc w:val="left"/>
            </w:pPr>
            <w:r/>
            <w:r>
              <w:rPr>
                <w:rFonts w:ascii="Calibri" w:hAnsi="Calibri"/>
                <w:color w:val="1A1A1A"/>
                <w:sz w:val="20"/>
              </w:rPr>
              <w:t>Weighted average</w:t>
            </w:r>
          </w:p>
        </w:tc>
        <w:tc>
          <w:tcPr>
            <w:tcW w:type="dxa" w:w="5953"/>
            <w:vAlign w:val="center"/>
          </w:tcPr>
          <w:p>
            <w:pPr>
              <w:jc w:val="right"/>
            </w:pPr>
            <w:r/>
            <w:r>
              <w:rPr>
                <w:rFonts w:ascii="Calibri" w:hAnsi="Calibri"/>
                <w:color w:val="1A1A1A"/>
                <w:sz w:val="20"/>
              </w:rPr>
              <w:t>~AED 192.4 per guest</w:t>
            </w:r>
          </w:p>
        </w:tc>
      </w:tr>
      <w:tr>
        <w:tc>
          <w:tcPr>
            <w:tcW w:type="dxa" w:w="3118"/>
            <w:vAlign w:val="center"/>
          </w:tcPr>
          <w:p>
            <w:pPr>
              <w:jc w:val="left"/>
            </w:pPr>
            <w:r/>
            <w:r>
              <w:rPr>
                <w:rFonts w:ascii="Calibri" w:hAnsi="Calibri"/>
                <w:color w:val="1A1A1A"/>
                <w:sz w:val="20"/>
              </w:rPr>
              <w:t>Year 1 revenue</w:t>
            </w:r>
          </w:p>
        </w:tc>
        <w:tc>
          <w:tcPr>
            <w:tcW w:type="dxa" w:w="5953"/>
            <w:vAlign w:val="center"/>
          </w:tcPr>
          <w:p>
            <w:pPr>
              <w:jc w:val="right"/>
            </w:pPr>
            <w:r/>
            <w:r>
              <w:rPr>
                <w:rFonts w:ascii="Calibri" w:hAnsi="Calibri"/>
                <w:color w:val="1A1A1A"/>
                <w:sz w:val="20"/>
              </w:rPr>
              <w:t>AED 24.7 M</w:t>
            </w:r>
          </w:p>
        </w:tc>
      </w:tr>
      <w:tr>
        <w:tc>
          <w:tcPr>
            <w:tcW w:type="dxa" w:w="3118"/>
            <w:vAlign w:val="center"/>
          </w:tcPr>
          <w:p>
            <w:pPr>
              <w:jc w:val="left"/>
            </w:pPr>
            <w:r/>
            <w:r>
              <w:rPr>
                <w:rFonts w:ascii="Calibri" w:hAnsi="Calibri"/>
                <w:color w:val="1A1A1A"/>
                <w:sz w:val="20"/>
              </w:rPr>
              <w:t>YoY growth</w:t>
            </w:r>
          </w:p>
        </w:tc>
        <w:tc>
          <w:tcPr>
            <w:tcW w:type="dxa" w:w="5953"/>
            <w:vAlign w:val="center"/>
          </w:tcPr>
          <w:p>
            <w:pPr>
              <w:jc w:val="right"/>
            </w:pPr>
            <w:r/>
            <w:r>
              <w:rPr>
                <w:rFonts w:ascii="Calibri" w:hAnsi="Calibri"/>
                <w:color w:val="1A1A1A"/>
                <w:sz w:val="20"/>
              </w:rPr>
              <w:t>+5%</w:t>
            </w:r>
          </w:p>
        </w:tc>
      </w:tr>
      <w:tr>
        <w:tc>
          <w:tcPr>
            <w:tcW w:type="dxa" w:w="3118"/>
            <w:vAlign w:val="center"/>
          </w:tcPr>
          <w:p>
            <w:pPr>
              <w:jc w:val="left"/>
            </w:pPr>
            <w:r/>
            <w:r>
              <w:rPr>
                <w:rFonts w:ascii="Calibri" w:hAnsi="Calibri"/>
                <w:color w:val="1A1A1A"/>
                <w:sz w:val="20"/>
              </w:rPr>
              <w:t>Payback structure</w:t>
            </w:r>
          </w:p>
        </w:tc>
        <w:tc>
          <w:tcPr>
            <w:tcW w:type="dxa" w:w="5953"/>
            <w:vAlign w:val="center"/>
          </w:tcPr>
          <w:p>
            <w:pPr>
              <w:jc w:val="right"/>
            </w:pPr>
            <w:r/>
            <w:r>
              <w:rPr>
                <w:rFonts w:ascii="Calibri" w:hAnsi="Calibri"/>
                <w:color w:val="1A1A1A"/>
                <w:sz w:val="20"/>
              </w:rPr>
              <w:t>10 years</w:t>
            </w:r>
          </w:p>
        </w:tc>
      </w:tr>
    </w:tbl>
    <w:p>
      <w:pPr>
        <w:spacing w:before="280" w:after="80"/>
      </w:pPr>
      <w:r>
        <w:rPr>
          <w:rFonts w:ascii="Calibri" w:hAnsi="Calibri"/>
          <w:b/>
          <w:color w:val="8C6F2A"/>
          <w:sz w:val="28"/>
        </w:rPr>
        <w:t>A.6  Investment Structure (page 10)</w:t>
      </w:r>
    </w:p>
    <w:p>
      <w:pPr>
        <w:spacing w:after="80"/>
      </w:pPr>
      <w:r>
        <w:rPr>
          <w:rFonts w:ascii="Calibri" w:hAnsi="Calibri"/>
          <w:b w:val="0"/>
          <w:i w:val="0"/>
          <w:color w:val="1A1A1A"/>
          <w:sz w:val="22"/>
        </w:rPr>
        <w:t>Co-investment partnership between project investor (or landholding entity) and Hero Experiences Group.</w:t>
      </w:r>
    </w:p>
    <w:p>
      <w:pPr>
        <w:spacing w:before="200" w:after="40"/>
      </w:pPr>
      <w:r>
        <w:rPr>
          <w:rFonts w:ascii="Calibri" w:hAnsi="Calibri"/>
          <w:b/>
          <w:color w:val="1A1A1A"/>
          <w:sz w:val="24"/>
        </w:rPr>
        <w:t>Investor finances CAPEX:</w:t>
      </w:r>
    </w:p>
    <w:p>
      <w:pPr>
        <w:pStyle w:val="ListBullet"/>
        <w:spacing w:after="40"/>
        <w:ind w:left="283"/>
      </w:pPr>
      <w:r>
        <w:rPr>
          <w:rFonts w:ascii="Calibri" w:hAnsi="Calibri"/>
          <w:color w:val="1A1A1A"/>
          <w:sz w:val="22"/>
        </w:rPr>
        <w:t>Relocation, transport, reassembly of the tethered helium balloon system</w:t>
      </w:r>
    </w:p>
    <w:p>
      <w:pPr>
        <w:pStyle w:val="ListBullet"/>
        <w:spacing w:after="40"/>
        <w:ind w:left="283"/>
      </w:pPr>
      <w:r>
        <w:rPr>
          <w:rFonts w:ascii="Calibri" w:hAnsi="Calibri"/>
          <w:color w:val="1A1A1A"/>
          <w:sz w:val="22"/>
        </w:rPr>
        <w:t>Site preparation, foundations, utilities (power and minor infrastructure)</w:t>
      </w:r>
    </w:p>
    <w:p>
      <w:pPr>
        <w:pStyle w:val="ListBullet"/>
        <w:spacing w:after="40"/>
        <w:ind w:left="283"/>
      </w:pPr>
      <w:r>
        <w:rPr>
          <w:rFonts w:ascii="Calibri" w:hAnsi="Calibri"/>
          <w:color w:val="1A1A1A"/>
          <w:sz w:val="22"/>
        </w:rPr>
        <w:t>Basic guest facilities (ticketing kiosk, shaded waiting area, minimal landscaping)</w:t>
      </w:r>
    </w:p>
    <w:p>
      <w:pPr>
        <w:pStyle w:val="ListBullet"/>
        <w:spacing w:after="40"/>
        <w:ind w:left="283"/>
      </w:pPr>
      <w:r>
        <w:rPr>
          <w:rFonts w:ascii="Calibri" w:hAnsi="Calibri"/>
          <w:color w:val="1A1A1A"/>
          <w:sz w:val="22"/>
        </w:rPr>
        <w:t>Working capital for launch marketing and pre-opening readiness</w:t>
      </w:r>
    </w:p>
    <w:p>
      <w:pPr>
        <w:pStyle w:val="ListBullet"/>
        <w:spacing w:after="40"/>
        <w:ind w:left="283"/>
      </w:pPr>
      <w:r>
        <w:rPr>
          <w:rFonts w:ascii="Calibri" w:hAnsi="Calibri"/>
          <w:color w:val="1A1A1A"/>
          <w:sz w:val="22"/>
        </w:rPr>
        <w:t>Land parcel within Saadiyat Island (proposed: 24°31′55″N 54°24′01″E)</w:t>
      </w:r>
    </w:p>
    <w:p>
      <w:pPr>
        <w:spacing w:before="200" w:after="40"/>
      </w:pPr>
      <w:r>
        <w:rPr>
          <w:rFonts w:ascii="Calibri" w:hAnsi="Calibri"/>
          <w:b/>
          <w:color w:val="1A1A1A"/>
          <w:sz w:val="24"/>
        </w:rPr>
        <w:t>Hero Experiences Group delivers:</w:t>
      </w:r>
    </w:p>
    <w:p>
      <w:pPr>
        <w:pStyle w:val="ListBullet"/>
        <w:spacing w:after="40"/>
        <w:ind w:left="283"/>
      </w:pPr>
      <w:r>
        <w:rPr>
          <w:rFonts w:ascii="Calibri" w:hAnsi="Calibri"/>
          <w:color w:val="1A1A1A"/>
          <w:sz w:val="22"/>
        </w:rPr>
        <w:t>Full end-to-end operations (staffing, training, safety management, guest services, maintenance)</w:t>
      </w:r>
    </w:p>
    <w:p>
      <w:pPr>
        <w:pStyle w:val="ListBullet"/>
        <w:spacing w:after="40"/>
        <w:ind w:left="283"/>
      </w:pPr>
      <w:r>
        <w:rPr>
          <w:rFonts w:ascii="Calibri" w:hAnsi="Calibri"/>
          <w:color w:val="1A1A1A"/>
          <w:sz w:val="22"/>
        </w:rPr>
        <w:t>Ticketing, pricing, yield strategy (OTAs, hotel concierges, tour operators)</w:t>
      </w:r>
    </w:p>
    <w:p>
      <w:pPr>
        <w:pStyle w:val="ListBullet"/>
        <w:spacing w:after="40"/>
        <w:ind w:left="283"/>
      </w:pPr>
      <w:r>
        <w:rPr>
          <w:rFonts w:ascii="Calibri" w:hAnsi="Calibri"/>
          <w:color w:val="1A1A1A"/>
          <w:sz w:val="22"/>
        </w:rPr>
        <w:t>Marketing, branding, PR campaigns</w:t>
      </w:r>
    </w:p>
    <w:p>
      <w:pPr>
        <w:pStyle w:val="ListBullet"/>
        <w:spacing w:after="40"/>
        <w:ind w:left="283"/>
      </w:pPr>
      <w:r>
        <w:rPr>
          <w:rFonts w:ascii="Calibri" w:hAnsi="Calibri"/>
          <w:color w:val="1A1A1A"/>
          <w:sz w:val="22"/>
        </w:rPr>
        <w:t>Helium supply and safety certification (Civil Aviation compliance, insurance)</w:t>
      </w:r>
    </w:p>
    <w:p>
      <w:pPr>
        <w:spacing w:before="280" w:after="80"/>
      </w:pPr>
      <w:r>
        <w:rPr>
          <w:rFonts w:ascii="Calibri" w:hAnsi="Calibri"/>
          <w:b/>
          <w:color w:val="8C6F2A"/>
          <w:sz w:val="28"/>
        </w:rPr>
        <w:t>A.7  Revenue Share Framework (page 11) ★ Critical</w:t>
      </w:r>
    </w:p>
    <w:p>
      <w:pPr>
        <w:spacing w:after="80"/>
      </w:pPr>
      <w:r>
        <w:rPr>
          <w:rFonts w:ascii="Calibri" w:hAnsi="Calibri"/>
          <w:b w:val="0"/>
          <w:i w:val="0"/>
          <w:color w:val="1A1A1A"/>
          <w:sz w:val="22"/>
        </w:rPr>
        <w:t>Reproduced verbatim from the original proposal:</w:t>
      </w:r>
    </w:p>
    <w:tbl>
      <w:tblPr>
        <w:tblStyle w:val="LightGrid-Accent1"/>
        <w:tblW w:type="auto" w:w="0"/>
        <w:tblLayout w:type="fixed"/>
        <w:tblLook w:firstColumn="1" w:firstRow="1" w:lastColumn="0" w:lastRow="0" w:noHBand="0" w:noVBand="1" w:val="04A0"/>
      </w:tblPr>
      <w:tblGrid>
        <w:gridCol w:w="4986"/>
        <w:gridCol w:w="4986"/>
      </w:tblGrid>
      <w:tr>
        <w:tc>
          <w:tcPr>
            <w:tcW w:type="dxa" w:w="3402"/>
            <w:shd w:val="clear" w:color="auto" w:fill="F1E9D2"/>
            <w:vAlign w:val="center"/>
          </w:tcPr>
          <w:p>
            <w:r/>
            <w:r>
              <w:rPr>
                <w:rFonts w:ascii="Calibri" w:hAnsi="Calibri"/>
                <w:b/>
                <w:color w:val="1A1A1A"/>
                <w:sz w:val="20"/>
              </w:rPr>
              <w:t>Field</w:t>
            </w:r>
          </w:p>
        </w:tc>
        <w:tc>
          <w:tcPr>
            <w:tcW w:type="dxa" w:w="5669"/>
            <w:shd w:val="clear" w:color="auto" w:fill="F1E9D2"/>
            <w:vAlign w:val="center"/>
          </w:tcPr>
          <w:p>
            <w:r/>
            <w:r>
              <w:rPr>
                <w:rFonts w:ascii="Calibri" w:hAnsi="Calibri"/>
                <w:b/>
                <w:color w:val="1A1A1A"/>
                <w:sz w:val="20"/>
              </w:rPr>
              <w:t>Value</w:t>
            </w:r>
          </w:p>
        </w:tc>
      </w:tr>
      <w:tr>
        <w:tc>
          <w:tcPr>
            <w:tcW w:type="dxa" w:w="3402"/>
            <w:vAlign w:val="center"/>
          </w:tcPr>
          <w:p>
            <w:pPr>
              <w:jc w:val="left"/>
            </w:pPr>
            <w:r/>
            <w:r>
              <w:rPr>
                <w:rFonts w:ascii="Calibri" w:hAnsi="Calibri"/>
                <w:color w:val="1A1A1A"/>
                <w:sz w:val="20"/>
              </w:rPr>
              <w:t>CAPEX (Investor, one-time)</w:t>
            </w:r>
          </w:p>
        </w:tc>
        <w:tc>
          <w:tcPr>
            <w:tcW w:type="dxa" w:w="5669"/>
            <w:vAlign w:val="center"/>
          </w:tcPr>
          <w:p>
            <w:pPr>
              <w:jc w:val="right"/>
            </w:pPr>
            <w:r/>
            <w:r>
              <w:rPr>
                <w:rFonts w:ascii="Calibri" w:hAnsi="Calibri"/>
                <w:color w:val="1A1A1A"/>
                <w:sz w:val="20"/>
              </w:rPr>
              <w:t>AED 15,000,000 (balloon, inflation system, deck, tether, branding)</w:t>
            </w:r>
          </w:p>
        </w:tc>
      </w:tr>
      <w:tr>
        <w:tc>
          <w:tcPr>
            <w:tcW w:type="dxa" w:w="3402"/>
            <w:vAlign w:val="center"/>
          </w:tcPr>
          <w:p>
            <w:pPr>
              <w:jc w:val="left"/>
            </w:pPr>
            <w:r/>
            <w:r>
              <w:rPr>
                <w:rFonts w:ascii="Calibri" w:hAnsi="Calibri"/>
                <w:color w:val="1A1A1A"/>
                <w:sz w:val="20"/>
              </w:rPr>
              <w:t>OPEX (Hero input)</w:t>
            </w:r>
          </w:p>
        </w:tc>
        <w:tc>
          <w:tcPr>
            <w:tcW w:type="dxa" w:w="5669"/>
            <w:vAlign w:val="center"/>
          </w:tcPr>
          <w:p>
            <w:pPr>
              <w:jc w:val="right"/>
            </w:pPr>
            <w:r/>
            <w:r>
              <w:rPr>
                <w:rFonts w:ascii="Calibri" w:hAnsi="Calibri"/>
                <w:color w:val="1A1A1A"/>
                <w:sz w:val="20"/>
              </w:rPr>
              <w:t>AED 600,000 / month  =  AED 7,200,000 / year</w:t>
            </w:r>
          </w:p>
        </w:tc>
      </w:tr>
      <w:tr>
        <w:tc>
          <w:tcPr>
            <w:tcW w:type="dxa" w:w="3402"/>
            <w:vAlign w:val="center"/>
          </w:tcPr>
          <w:p>
            <w:pPr>
              <w:jc w:val="left"/>
            </w:pPr>
            <w:r/>
            <w:r>
              <w:rPr>
                <w:rFonts w:ascii="Calibri" w:hAnsi="Calibri"/>
                <w:color w:val="1A1A1A"/>
                <w:sz w:val="20"/>
              </w:rPr>
              <w:t>VAT</w:t>
            </w:r>
          </w:p>
        </w:tc>
        <w:tc>
          <w:tcPr>
            <w:tcW w:type="dxa" w:w="5669"/>
            <w:vAlign w:val="center"/>
          </w:tcPr>
          <w:p>
            <w:pPr>
              <w:jc w:val="right"/>
            </w:pPr>
            <w:r/>
            <w:r>
              <w:rPr>
                <w:rFonts w:ascii="Calibri" w:hAnsi="Calibri"/>
                <w:color w:val="1A1A1A"/>
                <w:sz w:val="20"/>
              </w:rPr>
              <w:t>5% (Government levy)</w:t>
            </w:r>
          </w:p>
        </w:tc>
      </w:tr>
      <w:tr>
        <w:tc>
          <w:tcPr>
            <w:tcW w:type="dxa" w:w="3402"/>
            <w:vAlign w:val="center"/>
          </w:tcPr>
          <w:p>
            <w:pPr>
              <w:jc w:val="left"/>
            </w:pPr>
            <w:r/>
            <w:r>
              <w:rPr>
                <w:rFonts w:ascii="Calibri" w:hAnsi="Calibri"/>
                <w:color w:val="1A1A1A"/>
                <w:sz w:val="20"/>
              </w:rPr>
              <w:t>Partner / Authority</w:t>
            </w:r>
          </w:p>
        </w:tc>
        <w:tc>
          <w:tcPr>
            <w:tcW w:type="dxa" w:w="5669"/>
            <w:vAlign w:val="center"/>
          </w:tcPr>
          <w:p>
            <w:pPr>
              <w:jc w:val="right"/>
            </w:pPr>
            <w:r/>
            <w:r>
              <w:rPr>
                <w:rFonts w:ascii="Calibri" w:hAnsi="Calibri"/>
                <w:color w:val="1A1A1A"/>
                <w:sz w:val="20"/>
              </w:rPr>
              <w:t>12% of net-of-VAT (shared operational revenue)</w:t>
            </w:r>
          </w:p>
        </w:tc>
      </w:tr>
      <w:tr>
        <w:tc>
          <w:tcPr>
            <w:tcW w:type="dxa" w:w="3402"/>
            <w:vAlign w:val="center"/>
          </w:tcPr>
          <w:p>
            <w:pPr>
              <w:jc w:val="left"/>
            </w:pPr>
            <w:r/>
            <w:r>
              <w:rPr>
                <w:rFonts w:ascii="Calibri" w:hAnsi="Calibri"/>
                <w:color w:val="1A1A1A"/>
                <w:sz w:val="20"/>
              </w:rPr>
              <w:t>Operator (Hero Experiences)</w:t>
            </w:r>
          </w:p>
        </w:tc>
        <w:tc>
          <w:tcPr>
            <w:tcW w:type="dxa" w:w="5669"/>
            <w:vAlign w:val="center"/>
          </w:tcPr>
          <w:p>
            <w:pPr>
              <w:jc w:val="right"/>
            </w:pPr>
            <w:r/>
            <w:r>
              <w:rPr>
                <w:rFonts w:ascii="Calibri" w:hAnsi="Calibri"/>
                <w:color w:val="1A1A1A"/>
                <w:sz w:val="20"/>
              </w:rPr>
              <w:t>83% of gross, after VAT (5%) and Partner share</w:t>
            </w:r>
          </w:p>
        </w:tc>
      </w:tr>
      <w:tr>
        <w:tc>
          <w:tcPr>
            <w:tcW w:type="dxa" w:w="3402"/>
            <w:vAlign w:val="center"/>
          </w:tcPr>
          <w:p>
            <w:pPr>
              <w:jc w:val="left"/>
            </w:pPr>
            <w:r/>
            <w:r>
              <w:rPr>
                <w:rFonts w:ascii="Calibri" w:hAnsi="Calibri"/>
                <w:color w:val="1A1A1A"/>
                <w:sz w:val="20"/>
              </w:rPr>
              <w:t>Investor Retained (10-yr forecast, including 5% YoY growth)</w:t>
            </w:r>
          </w:p>
        </w:tc>
        <w:tc>
          <w:tcPr>
            <w:tcW w:type="dxa" w:w="5669"/>
            <w:vAlign w:val="center"/>
          </w:tcPr>
          <w:p>
            <w:pPr>
              <w:jc w:val="right"/>
            </w:pPr>
            <w:r/>
            <w:r>
              <w:rPr>
                <w:rFonts w:ascii="Calibri" w:hAnsi="Calibri"/>
                <w:color w:val="1A1A1A"/>
                <w:sz w:val="20"/>
              </w:rPr>
              <w:t>AED 35.4 M</w:t>
            </w:r>
          </w:p>
        </w:tc>
      </w:tr>
    </w:tbl>
    <w:p>
      <w:pPr>
        <w:spacing w:before="280" w:after="80"/>
      </w:pPr>
      <w:r>
        <w:rPr>
          <w:rFonts w:ascii="Calibri" w:hAnsi="Calibri"/>
          <w:b/>
          <w:color w:val="8C6F2A"/>
          <w:sz w:val="28"/>
        </w:rPr>
        <w:t>A.8  Why Saadiyat, Why Now (pages 13–16)</w:t>
      </w:r>
    </w:p>
    <w:p>
      <w:pPr>
        <w:pStyle w:val="ListBullet"/>
        <w:spacing w:after="40"/>
        <w:ind w:left="283"/>
      </w:pPr>
      <w:r>
        <w:rPr>
          <w:rFonts w:ascii="Calibri" w:hAnsi="Calibri"/>
          <w:color w:val="1A1A1A"/>
          <w:sz w:val="22"/>
        </w:rPr>
        <w:t>Saadiyat is 2,700 ha master-planned cultural-and-leisure island; world-class institutions + luxury hospitality + beaches + conservation nature</w:t>
      </w:r>
    </w:p>
    <w:p>
      <w:pPr>
        <w:pStyle w:val="ListBullet"/>
        <w:spacing w:after="40"/>
        <w:ind w:left="283"/>
      </w:pPr>
      <w:r>
        <w:rPr>
          <w:rFonts w:ascii="Calibri" w:hAnsi="Calibri"/>
          <w:color w:val="1A1A1A"/>
          <w:sz w:val="22"/>
        </w:rPr>
        <w:t>2024: 10% YoY visitor growth across hotels and museum venues; ~74% hotel occupancy; +14% ADR YoY</w:t>
      </w:r>
    </w:p>
    <w:p>
      <w:pPr>
        <w:pStyle w:val="ListBullet"/>
        <w:spacing w:after="40"/>
        <w:ind w:left="283"/>
      </w:pPr>
      <w:r>
        <w:rPr>
          <w:rFonts w:ascii="Calibri" w:hAnsi="Calibri"/>
          <w:color w:val="1A1A1A"/>
          <w:sz w:val="22"/>
        </w:rPr>
        <w:t>Aligned with Abu Dhabi DCT "Tourism Strategy 2030": 39.3 M annual visitors, AED 90 B national economy contribution</w:t>
      </w:r>
    </w:p>
    <w:p>
      <w:pPr>
        <w:pStyle w:val="ListBullet"/>
        <w:spacing w:after="40"/>
        <w:ind w:left="283"/>
      </w:pPr>
      <w:r>
        <w:rPr>
          <w:rFonts w:ascii="Calibri" w:hAnsi="Calibri"/>
          <w:color w:val="1A1A1A"/>
          <w:sz w:val="22"/>
        </w:rPr>
        <w:t>Multiple major museum openings (Zayed NM December 2025) — heightened visibility and global appeal</w:t>
      </w:r>
    </w:p>
    <w:p>
      <w:pPr>
        <w:pStyle w:val="ListBullet"/>
        <w:spacing w:after="40"/>
        <w:ind w:left="283"/>
      </w:pPr>
      <w:r>
        <w:rPr>
          <w:rFonts w:ascii="Calibri" w:hAnsi="Calibri"/>
          <w:color w:val="1A1A1A"/>
          <w:sz w:val="22"/>
        </w:rPr>
        <w:t>Demand rising not plateauing; cultural district in transformation; emergent not saturated — opportunity to own landmark status</w:t>
      </w:r>
    </w:p>
    <w:p>
      <w:pPr>
        <w:pStyle w:val="ListBullet"/>
        <w:spacing w:after="40"/>
        <w:ind w:left="283"/>
      </w:pPr>
      <w:r>
        <w:rPr>
          <w:rFonts w:ascii="Calibri" w:hAnsi="Calibri"/>
          <w:color w:val="1A1A1A"/>
          <w:sz w:val="22"/>
        </w:rPr>
        <w:t>Differentiation: balloon adds vertical vantage point; museums + resorts + beaches mostly ground-level</w:t>
      </w:r>
    </w:p>
    <w:p>
      <w:pPr>
        <w:pStyle w:val="ListBullet"/>
        <w:spacing w:after="40"/>
        <w:ind w:left="283"/>
      </w:pPr>
      <w:r>
        <w:rPr>
          <w:rFonts w:ascii="Calibri" w:hAnsi="Calibri"/>
          <w:color w:val="1A1A1A"/>
          <w:sz w:val="22"/>
        </w:rPr>
        <w:t>Stay-and-explore profile: arrive early for balloon → museum → sunset resort/beach → cross-sell ecosystem</w:t>
      </w:r>
    </w:p>
    <w:p>
      <w:pPr>
        <w:pStyle w:val="ListBullet"/>
        <w:spacing w:after="40"/>
        <w:ind w:left="283"/>
      </w:pPr>
      <w:r>
        <w:rPr>
          <w:rFonts w:ascii="Calibri" w:hAnsi="Calibri"/>
          <w:color w:val="1A1A1A"/>
          <w:sz w:val="22"/>
        </w:rPr>
        <w:t>First-mover brand advantage: position balloon as signature icon rather than late-entry amenity</w:t>
      </w:r>
    </w:p>
    <w:p>
      <w:pPr>
        <w:spacing w:before="280" w:after="80"/>
      </w:pPr>
      <w:r>
        <w:rPr>
          <w:rFonts w:ascii="Calibri" w:hAnsi="Calibri"/>
          <w:b/>
          <w:color w:val="8C6F2A"/>
          <w:sz w:val="28"/>
        </w:rPr>
        <w:t>A.9  Why Partner With Hero Experiences Group (page 17)</w:t>
      </w:r>
    </w:p>
    <w:p>
      <w:pPr>
        <w:pStyle w:val="ListBullet"/>
        <w:spacing w:after="40"/>
        <w:ind w:left="283"/>
      </w:pPr>
      <w:r>
        <w:rPr>
          <w:rFonts w:ascii="Calibri" w:hAnsi="Calibri"/>
          <w:color w:val="1A1A1A"/>
          <w:sz w:val="22"/>
        </w:rPr>
        <w:t>GCC's leading operator of premium aerial and cultural attractions</w:t>
      </w:r>
    </w:p>
    <w:p>
      <w:pPr>
        <w:pStyle w:val="ListBullet"/>
        <w:spacing w:after="40"/>
        <w:ind w:left="283"/>
      </w:pPr>
      <w:r>
        <w:rPr>
          <w:rFonts w:ascii="Calibri" w:hAnsi="Calibri"/>
          <w:color w:val="1A1A1A"/>
          <w:sz w:val="22"/>
        </w:rPr>
        <w:t>Only company in the region with proven expertise across both helium tethered balloons and hot air balloon operations</w:t>
      </w:r>
    </w:p>
    <w:p>
      <w:pPr>
        <w:pStyle w:val="ListBullet"/>
        <w:spacing w:after="40"/>
        <w:ind w:left="283"/>
      </w:pPr>
      <w:r>
        <w:rPr>
          <w:rFonts w:ascii="Calibri" w:hAnsi="Calibri"/>
          <w:color w:val="1A1A1A"/>
          <w:sz w:val="22"/>
        </w:rPr>
        <w:t>Designed, launched, and operated the UAE's first permanent helium balloon attraction — 250,000+ safe passenger flights, flawless safety and compliance record</w:t>
      </w:r>
    </w:p>
    <w:p>
      <w:pPr>
        <w:pStyle w:val="ListBullet"/>
        <w:spacing w:after="40"/>
        <w:ind w:left="283"/>
      </w:pPr>
      <w:r>
        <w:rPr>
          <w:rFonts w:ascii="Calibri" w:hAnsi="Calibri"/>
          <w:color w:val="1A1A1A"/>
          <w:sz w:val="22"/>
        </w:rPr>
        <w:t>Hero Balloon Flights brand — one of the world's most recognised hot air balloon companies, GCAA-certified</w:t>
      </w:r>
    </w:p>
    <w:p>
      <w:pPr>
        <w:pStyle w:val="ListBullet"/>
        <w:spacing w:after="40"/>
        <w:ind w:left="283"/>
      </w:pPr>
      <w:r>
        <w:rPr>
          <w:rFonts w:ascii="Calibri" w:hAnsi="Calibri"/>
          <w:color w:val="1A1A1A"/>
          <w:sz w:val="22"/>
        </w:rPr>
        <w:t>Turn-key operational model: certification, staffing, ticketing, marketing, maintenance — all in-house</w:t>
      </w:r>
    </w:p>
    <w:p>
      <w:pPr>
        <w:pStyle w:val="ListBullet"/>
        <w:spacing w:after="40"/>
        <w:ind w:left="283"/>
      </w:pPr>
      <w:r>
        <w:rPr>
          <w:rFonts w:ascii="Calibri" w:hAnsi="Calibri"/>
          <w:color w:val="1A1A1A"/>
          <w:sz w:val="22"/>
        </w:rPr>
        <w:t>Decade of aviation expertise, award-winning brands, trusted reputation with government tourism authorities</w:t>
      </w:r>
    </w:p>
    <w:p>
      <w:pPr>
        <w:spacing w:before="280" w:after="80"/>
      </w:pPr>
      <w:r>
        <w:rPr>
          <w:rFonts w:ascii="Calibri" w:hAnsi="Calibri"/>
          <w:b/>
          <w:color w:val="8C6F2A"/>
          <w:sz w:val="28"/>
        </w:rPr>
        <w:t>A.10  Closing — A Defining Opportunity for Abu Dhabi (page 18)</w:t>
      </w:r>
    </w:p>
    <w:p>
      <w:pPr>
        <w:spacing w:after="80"/>
      </w:pPr>
      <w:r>
        <w:rPr>
          <w:rFonts w:ascii="Calibri" w:hAnsi="Calibri"/>
          <w:b w:val="0"/>
          <w:i/>
          <w:color w:val="555555"/>
          <w:sz w:val="20"/>
        </w:rPr>
        <w:t>"We are offering Abu Dhabi the first right of opportunity to secure a proven, world-class attraction... The system is fully built, certified, and ready to be relocated, requiring only land allocation and capital investment to bring it to life once more. Saadiyat Island represents that stage. From above, guests will see the story of the UAE's creativity and progress unfold beneath them: Louvre Abu Dhabi, Zayed National Museum, and Guggenheim Abu Dhabi, all within one sweeping view. Hero Experiences Group brings the product, the team, and the operational expertise. We are ready to deploy, operate, and deliver immediate value."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