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555555"/>
          <w:sz w:val="20"/>
        </w:rPr>
        <w:t>FINANCIAL MODEL REVISION MEMO</w:t>
      </w:r>
    </w:p>
    <w:p>
      <w:pPr>
        <w:spacing w:after="80"/>
      </w:pPr>
      <w:r>
        <w:rPr>
          <w:rFonts w:ascii="Calibri" w:hAnsi="Calibri"/>
          <w:b/>
          <w:i w:val="0"/>
          <w:color w:val="1A1A1A"/>
          <w:sz w:val="52"/>
        </w:rPr>
        <w:t>Canvas From The Sky</w:t>
      </w:r>
    </w:p>
    <w:p>
      <w:pPr>
        <w:spacing w:after="80"/>
      </w:pPr>
      <w:r>
        <w:rPr>
          <w:rFonts w:ascii="Calibri" w:hAnsi="Calibri"/>
          <w:b w:val="0"/>
          <w:i/>
          <w:color w:val="555555"/>
          <w:sz w:val="24"/>
        </w:rPr>
        <w:t>Supplementary calculation document for the investor pitch deck</w:t>
      </w:r>
    </w:p>
    <w:p>
      <w:pPr>
        <w:spacing w:after="80"/>
      </w:pPr>
      <w:r>
        <w:rPr>
          <w:rFonts w:ascii="Calibri" w:hAnsi="Calibri"/>
          <w:b w:val="0"/>
          <w:i w:val="0"/>
          <w:color w:val="1A1A1A"/>
          <w:sz w:val="22"/>
        </w:rPr>
      </w:r>
    </w:p>
    <w:p>
      <w:pPr>
        <w:spacing w:after="80"/>
      </w:pPr>
      <w:r>
        <w:rPr>
          <w:rFonts w:ascii="Calibri" w:hAnsi="Calibri"/>
          <w:b w:val="0"/>
          <w:i w:val="0"/>
          <w:color w:val="1A1A1A"/>
          <w:sz w:val="22"/>
        </w:rPr>
        <w:t>150 m peak operating height · 25-guest commercial cap · 20-minute per-batch night cycle · baseline ARPU retained</w:t>
      </w:r>
    </w:p>
    <w:p>
      <w:pPr>
        <w:spacing w:after="80"/>
      </w:pPr>
      <w:r>
        <w:rPr>
          <w:rFonts w:ascii="Calibri" w:hAnsi="Calibri"/>
          <w:b w:val="0"/>
          <w:i w:val="0"/>
          <w:color w:val="1A1A1A"/>
          <w:sz w:val="22"/>
        </w:rPr>
      </w:r>
    </w:p>
    <w:tbl>
      <w:tblPr>
        <w:tblW w:type="auto" w:w="0"/>
        <w:tblLayout w:type="fixed"/>
        <w:tblLook w:firstColumn="1" w:firstRow="1" w:lastColumn="0" w:lastRow="0" w:noHBand="0" w:noVBand="1" w:val="04A0"/>
      </w:tblPr>
      <w:tblGrid>
        <w:gridCol w:w="4986"/>
        <w:gridCol w:w="4986"/>
      </w:tblGrid>
      <w:tr>
        <w:tc>
          <w:tcPr>
            <w:tcW w:type="dxa" w:w="1984"/>
          </w:tcPr>
          <w:p>
            <w:r/>
            <w:r>
              <w:rPr>
                <w:rFonts w:ascii="Calibri" w:hAnsi="Calibri"/>
                <w:b/>
                <w:color w:val="555555"/>
                <w:sz w:val="20"/>
              </w:rPr>
              <w:t>Audience</w:t>
            </w:r>
          </w:p>
        </w:tc>
        <w:tc>
          <w:tcPr>
            <w:tcW w:type="dxa" w:w="7087"/>
          </w:tcPr>
          <w:p>
            <w:r/>
            <w:r>
              <w:rPr>
                <w:rFonts w:ascii="Calibri" w:hAnsi="Calibri"/>
                <w:color w:val="1A1A1A"/>
                <w:sz w:val="20"/>
              </w:rPr>
              <w:t>Company executive review — read alongside PitchDeck v2 (index.html)</w:t>
            </w:r>
          </w:p>
        </w:tc>
      </w:tr>
      <w:tr>
        <w:tc>
          <w:tcPr>
            <w:tcW w:type="dxa" w:w="1984"/>
          </w:tcPr>
          <w:p>
            <w:r/>
            <w:r>
              <w:rPr>
                <w:rFonts w:ascii="Calibri" w:hAnsi="Calibri"/>
                <w:b/>
                <w:color w:val="555555"/>
                <w:sz w:val="20"/>
              </w:rPr>
              <w:t>Date</w:t>
            </w:r>
          </w:p>
        </w:tc>
        <w:tc>
          <w:tcPr>
            <w:tcW w:type="dxa" w:w="7087"/>
          </w:tcPr>
          <w:p>
            <w:r/>
            <w:r>
              <w:rPr>
                <w:rFonts w:ascii="Calibri" w:hAnsi="Calibri"/>
                <w:color w:val="1A1A1A"/>
                <w:sz w:val="20"/>
              </w:rPr>
              <w:t>15 May 2026</w:t>
            </w:r>
          </w:p>
        </w:tc>
      </w:tr>
      <w:tr>
        <w:tc>
          <w:tcPr>
            <w:tcW w:type="dxa" w:w="1984"/>
          </w:tcPr>
          <w:p>
            <w:r/>
            <w:r>
              <w:rPr>
                <w:rFonts w:ascii="Calibri" w:hAnsi="Calibri"/>
                <w:b/>
                <w:color w:val="555555"/>
                <w:sz w:val="20"/>
              </w:rPr>
              <w:t>Status</w:t>
            </w:r>
          </w:p>
        </w:tc>
        <w:tc>
          <w:tcPr>
            <w:tcW w:type="dxa" w:w="7087"/>
          </w:tcPr>
          <w:p>
            <w:r/>
            <w:r>
              <w:rPr>
                <w:rFonts w:ascii="Calibri" w:hAnsi="Calibri"/>
                <w:color w:val="1A1A1A"/>
                <w:sz w:val="20"/>
              </w:rPr>
              <w:t>Aligned with the revised PitchDeck v2 HTML</w:t>
            </w:r>
          </w:p>
        </w:tc>
      </w:tr>
      <w:tr>
        <w:tc>
          <w:tcPr>
            <w:tcW w:type="dxa" w:w="1984"/>
          </w:tcPr>
          <w:p>
            <w:r/>
            <w:r>
              <w:rPr>
                <w:rFonts w:ascii="Calibri" w:hAnsi="Calibri"/>
                <w:b/>
                <w:color w:val="555555"/>
                <w:sz w:val="20"/>
              </w:rPr>
              <w:t>Sources</w:t>
            </w:r>
          </w:p>
        </w:tc>
        <w:tc>
          <w:tcPr>
            <w:tcW w:type="dxa" w:w="7087"/>
          </w:tcPr>
          <w:p>
            <w:r/>
            <w:r>
              <w:rPr>
                <w:rFonts w:ascii="Calibri" w:hAnsi="Calibri"/>
                <w:color w:val="1A1A1A"/>
                <w:sz w:val="20"/>
              </w:rPr>
              <w:t>pitch-blueprint.md (baseline) · financial-model-revision-150m.md (working draft)</w:t>
            </w:r>
          </w:p>
        </w:tc>
      </w:tr>
    </w:tbl>
    <w:p>
      <w:pPr>
        <w:spacing w:before="360" w:after="160"/>
      </w:pPr>
      <w:r>
        <w:rPr>
          <w:rFonts w:ascii="Calibri" w:hAnsi="Calibri"/>
          <w:b/>
          <w:color w:val="1A1A1A"/>
          <w:sz w:val="40"/>
        </w:rPr>
        <w:t>1. Purpose of this memo</w:t>
      </w:r>
    </w:p>
    <w:p>
      <w:pPr>
        <w:spacing w:after="80"/>
      </w:pPr>
      <w:r>
        <w:rPr>
          <w:rFonts w:ascii="Calibri" w:hAnsi="Calibri"/>
          <w:b w:val="0"/>
          <w:i w:val="0"/>
          <w:color w:val="1A1A1A"/>
          <w:sz w:val="22"/>
        </w:rPr>
        <w:t>The investor pitch deck (PitchDeck v2, index.html) communicates the revised Canvas From The Sky financial model in summary form. This memo is the calculation backing it. Each headline figure in the deck can be traced here to the operating assumption it rests on, and each operating assumption is shown against the previous pitch-blueprint.md baseline so executives can see what changed and why.</w:t>
      </w:r>
    </w:p>
    <w:p>
      <w:pPr>
        <w:spacing w:after="80"/>
      </w:pPr>
      <w:r>
        <w:rPr>
          <w:rFonts w:ascii="Calibri" w:hAnsi="Calibri"/>
          <w:b w:val="0"/>
          <w:i w:val="0"/>
          <w:color w:val="1A1A1A"/>
          <w:sz w:val="22"/>
        </w:rPr>
        <w:t>The revision moves three operating assumptions versus the pitch-blueprint.md baseline:</w:t>
      </w:r>
    </w:p>
    <w:p>
      <w:pPr>
        <w:pStyle w:val="ListBullet"/>
        <w:spacing w:after="40"/>
        <w:ind w:left="283"/>
      </w:pPr>
      <w:r>
        <w:rPr>
          <w:rFonts w:ascii="Calibri" w:hAnsi="Calibri"/>
          <w:color w:val="1A1A1A"/>
          <w:sz w:val="22"/>
        </w:rPr>
        <w:t>Maximum balloon height: 300 m  →  150 m (true new peak — the attraction is no longer marketed as 300 m capable).</w:t>
      </w:r>
    </w:p>
    <w:p>
      <w:pPr>
        <w:pStyle w:val="ListBullet"/>
        <w:spacing w:after="40"/>
        <w:ind w:left="283"/>
      </w:pPr>
      <w:r>
        <w:rPr>
          <w:rFonts w:ascii="Calibri" w:hAnsi="Calibri"/>
          <w:color w:val="1A1A1A"/>
          <w:sz w:val="22"/>
        </w:rPr>
        <w:t>Commercial basket loading: 30 guests  →  25 guests (the physical gondola remains 30-passenger).</w:t>
      </w:r>
    </w:p>
    <w:p>
      <w:pPr>
        <w:pStyle w:val="ListBullet"/>
        <w:spacing w:after="40"/>
        <w:ind w:left="283"/>
      </w:pPr>
      <w:r>
        <w:rPr>
          <w:rFonts w:ascii="Calibri" w:hAnsi="Calibri"/>
          <w:color w:val="1A1A1A"/>
          <w:sz w:val="22"/>
        </w:rPr>
        <w:t>Night cycle: a single 41-minute cycle  →  a 20-minute per-batch cadence, with an on-platform photo dwell after the gondola lands and the LED entry hallway closed during the main show.</w:t>
      </w:r>
    </w:p>
    <w:p>
      <w:pPr>
        <w:spacing w:before="360" w:after="160"/>
      </w:pPr>
      <w:r>
        <w:rPr>
          <w:rFonts w:ascii="Calibri" w:hAnsi="Calibri"/>
          <w:b/>
          <w:color w:val="1A1A1A"/>
          <w:sz w:val="40"/>
        </w:rPr>
        <w:t>2. At a glance — baseline vs. revised</w:t>
      </w:r>
    </w:p>
    <w:p>
      <w:pPr>
        <w:spacing w:after="80"/>
      </w:pPr>
      <w:r>
        <w:rPr>
          <w:rFonts w:ascii="Calibri" w:hAnsi="Calibri"/>
          <w:b w:val="0"/>
          <w:i w:val="0"/>
          <w:color w:val="1A1A1A"/>
          <w:sz w:val="22"/>
        </w:rPr>
        <w:t>A single-table view of every assumption and outcome that moved between the pitch-blueprint.md baseline and the revised model in PitchDeck v2. Sections §3 onward show the calculations behind each row.</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35"/>
            <w:shd w:val="clear" w:color="auto" w:fill="F1E9D2"/>
            <w:vAlign w:val="center"/>
          </w:tcPr>
          <w:p>
            <w:r/>
            <w:r>
              <w:rPr>
                <w:rFonts w:ascii="Calibri" w:hAnsi="Calibri"/>
                <w:b/>
                <w:color w:val="1A1A1A"/>
                <w:sz w:val="20"/>
              </w:rPr>
              <w:t>Dimension</w:t>
            </w:r>
          </w:p>
        </w:tc>
        <w:tc>
          <w:tcPr>
            <w:tcW w:type="dxa" w:w="2268"/>
            <w:shd w:val="clear" w:color="auto" w:fill="F1E9D2"/>
            <w:vAlign w:val="center"/>
          </w:tcPr>
          <w:p>
            <w:r/>
            <w:r>
              <w:rPr>
                <w:rFonts w:ascii="Calibri" w:hAnsi="Calibri"/>
                <w:b/>
                <w:color w:val="1A1A1A"/>
                <w:sz w:val="20"/>
              </w:rPr>
              <w:t>Baseline (blueprint)</w:t>
            </w:r>
          </w:p>
        </w:tc>
        <w:tc>
          <w:tcPr>
            <w:tcW w:type="dxa" w:w="2268"/>
            <w:shd w:val="clear" w:color="auto" w:fill="F1E9D2"/>
            <w:vAlign w:val="center"/>
          </w:tcPr>
          <w:p>
            <w:r/>
            <w:r>
              <w:rPr>
                <w:rFonts w:ascii="Calibri" w:hAnsi="Calibri"/>
                <w:b/>
                <w:color w:val="1A1A1A"/>
                <w:sz w:val="20"/>
              </w:rPr>
              <w:t>Revised (this memo)</w:t>
            </w:r>
          </w:p>
        </w:tc>
        <w:tc>
          <w:tcPr>
            <w:tcW w:type="dxa" w:w="1701"/>
            <w:shd w:val="clear" w:color="auto" w:fill="F1E9D2"/>
            <w:vAlign w:val="center"/>
          </w:tcPr>
          <w:p>
            <w:r/>
            <w:r>
              <w:rPr>
                <w:rFonts w:ascii="Calibri" w:hAnsi="Calibri"/>
                <w:b/>
                <w:color w:val="1A1A1A"/>
                <w:sz w:val="20"/>
              </w:rPr>
              <w:t>Change</w:t>
            </w:r>
          </w:p>
        </w:tc>
      </w:tr>
      <w:tr>
        <w:tc>
          <w:tcPr>
            <w:tcW w:type="dxa" w:w="9072"/>
            <w:gridSpan w:val="4"/>
            <w:shd w:val="clear" w:color="auto" w:fill="EFE2C2"/>
          </w:tcPr>
          <w:p>
            <w:r/>
            <w:r>
              <w:rPr>
                <w:rFonts w:ascii="Calibri" w:hAnsi="Calibri"/>
                <w:b/>
                <w:color w:val="1A1A1A"/>
                <w:sz w:val="20"/>
              </w:rPr>
              <w:t>Operating assumptions</w:t>
            </w:r>
          </w:p>
        </w:tc>
      </w:tr>
      <w:tr>
        <w:tc>
          <w:tcPr>
            <w:tcW w:type="dxa" w:w="2835"/>
            <w:vAlign w:val="center"/>
          </w:tcPr>
          <w:p>
            <w:pPr>
              <w:jc w:val="left"/>
            </w:pPr>
            <w:r/>
            <w:r>
              <w:rPr>
                <w:rFonts w:ascii="Calibri" w:hAnsi="Calibri"/>
                <w:color w:val="1A1A1A"/>
                <w:sz w:val="20"/>
              </w:rPr>
              <w:t>Peak balloon altitude</w:t>
            </w:r>
          </w:p>
        </w:tc>
        <w:tc>
          <w:tcPr>
            <w:tcW w:type="dxa" w:w="2268"/>
            <w:vAlign w:val="center"/>
          </w:tcPr>
          <w:p>
            <w:pPr>
              <w:jc w:val="right"/>
            </w:pPr>
            <w:r/>
            <w:r>
              <w:rPr>
                <w:rFonts w:ascii="Calibri" w:hAnsi="Calibri"/>
                <w:color w:val="1A1A1A"/>
                <w:sz w:val="20"/>
              </w:rPr>
              <w:t>300 m</w:t>
            </w:r>
          </w:p>
        </w:tc>
        <w:tc>
          <w:tcPr>
            <w:tcW w:type="dxa" w:w="2268"/>
            <w:vAlign w:val="center"/>
          </w:tcPr>
          <w:p>
            <w:pPr>
              <w:jc w:val="right"/>
            </w:pPr>
            <w:r/>
            <w:r>
              <w:rPr>
                <w:rFonts w:ascii="Calibri" w:hAnsi="Calibri"/>
                <w:color w:val="1A1A1A"/>
                <w:sz w:val="20"/>
              </w:rPr>
              <w:t>150 m</w:t>
            </w:r>
          </w:p>
        </w:tc>
        <w:tc>
          <w:tcPr>
            <w:tcW w:type="dxa" w:w="1701"/>
            <w:vAlign w:val="center"/>
          </w:tcPr>
          <w:p>
            <w:pPr>
              <w:jc w:val="right"/>
            </w:pPr>
            <w:r/>
            <w:r>
              <w:rPr>
                <w:rFonts w:ascii="Calibri" w:hAnsi="Calibri"/>
                <w:color w:val="1A1A1A"/>
                <w:sz w:val="20"/>
              </w:rPr>
              <w:t>True new peak</w:t>
            </w:r>
          </w:p>
        </w:tc>
      </w:tr>
      <w:tr>
        <w:tc>
          <w:tcPr>
            <w:tcW w:type="dxa" w:w="2835"/>
            <w:vAlign w:val="center"/>
          </w:tcPr>
          <w:p>
            <w:pPr>
              <w:jc w:val="left"/>
            </w:pPr>
            <w:r/>
            <w:r>
              <w:rPr>
                <w:rFonts w:ascii="Calibri" w:hAnsi="Calibri"/>
                <w:color w:val="1A1A1A"/>
                <w:sz w:val="20"/>
              </w:rPr>
              <w:t>Gondola commercial capacity</w:t>
            </w:r>
          </w:p>
        </w:tc>
        <w:tc>
          <w:tcPr>
            <w:tcW w:type="dxa" w:w="2268"/>
            <w:vAlign w:val="center"/>
          </w:tcPr>
          <w:p>
            <w:pPr>
              <w:jc w:val="right"/>
            </w:pPr>
            <w:r/>
            <w:r>
              <w:rPr>
                <w:rFonts w:ascii="Calibri" w:hAnsi="Calibri"/>
                <w:color w:val="1A1A1A"/>
                <w:sz w:val="20"/>
              </w:rPr>
              <w:t>30 guests / batch</w:t>
            </w:r>
          </w:p>
        </w:tc>
        <w:tc>
          <w:tcPr>
            <w:tcW w:type="dxa" w:w="2268"/>
            <w:vAlign w:val="center"/>
          </w:tcPr>
          <w:p>
            <w:pPr>
              <w:jc w:val="right"/>
            </w:pPr>
            <w:r/>
            <w:r>
              <w:rPr>
                <w:rFonts w:ascii="Calibri" w:hAnsi="Calibri"/>
                <w:color w:val="1A1A1A"/>
                <w:sz w:val="20"/>
              </w:rPr>
              <w:t>25 guests / batch</w:t>
            </w:r>
          </w:p>
        </w:tc>
        <w:tc>
          <w:tcPr>
            <w:tcW w:type="dxa" w:w="1701"/>
            <w:vAlign w:val="center"/>
          </w:tcPr>
          <w:p>
            <w:pPr>
              <w:jc w:val="right"/>
            </w:pPr>
            <w:r/>
            <w:r>
              <w:rPr>
                <w:rFonts w:ascii="Calibri" w:hAnsi="Calibri"/>
                <w:color w:val="1A1A1A"/>
                <w:sz w:val="20"/>
              </w:rPr>
              <w:t>– 5 guests</w:t>
            </w:r>
          </w:p>
        </w:tc>
      </w:tr>
      <w:tr>
        <w:tc>
          <w:tcPr>
            <w:tcW w:type="dxa" w:w="2835"/>
            <w:vAlign w:val="center"/>
          </w:tcPr>
          <w:p>
            <w:pPr>
              <w:jc w:val="left"/>
            </w:pPr>
            <w:r/>
            <w:r>
              <w:rPr>
                <w:rFonts w:ascii="Calibri" w:hAnsi="Calibri"/>
                <w:color w:val="1A1A1A"/>
                <w:sz w:val="20"/>
              </w:rPr>
              <w:t>Operating days (day flights)</w:t>
            </w:r>
          </w:p>
        </w:tc>
        <w:tc>
          <w:tcPr>
            <w:tcW w:type="dxa" w:w="2268"/>
            <w:vAlign w:val="center"/>
          </w:tcPr>
          <w:p>
            <w:pPr>
              <w:jc w:val="right"/>
            </w:pPr>
            <w:r/>
            <w:r>
              <w:rPr>
                <w:rFonts w:ascii="Calibri" w:hAnsi="Calibri"/>
                <w:color w:val="1A1A1A"/>
                <w:sz w:val="20"/>
              </w:rPr>
              <w:t>300 / year</w:t>
            </w:r>
          </w:p>
        </w:tc>
        <w:tc>
          <w:tcPr>
            <w:tcW w:type="dxa" w:w="2268"/>
            <w:vAlign w:val="center"/>
          </w:tcPr>
          <w:p>
            <w:pPr>
              <w:jc w:val="right"/>
            </w:pPr>
            <w:r/>
            <w:r>
              <w:rPr>
                <w:rFonts w:ascii="Calibri" w:hAnsi="Calibri"/>
                <w:color w:val="1A1A1A"/>
                <w:sz w:val="20"/>
              </w:rPr>
              <w:t>250 / year</w:t>
            </w:r>
          </w:p>
        </w:tc>
        <w:tc>
          <w:tcPr>
            <w:tcW w:type="dxa" w:w="1701"/>
            <w:vAlign w:val="center"/>
          </w:tcPr>
          <w:p>
            <w:pPr>
              <w:jc w:val="right"/>
            </w:pPr>
            <w:r/>
            <w:r>
              <w:rPr>
                <w:rFonts w:ascii="Calibri" w:hAnsi="Calibri"/>
                <w:color w:val="1A1A1A"/>
                <w:sz w:val="20"/>
              </w:rPr>
              <w:t>– 50 days</w:t>
            </w:r>
          </w:p>
        </w:tc>
      </w:tr>
      <w:tr>
        <w:tc>
          <w:tcPr>
            <w:tcW w:type="dxa" w:w="2835"/>
            <w:vAlign w:val="center"/>
          </w:tcPr>
          <w:p>
            <w:pPr>
              <w:jc w:val="left"/>
            </w:pPr>
            <w:r/>
            <w:r>
              <w:rPr>
                <w:rFonts w:ascii="Calibri" w:hAnsi="Calibri"/>
                <w:color w:val="1A1A1A"/>
                <w:sz w:val="20"/>
              </w:rPr>
              <w:t>Operating nights (LED show)</w:t>
            </w:r>
          </w:p>
        </w:tc>
        <w:tc>
          <w:tcPr>
            <w:tcW w:type="dxa" w:w="2268"/>
            <w:vAlign w:val="center"/>
          </w:tcPr>
          <w:p>
            <w:pPr>
              <w:jc w:val="right"/>
            </w:pPr>
            <w:r/>
            <w:r>
              <w:rPr>
                <w:rFonts w:ascii="Calibri" w:hAnsi="Calibri"/>
                <w:color w:val="1A1A1A"/>
                <w:sz w:val="20"/>
              </w:rPr>
              <w:t>300 / year</w:t>
            </w:r>
          </w:p>
        </w:tc>
        <w:tc>
          <w:tcPr>
            <w:tcW w:type="dxa" w:w="2268"/>
            <w:vAlign w:val="center"/>
          </w:tcPr>
          <w:p>
            <w:pPr>
              <w:jc w:val="right"/>
            </w:pPr>
            <w:r/>
            <w:r>
              <w:rPr>
                <w:rFonts w:ascii="Calibri" w:hAnsi="Calibri"/>
                <w:color w:val="1A1A1A"/>
                <w:sz w:val="20"/>
              </w:rPr>
              <w:t>250 / year</w:t>
            </w:r>
          </w:p>
        </w:tc>
        <w:tc>
          <w:tcPr>
            <w:tcW w:type="dxa" w:w="1701"/>
            <w:vAlign w:val="center"/>
          </w:tcPr>
          <w:p>
            <w:pPr>
              <w:jc w:val="right"/>
            </w:pPr>
            <w:r/>
            <w:r>
              <w:rPr>
                <w:rFonts w:ascii="Calibri" w:hAnsi="Calibri"/>
                <w:color w:val="1A1A1A"/>
                <w:sz w:val="20"/>
              </w:rPr>
              <w:t>– 50 nights</w:t>
            </w:r>
          </w:p>
        </w:tc>
      </w:tr>
      <w:tr>
        <w:tc>
          <w:tcPr>
            <w:tcW w:type="dxa" w:w="2835"/>
            <w:vAlign w:val="center"/>
          </w:tcPr>
          <w:p>
            <w:pPr>
              <w:jc w:val="left"/>
            </w:pPr>
            <w:r/>
            <w:r>
              <w:rPr>
                <w:rFonts w:ascii="Calibri" w:hAnsi="Calibri"/>
                <w:color w:val="1A1A1A"/>
                <w:sz w:val="20"/>
              </w:rPr>
              <w:t>Day cycle</w:t>
            </w:r>
          </w:p>
        </w:tc>
        <w:tc>
          <w:tcPr>
            <w:tcW w:type="dxa" w:w="2268"/>
            <w:vAlign w:val="center"/>
          </w:tcPr>
          <w:p>
            <w:pPr>
              <w:jc w:val="right"/>
            </w:pPr>
            <w:r/>
            <w:r>
              <w:rPr>
                <w:rFonts w:ascii="Calibri" w:hAnsi="Calibri"/>
                <w:color w:val="1A1A1A"/>
                <w:sz w:val="20"/>
              </w:rPr>
              <w:t>30 min · 6 rides/day</w:t>
            </w:r>
          </w:p>
        </w:tc>
        <w:tc>
          <w:tcPr>
            <w:tcW w:type="dxa" w:w="2268"/>
            <w:vAlign w:val="center"/>
          </w:tcPr>
          <w:p>
            <w:pPr>
              <w:jc w:val="right"/>
            </w:pPr>
            <w:r/>
            <w:r>
              <w:rPr>
                <w:rFonts w:ascii="Calibri" w:hAnsi="Calibri"/>
                <w:color w:val="1A1A1A"/>
                <w:sz w:val="20"/>
              </w:rPr>
              <w:t>30 min · 6 rides/day</w:t>
            </w:r>
          </w:p>
        </w:tc>
        <w:tc>
          <w:tcPr>
            <w:tcW w:type="dxa" w:w="1701"/>
            <w:vAlign w:val="center"/>
          </w:tcPr>
          <w:p>
            <w:pPr>
              <w:jc w:val="right"/>
            </w:pPr>
            <w:r/>
            <w:r>
              <w:rPr>
                <w:rFonts w:ascii="Calibri" w:hAnsi="Calibri"/>
                <w:color w:val="1A1A1A"/>
                <w:sz w:val="20"/>
              </w:rPr>
              <w:t>Unchanged</w:t>
            </w:r>
          </w:p>
        </w:tc>
      </w:tr>
      <w:tr>
        <w:tc>
          <w:tcPr>
            <w:tcW w:type="dxa" w:w="2835"/>
            <w:vAlign w:val="center"/>
          </w:tcPr>
          <w:p>
            <w:pPr>
              <w:jc w:val="left"/>
            </w:pPr>
            <w:r/>
            <w:r>
              <w:rPr>
                <w:rFonts w:ascii="Calibri" w:hAnsi="Calibri"/>
                <w:color w:val="1A1A1A"/>
                <w:sz w:val="20"/>
              </w:rPr>
              <w:t>Night cycle</w:t>
            </w:r>
          </w:p>
        </w:tc>
        <w:tc>
          <w:tcPr>
            <w:tcW w:type="dxa" w:w="2268"/>
            <w:vAlign w:val="center"/>
          </w:tcPr>
          <w:p>
            <w:pPr>
              <w:jc w:val="right"/>
            </w:pPr>
            <w:r/>
            <w:r>
              <w:rPr>
                <w:rFonts w:ascii="Calibri" w:hAnsi="Calibri"/>
                <w:color w:val="1A1A1A"/>
                <w:sz w:val="20"/>
              </w:rPr>
              <w:t>41 min · 8 rides/night</w:t>
            </w:r>
          </w:p>
        </w:tc>
        <w:tc>
          <w:tcPr>
            <w:tcW w:type="dxa" w:w="2268"/>
            <w:vAlign w:val="center"/>
          </w:tcPr>
          <w:p>
            <w:pPr>
              <w:jc w:val="right"/>
            </w:pPr>
            <w:r/>
            <w:r>
              <w:rPr>
                <w:rFonts w:ascii="Calibri" w:hAnsi="Calibri"/>
                <w:color w:val="1A1A1A"/>
                <w:sz w:val="20"/>
              </w:rPr>
              <w:t>20 min · 16 batches/night</w:t>
            </w:r>
          </w:p>
        </w:tc>
        <w:tc>
          <w:tcPr>
            <w:tcW w:type="dxa" w:w="1701"/>
            <w:vAlign w:val="center"/>
          </w:tcPr>
          <w:p>
            <w:pPr>
              <w:jc w:val="right"/>
            </w:pPr>
            <w:r/>
            <w:r>
              <w:rPr>
                <w:rFonts w:ascii="Calibri" w:hAnsi="Calibri"/>
                <w:color w:val="1A1A1A"/>
                <w:sz w:val="20"/>
              </w:rPr>
              <w:t>+ 8 batches/night</w:t>
            </w:r>
          </w:p>
        </w:tc>
      </w:tr>
      <w:tr>
        <w:tc>
          <w:tcPr>
            <w:tcW w:type="dxa" w:w="2835"/>
            <w:vAlign w:val="center"/>
          </w:tcPr>
          <w:p>
            <w:pPr>
              <w:jc w:val="left"/>
            </w:pPr>
            <w:r/>
            <w:r>
              <w:rPr>
                <w:rFonts w:ascii="Calibri" w:hAnsi="Calibri"/>
                <w:color w:val="1A1A1A"/>
                <w:sz w:val="20"/>
              </w:rPr>
              <w:t>Day blended ARPU</w:t>
            </w:r>
          </w:p>
        </w:tc>
        <w:tc>
          <w:tcPr>
            <w:tcW w:type="dxa" w:w="2268"/>
            <w:vAlign w:val="center"/>
          </w:tcPr>
          <w:p>
            <w:pPr>
              <w:jc w:val="right"/>
            </w:pPr>
            <w:r/>
            <w:r>
              <w:rPr>
                <w:rFonts w:ascii="Calibri" w:hAnsi="Calibri"/>
                <w:color w:val="1A1A1A"/>
                <w:sz w:val="20"/>
              </w:rPr>
              <w:t>AED 170</w:t>
            </w:r>
          </w:p>
        </w:tc>
        <w:tc>
          <w:tcPr>
            <w:tcW w:type="dxa" w:w="2268"/>
            <w:vAlign w:val="center"/>
          </w:tcPr>
          <w:p>
            <w:pPr>
              <w:jc w:val="right"/>
            </w:pPr>
            <w:r/>
            <w:r>
              <w:rPr>
                <w:rFonts w:ascii="Calibri" w:hAnsi="Calibri"/>
                <w:color w:val="1A1A1A"/>
                <w:sz w:val="20"/>
              </w:rPr>
              <w:t>AED 170</w:t>
            </w:r>
          </w:p>
        </w:tc>
        <w:tc>
          <w:tcPr>
            <w:tcW w:type="dxa" w:w="1701"/>
            <w:vAlign w:val="center"/>
          </w:tcPr>
          <w:p>
            <w:pPr>
              <w:jc w:val="right"/>
            </w:pPr>
            <w:r/>
            <w:r>
              <w:rPr>
                <w:rFonts w:ascii="Calibri" w:hAnsi="Calibri"/>
                <w:color w:val="1A1A1A"/>
                <w:sz w:val="20"/>
              </w:rPr>
              <w:t>Unchanged</w:t>
            </w:r>
          </w:p>
        </w:tc>
      </w:tr>
      <w:tr>
        <w:tc>
          <w:tcPr>
            <w:tcW w:type="dxa" w:w="2835"/>
            <w:vAlign w:val="center"/>
          </w:tcPr>
          <w:p>
            <w:pPr>
              <w:jc w:val="left"/>
            </w:pPr>
            <w:r/>
            <w:r>
              <w:rPr>
                <w:rFonts w:ascii="Calibri" w:hAnsi="Calibri"/>
                <w:color w:val="1A1A1A"/>
                <w:sz w:val="20"/>
              </w:rPr>
              <w:t>Night blended ARPU</w:t>
            </w:r>
          </w:p>
        </w:tc>
        <w:tc>
          <w:tcPr>
            <w:tcW w:type="dxa" w:w="2268"/>
            <w:vAlign w:val="center"/>
          </w:tcPr>
          <w:p>
            <w:pPr>
              <w:jc w:val="right"/>
            </w:pPr>
            <w:r/>
            <w:r>
              <w:rPr>
                <w:rFonts w:ascii="Calibri" w:hAnsi="Calibri"/>
                <w:color w:val="1A1A1A"/>
                <w:sz w:val="20"/>
              </w:rPr>
              <w:t>AED 361</w:t>
            </w:r>
          </w:p>
        </w:tc>
        <w:tc>
          <w:tcPr>
            <w:tcW w:type="dxa" w:w="2268"/>
            <w:vAlign w:val="center"/>
          </w:tcPr>
          <w:p>
            <w:pPr>
              <w:jc w:val="right"/>
            </w:pPr>
            <w:r/>
            <w:r>
              <w:rPr>
                <w:rFonts w:ascii="Calibri" w:hAnsi="Calibri"/>
                <w:color w:val="1A1A1A"/>
                <w:sz w:val="20"/>
              </w:rPr>
              <w:t>AED 361</w:t>
            </w:r>
          </w:p>
        </w:tc>
        <w:tc>
          <w:tcPr>
            <w:tcW w:type="dxa" w:w="1701"/>
            <w:vAlign w:val="center"/>
          </w:tcPr>
          <w:p>
            <w:pPr>
              <w:jc w:val="right"/>
            </w:pPr>
            <w:r/>
            <w:r>
              <w:rPr>
                <w:rFonts w:ascii="Calibri" w:hAnsi="Calibri"/>
                <w:color w:val="1A1A1A"/>
                <w:sz w:val="20"/>
              </w:rPr>
              <w:t>Unchanged</w:t>
            </w:r>
          </w:p>
        </w:tc>
      </w:tr>
      <w:tr>
        <w:tc>
          <w:tcPr>
            <w:tcW w:type="dxa" w:w="2835"/>
            <w:vAlign w:val="center"/>
          </w:tcPr>
          <w:p>
            <w:pPr>
              <w:jc w:val="left"/>
            </w:pPr>
            <w:r/>
            <w:r>
              <w:rPr>
                <w:rFonts w:ascii="Calibri" w:hAnsi="Calibri"/>
                <w:color w:val="1A1A1A"/>
                <w:sz w:val="20"/>
              </w:rPr>
              <w:t>Base case load factor</w:t>
            </w:r>
          </w:p>
        </w:tc>
        <w:tc>
          <w:tcPr>
            <w:tcW w:type="dxa" w:w="2268"/>
            <w:vAlign w:val="center"/>
          </w:tcPr>
          <w:p>
            <w:pPr>
              <w:jc w:val="right"/>
            </w:pPr>
            <w:r/>
            <w:r>
              <w:rPr>
                <w:rFonts w:ascii="Calibri" w:hAnsi="Calibri"/>
                <w:color w:val="1A1A1A"/>
                <w:sz w:val="20"/>
              </w:rPr>
              <w:t>70 %</w:t>
            </w:r>
          </w:p>
        </w:tc>
        <w:tc>
          <w:tcPr>
            <w:tcW w:type="dxa" w:w="2268"/>
            <w:vAlign w:val="center"/>
          </w:tcPr>
          <w:p>
            <w:pPr>
              <w:jc w:val="right"/>
            </w:pPr>
            <w:r/>
            <w:r>
              <w:rPr>
                <w:rFonts w:ascii="Calibri" w:hAnsi="Calibri"/>
                <w:color w:val="1A1A1A"/>
                <w:sz w:val="20"/>
              </w:rPr>
              <w:t>58 %</w:t>
            </w:r>
          </w:p>
        </w:tc>
        <w:tc>
          <w:tcPr>
            <w:tcW w:type="dxa" w:w="1701"/>
            <w:vAlign w:val="center"/>
          </w:tcPr>
          <w:p>
            <w:pPr>
              <w:jc w:val="right"/>
            </w:pPr>
            <w:r/>
            <w:r>
              <w:rPr>
                <w:rFonts w:ascii="Calibri" w:hAnsi="Calibri"/>
                <w:color w:val="1A1A1A"/>
                <w:sz w:val="20"/>
              </w:rPr>
              <w:t>– 12 pts</w:t>
            </w:r>
          </w:p>
        </w:tc>
      </w:tr>
      <w:tr>
        <w:tc>
          <w:tcPr>
            <w:tcW w:type="dxa" w:w="9072"/>
            <w:gridSpan w:val="4"/>
            <w:shd w:val="clear" w:color="auto" w:fill="EFE2C2"/>
          </w:tcPr>
          <w:p>
            <w:r/>
            <w:r>
              <w:rPr>
                <w:rFonts w:ascii="Calibri" w:hAnsi="Calibri"/>
                <w:b/>
                <w:color w:val="1A1A1A"/>
                <w:sz w:val="20"/>
              </w:rPr>
              <w:t>Capacity outputs</w:t>
            </w:r>
          </w:p>
        </w:tc>
      </w:tr>
      <w:tr>
        <w:tc>
          <w:tcPr>
            <w:tcW w:type="dxa" w:w="2835"/>
            <w:vAlign w:val="center"/>
          </w:tcPr>
          <w:p>
            <w:pPr>
              <w:jc w:val="left"/>
            </w:pPr>
            <w:r/>
            <w:r>
              <w:rPr>
                <w:rFonts w:ascii="Calibri" w:hAnsi="Calibri"/>
                <w:color w:val="1A1A1A"/>
                <w:sz w:val="20"/>
              </w:rPr>
              <w:t>Day seat capacity</w:t>
            </w:r>
          </w:p>
        </w:tc>
        <w:tc>
          <w:tcPr>
            <w:tcW w:type="dxa" w:w="2268"/>
            <w:vAlign w:val="center"/>
          </w:tcPr>
          <w:p>
            <w:pPr>
              <w:jc w:val="right"/>
            </w:pPr>
            <w:r/>
            <w:r>
              <w:rPr>
                <w:rFonts w:ascii="Calibri" w:hAnsi="Calibri"/>
                <w:color w:val="1A1A1A"/>
                <w:sz w:val="20"/>
              </w:rPr>
              <w:t>180 / day</w:t>
            </w:r>
          </w:p>
        </w:tc>
        <w:tc>
          <w:tcPr>
            <w:tcW w:type="dxa" w:w="2268"/>
            <w:vAlign w:val="center"/>
          </w:tcPr>
          <w:p>
            <w:pPr>
              <w:jc w:val="right"/>
            </w:pPr>
            <w:r/>
            <w:r>
              <w:rPr>
                <w:rFonts w:ascii="Calibri" w:hAnsi="Calibri"/>
                <w:color w:val="1A1A1A"/>
                <w:sz w:val="20"/>
              </w:rPr>
              <w:t>150 / day</w:t>
            </w:r>
          </w:p>
        </w:tc>
        <w:tc>
          <w:tcPr>
            <w:tcW w:type="dxa" w:w="1701"/>
            <w:vAlign w:val="center"/>
          </w:tcPr>
          <w:p>
            <w:pPr>
              <w:jc w:val="right"/>
            </w:pPr>
            <w:r/>
            <w:r>
              <w:rPr>
                <w:rFonts w:ascii="Calibri" w:hAnsi="Calibri"/>
                <w:color w:val="1A1A1A"/>
                <w:sz w:val="20"/>
              </w:rPr>
              <w:t>– 16.7 %</w:t>
            </w:r>
          </w:p>
        </w:tc>
      </w:tr>
      <w:tr>
        <w:tc>
          <w:tcPr>
            <w:tcW w:type="dxa" w:w="2835"/>
            <w:vAlign w:val="center"/>
          </w:tcPr>
          <w:p>
            <w:pPr>
              <w:jc w:val="left"/>
            </w:pPr>
            <w:r/>
            <w:r>
              <w:rPr>
                <w:rFonts w:ascii="Calibri" w:hAnsi="Calibri"/>
                <w:color w:val="1A1A1A"/>
                <w:sz w:val="20"/>
              </w:rPr>
              <w:t>Night seat capacity</w:t>
            </w:r>
          </w:p>
        </w:tc>
        <w:tc>
          <w:tcPr>
            <w:tcW w:type="dxa" w:w="2268"/>
            <w:vAlign w:val="center"/>
          </w:tcPr>
          <w:p>
            <w:pPr>
              <w:jc w:val="right"/>
            </w:pPr>
            <w:r/>
            <w:r>
              <w:rPr>
                <w:rFonts w:ascii="Calibri" w:hAnsi="Calibri"/>
                <w:color w:val="1A1A1A"/>
                <w:sz w:val="20"/>
              </w:rPr>
              <w:t>240 / night</w:t>
            </w:r>
          </w:p>
        </w:tc>
        <w:tc>
          <w:tcPr>
            <w:tcW w:type="dxa" w:w="2268"/>
            <w:vAlign w:val="center"/>
          </w:tcPr>
          <w:p>
            <w:pPr>
              <w:jc w:val="right"/>
            </w:pPr>
            <w:r/>
            <w:r>
              <w:rPr>
                <w:rFonts w:ascii="Calibri" w:hAnsi="Calibri"/>
                <w:color w:val="1A1A1A"/>
                <w:sz w:val="20"/>
              </w:rPr>
              <w:t>400 / night</w:t>
            </w:r>
          </w:p>
        </w:tc>
        <w:tc>
          <w:tcPr>
            <w:tcW w:type="dxa" w:w="1701"/>
            <w:vAlign w:val="center"/>
          </w:tcPr>
          <w:p>
            <w:pPr>
              <w:jc w:val="right"/>
            </w:pPr>
            <w:r/>
            <w:r>
              <w:rPr>
                <w:rFonts w:ascii="Calibri" w:hAnsi="Calibri"/>
                <w:color w:val="1A1A1A"/>
                <w:sz w:val="20"/>
              </w:rPr>
              <w:t>+ 66.7 %</w:t>
            </w:r>
          </w:p>
        </w:tc>
      </w:tr>
      <w:tr>
        <w:tc>
          <w:tcPr>
            <w:tcW w:type="dxa" w:w="9072"/>
            <w:gridSpan w:val="4"/>
            <w:shd w:val="clear" w:color="auto" w:fill="EFE2C2"/>
          </w:tcPr>
          <w:p>
            <w:r/>
            <w:r>
              <w:rPr>
                <w:rFonts w:ascii="Calibri" w:hAnsi="Calibri"/>
                <w:b/>
                <w:color w:val="1A1A1A"/>
                <w:sz w:val="20"/>
              </w:rPr>
              <w:t>Financial outputs (Base Case)</w:t>
            </w:r>
          </w:p>
        </w:tc>
      </w:tr>
      <w:tr>
        <w:tc>
          <w:tcPr>
            <w:tcW w:type="dxa" w:w="2835"/>
            <w:vAlign w:val="center"/>
          </w:tcPr>
          <w:p>
            <w:pPr>
              <w:jc w:val="left"/>
            </w:pPr>
            <w:r/>
            <w:r>
              <w:rPr>
                <w:rFonts w:ascii="Calibri" w:hAnsi="Calibri"/>
                <w:color w:val="1A1A1A"/>
                <w:sz w:val="20"/>
              </w:rPr>
              <w:t>CAPEX (single-spec aluminum)</w:t>
            </w:r>
          </w:p>
        </w:tc>
        <w:tc>
          <w:tcPr>
            <w:tcW w:type="dxa" w:w="2268"/>
            <w:vAlign w:val="center"/>
          </w:tcPr>
          <w:p>
            <w:pPr>
              <w:jc w:val="right"/>
            </w:pPr>
            <w:r/>
            <w:r>
              <w:rPr>
                <w:rFonts w:ascii="Calibri" w:hAnsi="Calibri"/>
                <w:color w:val="1A1A1A"/>
                <w:sz w:val="20"/>
              </w:rPr>
              <w:t>AED 25.9 M</w:t>
            </w:r>
          </w:p>
        </w:tc>
        <w:tc>
          <w:tcPr>
            <w:tcW w:type="dxa" w:w="2268"/>
            <w:vAlign w:val="center"/>
          </w:tcPr>
          <w:p>
            <w:pPr>
              <w:jc w:val="right"/>
            </w:pPr>
            <w:r/>
            <w:r>
              <w:rPr>
                <w:rFonts w:ascii="Calibri" w:hAnsi="Calibri"/>
                <w:color w:val="1A1A1A"/>
                <w:sz w:val="20"/>
              </w:rPr>
              <w:t>AED 25.9 M</w:t>
            </w:r>
          </w:p>
        </w:tc>
        <w:tc>
          <w:tcPr>
            <w:tcW w:type="dxa" w:w="1701"/>
            <w:vAlign w:val="center"/>
          </w:tcPr>
          <w:p>
            <w:pPr>
              <w:jc w:val="right"/>
            </w:pPr>
            <w:r/>
            <w:r>
              <w:rPr>
                <w:rFonts w:ascii="Calibri" w:hAnsi="Calibri"/>
                <w:color w:val="1A1A1A"/>
                <w:sz w:val="20"/>
              </w:rPr>
              <w:t>Unchanged</w:t>
            </w:r>
          </w:p>
        </w:tc>
      </w:tr>
      <w:tr>
        <w:tc>
          <w:tcPr>
            <w:tcW w:type="dxa" w:w="2835"/>
            <w:vAlign w:val="center"/>
          </w:tcPr>
          <w:p>
            <w:pPr>
              <w:jc w:val="left"/>
            </w:pPr>
            <w:r/>
            <w:r>
              <w:rPr>
                <w:rFonts w:ascii="Calibri" w:hAnsi="Calibri"/>
                <w:color w:val="1A1A1A"/>
                <w:sz w:val="20"/>
              </w:rPr>
              <w:t>Annual revenue</w:t>
            </w:r>
          </w:p>
        </w:tc>
        <w:tc>
          <w:tcPr>
            <w:tcW w:type="dxa" w:w="2268"/>
            <w:vAlign w:val="center"/>
          </w:tcPr>
          <w:p>
            <w:pPr>
              <w:jc w:val="right"/>
            </w:pPr>
            <w:r/>
            <w:r>
              <w:rPr>
                <w:rFonts w:ascii="Calibri" w:hAnsi="Calibri"/>
                <w:color w:val="1A1A1A"/>
                <w:sz w:val="20"/>
              </w:rPr>
              <w:t>AED 24.7 M</w:t>
            </w:r>
          </w:p>
        </w:tc>
        <w:tc>
          <w:tcPr>
            <w:tcW w:type="dxa" w:w="2268"/>
            <w:vAlign w:val="center"/>
          </w:tcPr>
          <w:p>
            <w:pPr>
              <w:jc w:val="right"/>
            </w:pPr>
            <w:r/>
            <w:r>
              <w:rPr>
                <w:rFonts w:ascii="Calibri" w:hAnsi="Calibri"/>
                <w:color w:val="1A1A1A"/>
                <w:sz w:val="20"/>
              </w:rPr>
              <w:t>AED 22.2 M</w:t>
            </w:r>
          </w:p>
        </w:tc>
        <w:tc>
          <w:tcPr>
            <w:tcW w:type="dxa" w:w="1701"/>
            <w:vAlign w:val="center"/>
          </w:tcPr>
          <w:p>
            <w:pPr>
              <w:jc w:val="right"/>
            </w:pPr>
            <w:r/>
            <w:r>
              <w:rPr>
                <w:rFonts w:ascii="Calibri" w:hAnsi="Calibri"/>
                <w:color w:val="1A1A1A"/>
                <w:sz w:val="20"/>
              </w:rPr>
              <w:t>– AED 2.5 M</w:t>
            </w:r>
          </w:p>
        </w:tc>
      </w:tr>
      <w:tr>
        <w:tc>
          <w:tcPr>
            <w:tcW w:type="dxa" w:w="2835"/>
            <w:vAlign w:val="center"/>
          </w:tcPr>
          <w:p>
            <w:pPr>
              <w:jc w:val="left"/>
            </w:pPr>
            <w:r/>
            <w:r>
              <w:rPr>
                <w:rFonts w:ascii="Calibri" w:hAnsi="Calibri"/>
                <w:color w:val="1A1A1A"/>
                <w:sz w:val="20"/>
              </w:rPr>
              <w:t>EBITDA</w:t>
            </w:r>
          </w:p>
        </w:tc>
        <w:tc>
          <w:tcPr>
            <w:tcW w:type="dxa" w:w="2268"/>
            <w:vAlign w:val="center"/>
          </w:tcPr>
          <w:p>
            <w:pPr>
              <w:jc w:val="right"/>
            </w:pPr>
            <w:r/>
            <w:r>
              <w:rPr>
                <w:rFonts w:ascii="Calibri" w:hAnsi="Calibri"/>
                <w:color w:val="1A1A1A"/>
                <w:sz w:val="20"/>
              </w:rPr>
              <w:t>AED 14.9 M</w:t>
            </w:r>
          </w:p>
        </w:tc>
        <w:tc>
          <w:tcPr>
            <w:tcW w:type="dxa" w:w="2268"/>
            <w:vAlign w:val="center"/>
          </w:tcPr>
          <w:p>
            <w:pPr>
              <w:jc w:val="right"/>
            </w:pPr>
            <w:r/>
            <w:r>
              <w:rPr>
                <w:rFonts w:ascii="Calibri" w:hAnsi="Calibri"/>
                <w:color w:val="1A1A1A"/>
                <w:sz w:val="20"/>
              </w:rPr>
              <w:t>AED 12.4 M</w:t>
            </w:r>
          </w:p>
        </w:tc>
        <w:tc>
          <w:tcPr>
            <w:tcW w:type="dxa" w:w="1701"/>
            <w:vAlign w:val="center"/>
          </w:tcPr>
          <w:p>
            <w:pPr>
              <w:jc w:val="right"/>
            </w:pPr>
            <w:r/>
            <w:r>
              <w:rPr>
                <w:rFonts w:ascii="Calibri" w:hAnsi="Calibri"/>
                <w:color w:val="1A1A1A"/>
                <w:sz w:val="20"/>
              </w:rPr>
              <w:t>– AED 2.5 M</w:t>
            </w:r>
          </w:p>
        </w:tc>
      </w:tr>
      <w:tr>
        <w:tc>
          <w:tcPr>
            <w:tcW w:type="dxa" w:w="2835"/>
            <w:vAlign w:val="center"/>
          </w:tcPr>
          <w:p>
            <w:pPr>
              <w:jc w:val="left"/>
            </w:pPr>
            <w:r/>
            <w:r>
              <w:rPr>
                <w:rFonts w:ascii="Calibri" w:hAnsi="Calibri"/>
                <w:color w:val="1A1A1A"/>
                <w:sz w:val="20"/>
              </w:rPr>
              <w:t>EBITDA margin</w:t>
            </w:r>
          </w:p>
        </w:tc>
        <w:tc>
          <w:tcPr>
            <w:tcW w:type="dxa" w:w="2268"/>
            <w:vAlign w:val="center"/>
          </w:tcPr>
          <w:p>
            <w:pPr>
              <w:jc w:val="right"/>
            </w:pPr>
            <w:r/>
            <w:r>
              <w:rPr>
                <w:rFonts w:ascii="Calibri" w:hAnsi="Calibri"/>
                <w:color w:val="1A1A1A"/>
                <w:sz w:val="20"/>
              </w:rPr>
              <w:t>60 %</w:t>
            </w:r>
          </w:p>
        </w:tc>
        <w:tc>
          <w:tcPr>
            <w:tcW w:type="dxa" w:w="2268"/>
            <w:vAlign w:val="center"/>
          </w:tcPr>
          <w:p>
            <w:pPr>
              <w:jc w:val="right"/>
            </w:pPr>
            <w:r/>
            <w:r>
              <w:rPr>
                <w:rFonts w:ascii="Calibri" w:hAnsi="Calibri"/>
                <w:color w:val="1A1A1A"/>
                <w:sz w:val="20"/>
              </w:rPr>
              <w:t>56 %</w:t>
            </w:r>
          </w:p>
        </w:tc>
        <w:tc>
          <w:tcPr>
            <w:tcW w:type="dxa" w:w="1701"/>
            <w:vAlign w:val="center"/>
          </w:tcPr>
          <w:p>
            <w:pPr>
              <w:jc w:val="right"/>
            </w:pPr>
            <w:r/>
            <w:r>
              <w:rPr>
                <w:rFonts w:ascii="Calibri" w:hAnsi="Calibri"/>
                <w:color w:val="1A1A1A"/>
                <w:sz w:val="20"/>
              </w:rPr>
              <w:t>– 4 pts</w:t>
            </w:r>
          </w:p>
        </w:tc>
      </w:tr>
      <w:tr>
        <w:tc>
          <w:tcPr>
            <w:tcW w:type="dxa" w:w="2835"/>
            <w:vAlign w:val="center"/>
          </w:tcPr>
          <w:p>
            <w:pPr>
              <w:jc w:val="left"/>
            </w:pPr>
            <w:r/>
            <w:r>
              <w:rPr>
                <w:rFonts w:ascii="Calibri" w:hAnsi="Calibri"/>
                <w:color w:val="1A1A1A"/>
                <w:sz w:val="20"/>
              </w:rPr>
              <w:t>Simple payback</w:t>
            </w:r>
          </w:p>
        </w:tc>
        <w:tc>
          <w:tcPr>
            <w:tcW w:type="dxa" w:w="2268"/>
            <w:vAlign w:val="center"/>
          </w:tcPr>
          <w:p>
            <w:pPr>
              <w:jc w:val="right"/>
            </w:pPr>
            <w:r/>
            <w:r>
              <w:rPr>
                <w:rFonts w:ascii="Calibri" w:hAnsi="Calibri"/>
                <w:color w:val="1A1A1A"/>
                <w:sz w:val="20"/>
              </w:rPr>
              <w:t>~1.6 yrs</w:t>
            </w:r>
          </w:p>
        </w:tc>
        <w:tc>
          <w:tcPr>
            <w:tcW w:type="dxa" w:w="2268"/>
            <w:vAlign w:val="center"/>
          </w:tcPr>
          <w:p>
            <w:pPr>
              <w:jc w:val="right"/>
            </w:pPr>
            <w:r/>
            <w:r>
              <w:rPr>
                <w:rFonts w:ascii="Calibri" w:hAnsi="Calibri"/>
                <w:color w:val="1A1A1A"/>
                <w:sz w:val="20"/>
              </w:rPr>
              <w:t>~2.1 yrs</w:t>
            </w:r>
          </w:p>
        </w:tc>
        <w:tc>
          <w:tcPr>
            <w:tcW w:type="dxa" w:w="1701"/>
            <w:vAlign w:val="center"/>
          </w:tcPr>
          <w:p>
            <w:pPr>
              <w:jc w:val="right"/>
            </w:pPr>
            <w:r/>
            <w:r>
              <w:rPr>
                <w:rFonts w:ascii="Calibri" w:hAnsi="Calibri"/>
                <w:color w:val="1A1A1A"/>
                <w:sz w:val="20"/>
              </w:rPr>
              <w:t>+ 0.5 yrs</w:t>
            </w:r>
          </w:p>
        </w:tc>
      </w:tr>
      <w:tr>
        <w:tc>
          <w:tcPr>
            <w:tcW w:type="dxa" w:w="2835"/>
            <w:vAlign w:val="center"/>
          </w:tcPr>
          <w:p>
            <w:pPr>
              <w:jc w:val="left"/>
            </w:pPr>
            <w:r/>
            <w:r>
              <w:rPr>
                <w:rFonts w:ascii="Calibri" w:hAnsi="Calibri"/>
                <w:color w:val="1A1A1A"/>
                <w:sz w:val="20"/>
              </w:rPr>
              <w:t>10-year IRR</w:t>
            </w:r>
          </w:p>
        </w:tc>
        <w:tc>
          <w:tcPr>
            <w:tcW w:type="dxa" w:w="2268"/>
            <w:vAlign w:val="center"/>
          </w:tcPr>
          <w:p>
            <w:pPr>
              <w:jc w:val="right"/>
            </w:pPr>
            <w:r/>
            <w:r>
              <w:rPr>
                <w:rFonts w:ascii="Calibri" w:hAnsi="Calibri"/>
                <w:color w:val="1A1A1A"/>
                <w:sz w:val="20"/>
              </w:rPr>
              <w:t>~58 %</w:t>
            </w:r>
          </w:p>
        </w:tc>
        <w:tc>
          <w:tcPr>
            <w:tcW w:type="dxa" w:w="2268"/>
            <w:vAlign w:val="center"/>
          </w:tcPr>
          <w:p>
            <w:pPr>
              <w:jc w:val="right"/>
            </w:pPr>
            <w:r/>
            <w:r>
              <w:rPr>
                <w:rFonts w:ascii="Calibri" w:hAnsi="Calibri"/>
                <w:color w:val="1A1A1A"/>
                <w:sz w:val="20"/>
              </w:rPr>
              <w:t>~35.0 %</w:t>
            </w:r>
          </w:p>
        </w:tc>
        <w:tc>
          <w:tcPr>
            <w:tcW w:type="dxa" w:w="1701"/>
            <w:vAlign w:val="center"/>
          </w:tcPr>
          <w:p>
            <w:pPr>
              <w:jc w:val="right"/>
            </w:pPr>
            <w:r/>
            <w:r>
              <w:rPr>
                <w:rFonts w:ascii="Calibri" w:hAnsi="Calibri"/>
                <w:color w:val="1A1A1A"/>
                <w:sz w:val="20"/>
              </w:rPr>
              <w:t>– 23 pts</w:t>
            </w:r>
          </w:p>
        </w:tc>
      </w:tr>
      <w:tr>
        <w:tc>
          <w:tcPr>
            <w:tcW w:type="dxa" w:w="2835"/>
            <w:vAlign w:val="center"/>
          </w:tcPr>
          <w:p>
            <w:pPr>
              <w:jc w:val="left"/>
            </w:pPr>
            <w:r/>
            <w:r>
              <w:rPr>
                <w:rFonts w:ascii="Calibri" w:hAnsi="Calibri"/>
                <w:color w:val="1A1A1A"/>
                <w:sz w:val="20"/>
              </w:rPr>
              <w:t>10-year NPV at 8 %</w:t>
            </w:r>
          </w:p>
        </w:tc>
        <w:tc>
          <w:tcPr>
            <w:tcW w:type="dxa" w:w="2268"/>
            <w:vAlign w:val="center"/>
          </w:tcPr>
          <w:p>
            <w:pPr>
              <w:jc w:val="right"/>
            </w:pPr>
            <w:r/>
            <w:r>
              <w:rPr>
                <w:rFonts w:ascii="Calibri" w:hAnsi="Calibri"/>
                <w:color w:val="1A1A1A"/>
                <w:sz w:val="20"/>
              </w:rPr>
              <w:t>AED 85 M</w:t>
            </w:r>
          </w:p>
        </w:tc>
        <w:tc>
          <w:tcPr>
            <w:tcW w:type="dxa" w:w="2268"/>
            <w:vAlign w:val="center"/>
          </w:tcPr>
          <w:p>
            <w:pPr>
              <w:jc w:val="right"/>
            </w:pPr>
            <w:r/>
            <w:r>
              <w:rPr>
                <w:rFonts w:ascii="Calibri" w:hAnsi="Calibri"/>
                <w:color w:val="1A1A1A"/>
                <w:sz w:val="20"/>
              </w:rPr>
              <w:t>AED 51.4 M</w:t>
            </w:r>
          </w:p>
        </w:tc>
        <w:tc>
          <w:tcPr>
            <w:tcW w:type="dxa" w:w="1701"/>
            <w:vAlign w:val="center"/>
          </w:tcPr>
          <w:p>
            <w:pPr>
              <w:jc w:val="right"/>
            </w:pPr>
            <w:r/>
            <w:r>
              <w:rPr>
                <w:rFonts w:ascii="Calibri" w:hAnsi="Calibri"/>
                <w:color w:val="1A1A1A"/>
                <w:sz w:val="20"/>
              </w:rPr>
              <w:t>– AED 33.6 M</w:t>
            </w:r>
          </w:p>
        </w:tc>
      </w:tr>
      <w:tr>
        <w:tc>
          <w:tcPr>
            <w:tcW w:type="dxa" w:w="2835"/>
            <w:vAlign w:val="center"/>
          </w:tcPr>
          <w:p>
            <w:pPr>
              <w:jc w:val="left"/>
            </w:pPr>
            <w:r/>
            <w:r>
              <w:rPr>
                <w:rFonts w:ascii="Calibri" w:hAnsi="Calibri"/>
                <w:color w:val="1A1A1A"/>
                <w:sz w:val="20"/>
              </w:rPr>
              <w:t>10-year MOIC</w:t>
            </w:r>
          </w:p>
        </w:tc>
        <w:tc>
          <w:tcPr>
            <w:tcW w:type="dxa" w:w="2268"/>
            <w:vAlign w:val="center"/>
          </w:tcPr>
          <w:p>
            <w:pPr>
              <w:jc w:val="right"/>
            </w:pPr>
            <w:r/>
            <w:r>
              <w:rPr>
                <w:rFonts w:ascii="Calibri" w:hAnsi="Calibri"/>
                <w:color w:val="1A1A1A"/>
                <w:sz w:val="20"/>
              </w:rPr>
              <w:t>~5.5×</w:t>
            </w:r>
          </w:p>
        </w:tc>
        <w:tc>
          <w:tcPr>
            <w:tcW w:type="dxa" w:w="2268"/>
            <w:vAlign w:val="center"/>
          </w:tcPr>
          <w:p>
            <w:pPr>
              <w:jc w:val="right"/>
            </w:pPr>
            <w:r/>
            <w:r>
              <w:rPr>
                <w:rFonts w:ascii="Calibri" w:hAnsi="Calibri"/>
                <w:color w:val="1A1A1A"/>
                <w:sz w:val="20"/>
              </w:rPr>
              <w:t>~4.7×</w:t>
            </w:r>
          </w:p>
        </w:tc>
        <w:tc>
          <w:tcPr>
            <w:tcW w:type="dxa" w:w="1701"/>
            <w:vAlign w:val="center"/>
          </w:tcPr>
          <w:p>
            <w:pPr>
              <w:jc w:val="right"/>
            </w:pPr>
            <w:r/>
            <w:r>
              <w:rPr>
                <w:rFonts w:ascii="Calibri" w:hAnsi="Calibri"/>
                <w:color w:val="1A1A1A"/>
                <w:sz w:val="20"/>
              </w:rPr>
              <w:t>– 0.8×</w:t>
            </w:r>
          </w:p>
        </w:tc>
      </w:tr>
    </w:tbl>
    <w:p>
      <w:pPr>
        <w:spacing w:after="80"/>
      </w:pPr>
      <w:r>
        <w:rPr>
          <w:rFonts w:ascii="Calibri" w:hAnsi="Calibri"/>
          <w:b w:val="0"/>
          <w:i w:val="0"/>
          <w:color w:val="1A1A1A"/>
          <w:sz w:val="22"/>
        </w:rPr>
      </w:r>
    </w:p>
    <w:p>
      <w:pPr>
        <w:spacing w:after="80"/>
      </w:pPr>
      <w:r>
        <w:rPr>
          <w:rFonts w:ascii="Calibri" w:hAnsi="Calibri"/>
          <w:b w:val="0"/>
          <w:i/>
          <w:color w:val="555555"/>
          <w:sz w:val="20"/>
        </w:rPr>
        <w:t>Read in one line: the revised model trades a meaningful share of the baseline upside for a more conservative operating envelope. The night cycle doing 16 batches at 25 guests is the load-bearing change — without it, the 250-day operating year and the 25-guest cap would have pushed returns well below the figures shown.</w:t>
      </w:r>
    </w:p>
    <w:p>
      <w:pPr>
        <w:spacing w:before="360" w:after="160"/>
      </w:pPr>
      <w:r>
        <w:rPr>
          <w:rFonts w:ascii="Calibri" w:hAnsi="Calibri"/>
          <w:b/>
          <w:color w:val="1A1A1A"/>
          <w:sz w:val="40"/>
        </w:rPr>
        <w:t>3. Baseline reference — pitch-blueprint.md</w:t>
      </w:r>
    </w:p>
    <w:p>
      <w:pPr>
        <w:spacing w:after="80"/>
      </w:pPr>
      <w:r>
        <w:rPr>
          <w:rFonts w:ascii="Calibri" w:hAnsi="Calibri"/>
          <w:b w:val="0"/>
          <w:i w:val="0"/>
          <w:color w:val="1A1A1A"/>
          <w:sz w:val="22"/>
        </w:rPr>
        <w:t>The previous investor model documented in pitch-blueprint.md (Part 1, Part 7, Part 8) used the following operating assumptions and outputs. These are the figures the revision is measured against.</w:t>
      </w:r>
    </w:p>
    <w:p>
      <w:pPr>
        <w:spacing w:before="200" w:after="40"/>
      </w:pPr>
      <w:r>
        <w:rPr>
          <w:rFonts w:ascii="Calibri" w:hAnsi="Calibri"/>
          <w:b/>
          <w:color w:val="1A1A1A"/>
          <w:sz w:val="24"/>
        </w:rPr>
        <w:t>Operating assumptions (baseline)</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shd w:val="clear" w:color="auto" w:fill="F1E9D2"/>
            <w:vAlign w:val="center"/>
          </w:tcPr>
          <w:p>
            <w:r/>
            <w:r>
              <w:rPr>
                <w:rFonts w:ascii="Calibri" w:hAnsi="Calibri"/>
                <w:b/>
                <w:color w:val="1A1A1A"/>
                <w:sz w:val="20"/>
              </w:rPr>
              <w:t>Parameter</w:t>
            </w:r>
          </w:p>
        </w:tc>
        <w:tc>
          <w:tcPr>
            <w:tcW w:type="dxa" w:w="2551"/>
            <w:shd w:val="clear" w:color="auto" w:fill="F1E9D2"/>
            <w:vAlign w:val="center"/>
          </w:tcPr>
          <w:p>
            <w:r/>
            <w:r>
              <w:rPr>
                <w:rFonts w:ascii="Calibri" w:hAnsi="Calibri"/>
                <w:b/>
                <w:color w:val="1A1A1A"/>
                <w:sz w:val="20"/>
              </w:rPr>
              <w:t>Baseline value</w:t>
            </w:r>
          </w:p>
        </w:tc>
        <w:tc>
          <w:tcPr>
            <w:tcW w:type="dxa" w:w="3118"/>
            <w:shd w:val="clear" w:color="auto" w:fill="F1E9D2"/>
            <w:vAlign w:val="center"/>
          </w:tcPr>
          <w:p>
            <w:r/>
            <w:r>
              <w:rPr>
                <w:rFonts w:ascii="Calibri" w:hAnsi="Calibri"/>
                <w:b/>
                <w:color w:val="1A1A1A"/>
                <w:sz w:val="20"/>
              </w:rPr>
              <w:t>Source in blueprint</w:t>
            </w:r>
          </w:p>
        </w:tc>
      </w:tr>
      <w:tr>
        <w:tc>
          <w:tcPr>
            <w:tcW w:type="dxa" w:w="3402"/>
            <w:vAlign w:val="center"/>
          </w:tcPr>
          <w:p>
            <w:pPr>
              <w:jc w:val="left"/>
            </w:pPr>
            <w:r/>
            <w:r>
              <w:rPr>
                <w:rFonts w:ascii="Calibri" w:hAnsi="Calibri"/>
                <w:color w:val="1A1A1A"/>
                <w:sz w:val="20"/>
              </w:rPr>
              <w:t>Maximum balloon height</w:t>
            </w:r>
          </w:p>
        </w:tc>
        <w:tc>
          <w:tcPr>
            <w:tcW w:type="dxa" w:w="2551"/>
            <w:vAlign w:val="center"/>
          </w:tcPr>
          <w:p>
            <w:pPr>
              <w:jc w:val="right"/>
            </w:pPr>
            <w:r/>
            <w:r>
              <w:rPr>
                <w:rFonts w:ascii="Calibri" w:hAnsi="Calibri"/>
                <w:color w:val="1A1A1A"/>
                <w:sz w:val="20"/>
              </w:rPr>
              <w:t>300 m</w:t>
            </w:r>
          </w:p>
        </w:tc>
        <w:tc>
          <w:tcPr>
            <w:tcW w:type="dxa" w:w="3118"/>
            <w:vAlign w:val="center"/>
          </w:tcPr>
          <w:p>
            <w:pPr>
              <w:jc w:val="right"/>
            </w:pPr>
            <w:r/>
            <w:r>
              <w:rPr>
                <w:rFonts w:ascii="Calibri" w:hAnsi="Calibri"/>
                <w:color w:val="1A1A1A"/>
                <w:sz w:val="20"/>
              </w:rPr>
              <w:t>Part 1 · Appendix A</w:t>
            </w:r>
          </w:p>
        </w:tc>
      </w:tr>
      <w:tr>
        <w:tc>
          <w:tcPr>
            <w:tcW w:type="dxa" w:w="3402"/>
            <w:vAlign w:val="center"/>
          </w:tcPr>
          <w:p>
            <w:pPr>
              <w:jc w:val="left"/>
            </w:pPr>
            <w:r/>
            <w:r>
              <w:rPr>
                <w:rFonts w:ascii="Calibri" w:hAnsi="Calibri"/>
                <w:color w:val="1A1A1A"/>
                <w:sz w:val="20"/>
              </w:rPr>
              <w:t>Gondola commercial capacity</w:t>
            </w:r>
          </w:p>
        </w:tc>
        <w:tc>
          <w:tcPr>
            <w:tcW w:type="dxa" w:w="2551"/>
            <w:vAlign w:val="center"/>
          </w:tcPr>
          <w:p>
            <w:pPr>
              <w:jc w:val="right"/>
            </w:pPr>
            <w:r/>
            <w:r>
              <w:rPr>
                <w:rFonts w:ascii="Calibri" w:hAnsi="Calibri"/>
                <w:color w:val="1A1A1A"/>
                <w:sz w:val="20"/>
              </w:rPr>
              <w:t>30 guests</w:t>
            </w:r>
          </w:p>
        </w:tc>
        <w:tc>
          <w:tcPr>
            <w:tcW w:type="dxa" w:w="3118"/>
            <w:vAlign w:val="center"/>
          </w:tcPr>
          <w:p>
            <w:pPr>
              <w:jc w:val="right"/>
            </w:pPr>
            <w:r/>
            <w:r>
              <w:rPr>
                <w:rFonts w:ascii="Calibri" w:hAnsi="Calibri"/>
                <w:color w:val="1A1A1A"/>
                <w:sz w:val="20"/>
              </w:rPr>
              <w:t>Part 1 · Appendix A</w:t>
            </w:r>
          </w:p>
        </w:tc>
      </w:tr>
      <w:tr>
        <w:tc>
          <w:tcPr>
            <w:tcW w:type="dxa" w:w="3402"/>
            <w:vAlign w:val="center"/>
          </w:tcPr>
          <w:p>
            <w:pPr>
              <w:jc w:val="left"/>
            </w:pPr>
            <w:r/>
            <w:r>
              <w:rPr>
                <w:rFonts w:ascii="Calibri" w:hAnsi="Calibri"/>
                <w:color w:val="1A1A1A"/>
                <w:sz w:val="20"/>
              </w:rPr>
              <w:t>Operating days (day flights)</w:t>
            </w:r>
          </w:p>
        </w:tc>
        <w:tc>
          <w:tcPr>
            <w:tcW w:type="dxa" w:w="2551"/>
            <w:vAlign w:val="center"/>
          </w:tcPr>
          <w:p>
            <w:pPr>
              <w:jc w:val="right"/>
            </w:pPr>
            <w:r/>
            <w:r>
              <w:rPr>
                <w:rFonts w:ascii="Calibri" w:hAnsi="Calibri"/>
                <w:color w:val="1A1A1A"/>
                <w:sz w:val="20"/>
              </w:rPr>
              <w:t>300 / year</w:t>
            </w:r>
          </w:p>
        </w:tc>
        <w:tc>
          <w:tcPr>
            <w:tcW w:type="dxa" w:w="3118"/>
            <w:vAlign w:val="center"/>
          </w:tcPr>
          <w:p>
            <w:pPr>
              <w:jc w:val="right"/>
            </w:pPr>
            <w:r/>
            <w:r>
              <w:rPr>
                <w:rFonts w:ascii="Calibri" w:hAnsi="Calibri"/>
                <w:color w:val="1A1A1A"/>
                <w:sz w:val="20"/>
              </w:rPr>
              <w:t>Part 7</w:t>
            </w:r>
          </w:p>
        </w:tc>
      </w:tr>
      <w:tr>
        <w:tc>
          <w:tcPr>
            <w:tcW w:type="dxa" w:w="3402"/>
            <w:vAlign w:val="center"/>
          </w:tcPr>
          <w:p>
            <w:pPr>
              <w:jc w:val="left"/>
            </w:pPr>
            <w:r/>
            <w:r>
              <w:rPr>
                <w:rFonts w:ascii="Calibri" w:hAnsi="Calibri"/>
                <w:color w:val="1A1A1A"/>
                <w:sz w:val="20"/>
              </w:rPr>
              <w:t>Operating nights (LED show)</w:t>
            </w:r>
          </w:p>
        </w:tc>
        <w:tc>
          <w:tcPr>
            <w:tcW w:type="dxa" w:w="2551"/>
            <w:vAlign w:val="center"/>
          </w:tcPr>
          <w:p>
            <w:pPr>
              <w:jc w:val="right"/>
            </w:pPr>
            <w:r/>
            <w:r>
              <w:rPr>
                <w:rFonts w:ascii="Calibri" w:hAnsi="Calibri"/>
                <w:color w:val="1A1A1A"/>
                <w:sz w:val="20"/>
              </w:rPr>
              <w:t>300 / year</w:t>
            </w:r>
          </w:p>
        </w:tc>
        <w:tc>
          <w:tcPr>
            <w:tcW w:type="dxa" w:w="3118"/>
            <w:vAlign w:val="center"/>
          </w:tcPr>
          <w:p>
            <w:pPr>
              <w:jc w:val="right"/>
            </w:pPr>
            <w:r/>
            <w:r>
              <w:rPr>
                <w:rFonts w:ascii="Calibri" w:hAnsi="Calibri"/>
                <w:color w:val="1A1A1A"/>
                <w:sz w:val="20"/>
              </w:rPr>
              <w:t>Part 7</w:t>
            </w:r>
          </w:p>
        </w:tc>
      </w:tr>
      <w:tr>
        <w:tc>
          <w:tcPr>
            <w:tcW w:type="dxa" w:w="3402"/>
            <w:vAlign w:val="center"/>
          </w:tcPr>
          <w:p>
            <w:pPr>
              <w:jc w:val="left"/>
            </w:pPr>
            <w:r/>
            <w:r>
              <w:rPr>
                <w:rFonts w:ascii="Calibri" w:hAnsi="Calibri"/>
                <w:color w:val="1A1A1A"/>
                <w:sz w:val="20"/>
              </w:rPr>
              <w:t>Day flight cycle</w:t>
            </w:r>
          </w:p>
        </w:tc>
        <w:tc>
          <w:tcPr>
            <w:tcW w:type="dxa" w:w="2551"/>
            <w:vAlign w:val="center"/>
          </w:tcPr>
          <w:p>
            <w:pPr>
              <w:jc w:val="right"/>
            </w:pPr>
            <w:r/>
            <w:r>
              <w:rPr>
                <w:rFonts w:ascii="Calibri" w:hAnsi="Calibri"/>
                <w:color w:val="1A1A1A"/>
                <w:sz w:val="20"/>
              </w:rPr>
              <w:t>30 min · 6 rides/day</w:t>
            </w:r>
          </w:p>
        </w:tc>
        <w:tc>
          <w:tcPr>
            <w:tcW w:type="dxa" w:w="3118"/>
            <w:vAlign w:val="center"/>
          </w:tcPr>
          <w:p>
            <w:pPr>
              <w:jc w:val="right"/>
            </w:pPr>
            <w:r/>
            <w:r>
              <w:rPr>
                <w:rFonts w:ascii="Calibri" w:hAnsi="Calibri"/>
                <w:color w:val="1A1A1A"/>
                <w:sz w:val="20"/>
              </w:rPr>
              <w:t>Part 1</w:t>
            </w:r>
          </w:p>
        </w:tc>
      </w:tr>
      <w:tr>
        <w:tc>
          <w:tcPr>
            <w:tcW w:type="dxa" w:w="3402"/>
            <w:vAlign w:val="center"/>
          </w:tcPr>
          <w:p>
            <w:pPr>
              <w:jc w:val="left"/>
            </w:pPr>
            <w:r/>
            <w:r>
              <w:rPr>
                <w:rFonts w:ascii="Calibri" w:hAnsi="Calibri"/>
                <w:color w:val="1A1A1A"/>
                <w:sz w:val="20"/>
              </w:rPr>
              <w:t>Night LED show cycle</w:t>
            </w:r>
          </w:p>
        </w:tc>
        <w:tc>
          <w:tcPr>
            <w:tcW w:type="dxa" w:w="2551"/>
            <w:vAlign w:val="center"/>
          </w:tcPr>
          <w:p>
            <w:pPr>
              <w:jc w:val="right"/>
            </w:pPr>
            <w:r/>
            <w:r>
              <w:rPr>
                <w:rFonts w:ascii="Calibri" w:hAnsi="Calibri"/>
                <w:color w:val="1A1A1A"/>
                <w:sz w:val="20"/>
              </w:rPr>
              <w:t>41 min · 8 rides/night</w:t>
            </w:r>
          </w:p>
        </w:tc>
        <w:tc>
          <w:tcPr>
            <w:tcW w:type="dxa" w:w="3118"/>
            <w:vAlign w:val="center"/>
          </w:tcPr>
          <w:p>
            <w:pPr>
              <w:jc w:val="right"/>
            </w:pPr>
            <w:r/>
            <w:r>
              <w:rPr>
                <w:rFonts w:ascii="Calibri" w:hAnsi="Calibri"/>
                <w:color w:val="1A1A1A"/>
                <w:sz w:val="20"/>
              </w:rPr>
              <w:t>Part 1</w:t>
            </w:r>
          </w:p>
        </w:tc>
      </w:tr>
      <w:tr>
        <w:tc>
          <w:tcPr>
            <w:tcW w:type="dxa" w:w="3402"/>
            <w:vAlign w:val="center"/>
          </w:tcPr>
          <w:p>
            <w:pPr>
              <w:jc w:val="left"/>
            </w:pPr>
            <w:r/>
            <w:r>
              <w:rPr>
                <w:rFonts w:ascii="Calibri" w:hAnsi="Calibri"/>
                <w:color w:val="1A1A1A"/>
                <w:sz w:val="20"/>
              </w:rPr>
              <w:t>Day blended ARPU</w:t>
            </w:r>
          </w:p>
        </w:tc>
        <w:tc>
          <w:tcPr>
            <w:tcW w:type="dxa" w:w="2551"/>
            <w:vAlign w:val="center"/>
          </w:tcPr>
          <w:p>
            <w:pPr>
              <w:jc w:val="right"/>
            </w:pPr>
            <w:r/>
            <w:r>
              <w:rPr>
                <w:rFonts w:ascii="Calibri" w:hAnsi="Calibri"/>
                <w:color w:val="1A1A1A"/>
                <w:sz w:val="20"/>
              </w:rPr>
              <w:t>AED 170</w:t>
            </w:r>
          </w:p>
        </w:tc>
        <w:tc>
          <w:tcPr>
            <w:tcW w:type="dxa" w:w="3118"/>
            <w:vAlign w:val="center"/>
          </w:tcPr>
          <w:p>
            <w:pPr>
              <w:jc w:val="right"/>
            </w:pPr>
            <w:r/>
            <w:r>
              <w:rPr>
                <w:rFonts w:ascii="Calibri" w:hAnsi="Calibri"/>
                <w:color w:val="1A1A1A"/>
                <w:sz w:val="20"/>
              </w:rPr>
              <w:t>Part 7</w:t>
            </w:r>
          </w:p>
        </w:tc>
      </w:tr>
      <w:tr>
        <w:tc>
          <w:tcPr>
            <w:tcW w:type="dxa" w:w="3402"/>
            <w:vAlign w:val="center"/>
          </w:tcPr>
          <w:p>
            <w:pPr>
              <w:jc w:val="left"/>
            </w:pPr>
            <w:r/>
            <w:r>
              <w:rPr>
                <w:rFonts w:ascii="Calibri" w:hAnsi="Calibri"/>
                <w:color w:val="1A1A1A"/>
                <w:sz w:val="20"/>
              </w:rPr>
              <w:t>Night blended ARPU</w:t>
            </w:r>
          </w:p>
        </w:tc>
        <w:tc>
          <w:tcPr>
            <w:tcW w:type="dxa" w:w="2551"/>
            <w:vAlign w:val="center"/>
          </w:tcPr>
          <w:p>
            <w:pPr>
              <w:jc w:val="right"/>
            </w:pPr>
            <w:r/>
            <w:r>
              <w:rPr>
                <w:rFonts w:ascii="Calibri" w:hAnsi="Calibri"/>
                <w:color w:val="1A1A1A"/>
                <w:sz w:val="20"/>
              </w:rPr>
              <w:t>AED 361</w:t>
            </w:r>
          </w:p>
        </w:tc>
        <w:tc>
          <w:tcPr>
            <w:tcW w:type="dxa" w:w="3118"/>
            <w:vAlign w:val="center"/>
          </w:tcPr>
          <w:p>
            <w:pPr>
              <w:jc w:val="right"/>
            </w:pPr>
            <w:r/>
            <w:r>
              <w:rPr>
                <w:rFonts w:ascii="Calibri" w:hAnsi="Calibri"/>
                <w:color w:val="1A1A1A"/>
                <w:sz w:val="20"/>
              </w:rPr>
              <w:t>Part 7</w:t>
            </w:r>
          </w:p>
        </w:tc>
      </w:tr>
      <w:tr>
        <w:tc>
          <w:tcPr>
            <w:tcW w:type="dxa" w:w="3402"/>
            <w:vAlign w:val="center"/>
          </w:tcPr>
          <w:p>
            <w:pPr>
              <w:jc w:val="left"/>
            </w:pPr>
            <w:r/>
            <w:r>
              <w:rPr>
                <w:rFonts w:ascii="Calibri" w:hAnsi="Calibri"/>
                <w:color w:val="1A1A1A"/>
                <w:sz w:val="20"/>
              </w:rPr>
              <w:t>Base case load factor</w:t>
            </w:r>
          </w:p>
        </w:tc>
        <w:tc>
          <w:tcPr>
            <w:tcW w:type="dxa" w:w="2551"/>
            <w:vAlign w:val="center"/>
          </w:tcPr>
          <w:p>
            <w:pPr>
              <w:jc w:val="right"/>
            </w:pPr>
            <w:r/>
            <w:r>
              <w:rPr>
                <w:rFonts w:ascii="Calibri" w:hAnsi="Calibri"/>
                <w:color w:val="1A1A1A"/>
                <w:sz w:val="20"/>
              </w:rPr>
              <w:t>70 %</w:t>
            </w:r>
          </w:p>
        </w:tc>
        <w:tc>
          <w:tcPr>
            <w:tcW w:type="dxa" w:w="3118"/>
            <w:vAlign w:val="center"/>
          </w:tcPr>
          <w:p>
            <w:pPr>
              <w:jc w:val="right"/>
            </w:pPr>
            <w:r/>
            <w:r>
              <w:rPr>
                <w:rFonts w:ascii="Calibri" w:hAnsi="Calibri"/>
                <w:color w:val="1A1A1A"/>
                <w:sz w:val="20"/>
              </w:rPr>
              <w:t>Part 7</w:t>
            </w:r>
          </w:p>
        </w:tc>
      </w:tr>
      <w:tr>
        <w:tc>
          <w:tcPr>
            <w:tcW w:type="dxa" w:w="3402"/>
            <w:vAlign w:val="center"/>
          </w:tcPr>
          <w:p>
            <w:pPr>
              <w:jc w:val="left"/>
            </w:pPr>
            <w:r/>
            <w:r>
              <w:rPr>
                <w:rFonts w:ascii="Calibri" w:hAnsi="Calibri"/>
                <w:color w:val="1A1A1A"/>
                <w:sz w:val="20"/>
              </w:rPr>
              <w:t>All-Access pass usage factor</w:t>
            </w:r>
          </w:p>
        </w:tc>
        <w:tc>
          <w:tcPr>
            <w:tcW w:type="dxa" w:w="2551"/>
            <w:vAlign w:val="center"/>
          </w:tcPr>
          <w:p>
            <w:pPr>
              <w:jc w:val="right"/>
            </w:pPr>
            <w:r/>
            <w:r>
              <w:rPr>
                <w:rFonts w:ascii="Calibri" w:hAnsi="Calibri"/>
                <w:color w:val="1A1A1A"/>
                <w:sz w:val="20"/>
              </w:rPr>
              <w:t>1.4 rides / unique guest</w:t>
            </w:r>
          </w:p>
        </w:tc>
        <w:tc>
          <w:tcPr>
            <w:tcW w:type="dxa" w:w="3118"/>
            <w:vAlign w:val="center"/>
          </w:tcPr>
          <w:p>
            <w:pPr>
              <w:jc w:val="right"/>
            </w:pPr>
            <w:r/>
            <w:r>
              <w:rPr>
                <w:rFonts w:ascii="Calibri" w:hAnsi="Calibri"/>
                <w:color w:val="1A1A1A"/>
                <w:sz w:val="20"/>
              </w:rPr>
              <w:t>Part 7</w:t>
            </w:r>
          </w:p>
        </w:tc>
      </w:tr>
    </w:tbl>
    <w:p>
      <w:pPr>
        <w:spacing w:before="200" w:after="40"/>
      </w:pPr>
      <w:r>
        <w:rPr>
          <w:rFonts w:ascii="Calibri" w:hAnsi="Calibri"/>
          <w:b/>
          <w:color w:val="1A1A1A"/>
          <w:sz w:val="24"/>
        </w:rPr>
        <w:t>Baseline financial outputs</w:t>
      </w:r>
    </w:p>
    <w:tbl>
      <w:tblPr>
        <w:tblStyle w:val="LightGrid-Accent1"/>
        <w:tblW w:type="auto" w:w="0"/>
        <w:tblLayout w:type="fixed"/>
        <w:tblLook w:firstColumn="1" w:firstRow="1" w:lastColumn="0" w:lastRow="0" w:noHBand="0" w:noVBand="1" w:val="04A0"/>
      </w:tblPr>
      <w:tblGrid>
        <w:gridCol w:w="4986"/>
        <w:gridCol w:w="4986"/>
      </w:tblGrid>
      <w:tr>
        <w:tc>
          <w:tcPr>
            <w:tcW w:type="dxa" w:w="4535"/>
            <w:shd w:val="clear" w:color="auto" w:fill="F1E9D2"/>
            <w:vAlign w:val="center"/>
          </w:tcPr>
          <w:p>
            <w:r/>
            <w:r>
              <w:rPr>
                <w:rFonts w:ascii="Calibri" w:hAnsi="Calibri"/>
                <w:b/>
                <w:color w:val="1A1A1A"/>
                <w:sz w:val="20"/>
              </w:rPr>
              <w:t>Metric</w:t>
            </w:r>
          </w:p>
        </w:tc>
        <w:tc>
          <w:tcPr>
            <w:tcW w:type="dxa" w:w="3402"/>
            <w:shd w:val="clear" w:color="auto" w:fill="F1E9D2"/>
            <w:vAlign w:val="center"/>
          </w:tcPr>
          <w:p>
            <w:r/>
            <w:r>
              <w:rPr>
                <w:rFonts w:ascii="Calibri" w:hAnsi="Calibri"/>
                <w:b/>
                <w:color w:val="1A1A1A"/>
                <w:sz w:val="20"/>
              </w:rPr>
              <w:t>Baseline</w:t>
            </w:r>
          </w:p>
        </w:tc>
      </w:tr>
      <w:tr>
        <w:tc>
          <w:tcPr>
            <w:tcW w:type="dxa" w:w="4535"/>
            <w:vAlign w:val="center"/>
          </w:tcPr>
          <w:p>
            <w:pPr>
              <w:jc w:val="left"/>
            </w:pPr>
            <w:r/>
            <w:r>
              <w:rPr>
                <w:rFonts w:ascii="Calibri" w:hAnsi="Calibri"/>
                <w:color w:val="1A1A1A"/>
                <w:sz w:val="20"/>
              </w:rPr>
              <w:t>Base annual revenue</w:t>
            </w:r>
          </w:p>
        </w:tc>
        <w:tc>
          <w:tcPr>
            <w:tcW w:type="dxa" w:w="3402"/>
            <w:vAlign w:val="center"/>
          </w:tcPr>
          <w:p>
            <w:pPr>
              <w:jc w:val="right"/>
            </w:pPr>
            <w:r/>
            <w:r>
              <w:rPr>
                <w:rFonts w:ascii="Calibri" w:hAnsi="Calibri"/>
                <w:color w:val="1A1A1A"/>
                <w:sz w:val="20"/>
              </w:rPr>
              <w:t>AED 24.7 M</w:t>
            </w:r>
          </w:p>
        </w:tc>
      </w:tr>
      <w:tr>
        <w:tc>
          <w:tcPr>
            <w:tcW w:type="dxa" w:w="4535"/>
            <w:vAlign w:val="center"/>
          </w:tcPr>
          <w:p>
            <w:pPr>
              <w:jc w:val="left"/>
            </w:pPr>
            <w:r/>
            <w:r>
              <w:rPr>
                <w:rFonts w:ascii="Calibri" w:hAnsi="Calibri"/>
                <w:color w:val="1A1A1A"/>
                <w:sz w:val="20"/>
              </w:rPr>
              <w:t>Strong-case revenue</w:t>
            </w:r>
          </w:p>
        </w:tc>
        <w:tc>
          <w:tcPr>
            <w:tcW w:type="dxa" w:w="3402"/>
            <w:vAlign w:val="center"/>
          </w:tcPr>
          <w:p>
            <w:pPr>
              <w:jc w:val="right"/>
            </w:pPr>
            <w:r/>
            <w:r>
              <w:rPr>
                <w:rFonts w:ascii="Calibri" w:hAnsi="Calibri"/>
                <w:color w:val="1A1A1A"/>
                <w:sz w:val="20"/>
              </w:rPr>
              <w:t>AED 39.7 M</w:t>
            </w:r>
          </w:p>
        </w:tc>
      </w:tr>
      <w:tr>
        <w:tc>
          <w:tcPr>
            <w:tcW w:type="dxa" w:w="4535"/>
            <w:vAlign w:val="center"/>
          </w:tcPr>
          <w:p>
            <w:pPr>
              <w:jc w:val="left"/>
            </w:pPr>
            <w:r/>
            <w:r>
              <w:rPr>
                <w:rFonts w:ascii="Calibri" w:hAnsi="Calibri"/>
                <w:color w:val="1A1A1A"/>
                <w:sz w:val="20"/>
              </w:rPr>
              <w:t>Base annual OpEx</w:t>
            </w:r>
          </w:p>
        </w:tc>
        <w:tc>
          <w:tcPr>
            <w:tcW w:type="dxa" w:w="3402"/>
            <w:vAlign w:val="center"/>
          </w:tcPr>
          <w:p>
            <w:pPr>
              <w:jc w:val="right"/>
            </w:pPr>
            <w:r/>
            <w:r>
              <w:rPr>
                <w:rFonts w:ascii="Calibri" w:hAnsi="Calibri"/>
                <w:color w:val="1A1A1A"/>
                <w:sz w:val="20"/>
              </w:rPr>
              <w:t>AED 9.8 M</w:t>
            </w:r>
          </w:p>
        </w:tc>
      </w:tr>
      <w:tr>
        <w:tc>
          <w:tcPr>
            <w:tcW w:type="dxa" w:w="4535"/>
            <w:vAlign w:val="center"/>
          </w:tcPr>
          <w:p>
            <w:pPr>
              <w:jc w:val="left"/>
            </w:pPr>
            <w:r/>
            <w:r>
              <w:rPr>
                <w:rFonts w:ascii="Calibri" w:hAnsi="Calibri"/>
                <w:color w:val="1A1A1A"/>
                <w:sz w:val="20"/>
              </w:rPr>
              <w:t>Base EBITDA / margin</w:t>
            </w:r>
          </w:p>
        </w:tc>
        <w:tc>
          <w:tcPr>
            <w:tcW w:type="dxa" w:w="3402"/>
            <w:vAlign w:val="center"/>
          </w:tcPr>
          <w:p>
            <w:pPr>
              <w:jc w:val="right"/>
            </w:pPr>
            <w:r/>
            <w:r>
              <w:rPr>
                <w:rFonts w:ascii="Calibri" w:hAnsi="Calibri"/>
                <w:color w:val="1A1A1A"/>
                <w:sz w:val="20"/>
              </w:rPr>
              <w:t>AED 14.9 M · 60 %</w:t>
            </w:r>
          </w:p>
        </w:tc>
      </w:tr>
      <w:tr>
        <w:tc>
          <w:tcPr>
            <w:tcW w:type="dxa" w:w="4535"/>
            <w:vAlign w:val="center"/>
          </w:tcPr>
          <w:p>
            <w:pPr>
              <w:jc w:val="left"/>
            </w:pPr>
            <w:r/>
            <w:r>
              <w:rPr>
                <w:rFonts w:ascii="Calibri" w:hAnsi="Calibri"/>
                <w:color w:val="1A1A1A"/>
                <w:sz w:val="20"/>
              </w:rPr>
              <w:t>Base simple payback</w:t>
            </w:r>
          </w:p>
        </w:tc>
        <w:tc>
          <w:tcPr>
            <w:tcW w:type="dxa" w:w="3402"/>
            <w:vAlign w:val="center"/>
          </w:tcPr>
          <w:p>
            <w:pPr>
              <w:jc w:val="right"/>
            </w:pPr>
            <w:r/>
            <w:r>
              <w:rPr>
                <w:rFonts w:ascii="Calibri" w:hAnsi="Calibri"/>
                <w:color w:val="1A1A1A"/>
                <w:sz w:val="20"/>
              </w:rPr>
              <w:t>~1.6 years</w:t>
            </w:r>
          </w:p>
        </w:tc>
      </w:tr>
      <w:tr>
        <w:tc>
          <w:tcPr>
            <w:tcW w:type="dxa" w:w="4535"/>
            <w:vAlign w:val="center"/>
          </w:tcPr>
          <w:p>
            <w:pPr>
              <w:jc w:val="left"/>
            </w:pPr>
            <w:r/>
            <w:r>
              <w:rPr>
                <w:rFonts w:ascii="Calibri" w:hAnsi="Calibri"/>
                <w:color w:val="1A1A1A"/>
                <w:sz w:val="20"/>
              </w:rPr>
              <w:t>10-year IRR</w:t>
            </w:r>
          </w:p>
        </w:tc>
        <w:tc>
          <w:tcPr>
            <w:tcW w:type="dxa" w:w="3402"/>
            <w:vAlign w:val="center"/>
          </w:tcPr>
          <w:p>
            <w:pPr>
              <w:jc w:val="right"/>
            </w:pPr>
            <w:r/>
            <w:r>
              <w:rPr>
                <w:rFonts w:ascii="Calibri" w:hAnsi="Calibri"/>
                <w:color w:val="1A1A1A"/>
                <w:sz w:val="20"/>
              </w:rPr>
              <w:t>~58 %</w:t>
            </w:r>
          </w:p>
        </w:tc>
      </w:tr>
      <w:tr>
        <w:tc>
          <w:tcPr>
            <w:tcW w:type="dxa" w:w="4535"/>
            <w:vAlign w:val="center"/>
          </w:tcPr>
          <w:p>
            <w:pPr>
              <w:jc w:val="left"/>
            </w:pPr>
            <w:r/>
            <w:r>
              <w:rPr>
                <w:rFonts w:ascii="Calibri" w:hAnsi="Calibri"/>
                <w:color w:val="1A1A1A"/>
                <w:sz w:val="20"/>
              </w:rPr>
              <w:t>10-year NPV at 8 %</w:t>
            </w:r>
          </w:p>
        </w:tc>
        <w:tc>
          <w:tcPr>
            <w:tcW w:type="dxa" w:w="3402"/>
            <w:vAlign w:val="center"/>
          </w:tcPr>
          <w:p>
            <w:pPr>
              <w:jc w:val="right"/>
            </w:pPr>
            <w:r/>
            <w:r>
              <w:rPr>
                <w:rFonts w:ascii="Calibri" w:hAnsi="Calibri"/>
                <w:color w:val="1A1A1A"/>
                <w:sz w:val="20"/>
              </w:rPr>
              <w:t>AED 85 M</w:t>
            </w:r>
          </w:p>
        </w:tc>
      </w:tr>
      <w:tr>
        <w:tc>
          <w:tcPr>
            <w:tcW w:type="dxa" w:w="4535"/>
            <w:vAlign w:val="center"/>
          </w:tcPr>
          <w:p>
            <w:pPr>
              <w:jc w:val="left"/>
            </w:pPr>
            <w:r/>
            <w:r>
              <w:rPr>
                <w:rFonts w:ascii="Calibri" w:hAnsi="Calibri"/>
                <w:color w:val="1A1A1A"/>
                <w:sz w:val="20"/>
              </w:rPr>
              <w:t>10-year MOIC</w:t>
            </w:r>
          </w:p>
        </w:tc>
        <w:tc>
          <w:tcPr>
            <w:tcW w:type="dxa" w:w="3402"/>
            <w:vAlign w:val="center"/>
          </w:tcPr>
          <w:p>
            <w:pPr>
              <w:jc w:val="right"/>
            </w:pPr>
            <w:r/>
            <w:r>
              <w:rPr>
                <w:rFonts w:ascii="Calibri" w:hAnsi="Calibri"/>
                <w:color w:val="1A1A1A"/>
                <w:sz w:val="20"/>
              </w:rPr>
              <w:t>~5.5×</w:t>
            </w:r>
          </w:p>
        </w:tc>
      </w:tr>
    </w:tbl>
    <w:p>
      <w:pPr>
        <w:spacing w:after="80"/>
      </w:pPr>
      <w:r>
        <w:rPr>
          <w:rFonts w:ascii="Calibri" w:hAnsi="Calibri"/>
          <w:b w:val="0"/>
          <w:i/>
          <w:color w:val="555555"/>
          <w:sz w:val="20"/>
        </w:rPr>
        <w:t>CAPEX in the baseline is AED 25.9 M for the High Tier (aluminum tile) and AED 25.3 M for the Low Tier (GFRC tile). This memo uses the AED 25.9 M figure to preserve a single-spec comparison.</w:t>
      </w:r>
    </w:p>
    <w:p>
      <w:pPr>
        <w:spacing w:before="360" w:after="160"/>
      </w:pPr>
      <w:r>
        <w:rPr>
          <w:rFonts w:ascii="Calibri" w:hAnsi="Calibri"/>
          <w:b/>
          <w:color w:val="1A1A1A"/>
          <w:sz w:val="40"/>
        </w:rPr>
        <w:t>4. Revised operating assumptions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shd w:val="clear" w:color="auto" w:fill="F1E9D2"/>
            <w:vAlign w:val="center"/>
          </w:tcPr>
          <w:p>
            <w:r/>
            <w:r>
              <w:rPr>
                <w:rFonts w:ascii="Calibri" w:hAnsi="Calibri"/>
                <w:b/>
                <w:color w:val="1A1A1A"/>
                <w:sz w:val="20"/>
              </w:rPr>
              <w:t>Parameter</w:t>
            </w:r>
          </w:p>
        </w:tc>
        <w:tc>
          <w:tcPr>
            <w:tcW w:type="dxa" w:w="1984"/>
            <w:shd w:val="clear" w:color="auto" w:fill="F1E9D2"/>
            <w:vAlign w:val="center"/>
          </w:tcPr>
          <w:p>
            <w:r/>
            <w:r>
              <w:rPr>
                <w:rFonts w:ascii="Calibri" w:hAnsi="Calibri"/>
                <w:b/>
                <w:color w:val="1A1A1A"/>
                <w:sz w:val="20"/>
              </w:rPr>
              <w:t>Revised value</w:t>
            </w:r>
          </w:p>
        </w:tc>
        <w:tc>
          <w:tcPr>
            <w:tcW w:type="dxa" w:w="4535"/>
            <w:shd w:val="clear" w:color="auto" w:fill="F1E9D2"/>
            <w:vAlign w:val="center"/>
          </w:tcPr>
          <w:p>
            <w:r/>
            <w:r>
              <w:rPr>
                <w:rFonts w:ascii="Calibri" w:hAnsi="Calibri"/>
                <w:b/>
                <w:color w:val="1A1A1A"/>
                <w:sz w:val="20"/>
              </w:rPr>
              <w:t>Rationale</w:t>
            </w:r>
          </w:p>
        </w:tc>
      </w:tr>
      <w:tr>
        <w:tc>
          <w:tcPr>
            <w:tcW w:type="dxa" w:w="2551"/>
            <w:vAlign w:val="center"/>
          </w:tcPr>
          <w:p>
            <w:pPr>
              <w:jc w:val="left"/>
            </w:pPr>
            <w:r/>
            <w:r>
              <w:rPr>
                <w:rFonts w:ascii="Calibri" w:hAnsi="Calibri"/>
                <w:color w:val="1A1A1A"/>
                <w:sz w:val="20"/>
              </w:rPr>
              <w:t>Maximum balloon height</w:t>
            </w:r>
          </w:p>
        </w:tc>
        <w:tc>
          <w:tcPr>
            <w:tcW w:type="dxa" w:w="1984"/>
            <w:vAlign w:val="center"/>
          </w:tcPr>
          <w:p>
            <w:pPr>
              <w:jc w:val="right"/>
            </w:pPr>
            <w:r/>
            <w:r>
              <w:rPr>
                <w:rFonts w:ascii="Calibri" w:hAnsi="Calibri"/>
                <w:color w:val="1A1A1A"/>
                <w:sz w:val="20"/>
              </w:rPr>
              <w:t>150 m</w:t>
            </w:r>
          </w:p>
        </w:tc>
        <w:tc>
          <w:tcPr>
            <w:tcW w:type="dxa" w:w="4535"/>
            <w:vAlign w:val="center"/>
          </w:tcPr>
          <w:p>
            <w:pPr>
              <w:jc w:val="right"/>
            </w:pPr>
            <w:r/>
            <w:r>
              <w:rPr>
                <w:rFonts w:ascii="Calibri" w:hAnsi="Calibri"/>
                <w:color w:val="1A1A1A"/>
                <w:sz w:val="20"/>
              </w:rPr>
              <w:t>New true peak. Lower operating altitude under typical Saadiyat wind/safety conditions. The product is no longer marketed as 300 m-capable.</w:t>
            </w:r>
          </w:p>
        </w:tc>
      </w:tr>
      <w:tr>
        <w:tc>
          <w:tcPr>
            <w:tcW w:type="dxa" w:w="2551"/>
            <w:vAlign w:val="center"/>
          </w:tcPr>
          <w:p>
            <w:pPr>
              <w:jc w:val="left"/>
            </w:pPr>
            <w:r/>
            <w:r>
              <w:rPr>
                <w:rFonts w:ascii="Calibri" w:hAnsi="Calibri"/>
                <w:color w:val="1A1A1A"/>
                <w:sz w:val="20"/>
              </w:rPr>
              <w:t>Gondola commercial capacity</w:t>
            </w:r>
          </w:p>
        </w:tc>
        <w:tc>
          <w:tcPr>
            <w:tcW w:type="dxa" w:w="1984"/>
            <w:vAlign w:val="center"/>
          </w:tcPr>
          <w:p>
            <w:pPr>
              <w:jc w:val="right"/>
            </w:pPr>
            <w:r/>
            <w:r>
              <w:rPr>
                <w:rFonts w:ascii="Calibri" w:hAnsi="Calibri"/>
                <w:color w:val="1A1A1A"/>
                <w:sz w:val="20"/>
              </w:rPr>
              <w:t>25 guests</w:t>
            </w:r>
          </w:p>
        </w:tc>
        <w:tc>
          <w:tcPr>
            <w:tcW w:type="dxa" w:w="4535"/>
            <w:vAlign w:val="center"/>
          </w:tcPr>
          <w:p>
            <w:pPr>
              <w:jc w:val="right"/>
            </w:pPr>
            <w:r/>
            <w:r>
              <w:rPr>
                <w:rFonts w:ascii="Calibri" w:hAnsi="Calibri"/>
                <w:color w:val="1A1A1A"/>
                <w:sz w:val="20"/>
              </w:rPr>
              <w:t>More conservative than the 30-pax physical capacity. Improves guest comfort and gives an operating margin for staff and accessibility cases.</w:t>
            </w:r>
          </w:p>
        </w:tc>
      </w:tr>
      <w:tr>
        <w:tc>
          <w:tcPr>
            <w:tcW w:type="dxa" w:w="2551"/>
            <w:vAlign w:val="center"/>
          </w:tcPr>
          <w:p>
            <w:pPr>
              <w:jc w:val="left"/>
            </w:pPr>
            <w:r/>
            <w:r>
              <w:rPr>
                <w:rFonts w:ascii="Calibri" w:hAnsi="Calibri"/>
                <w:color w:val="1A1A1A"/>
                <w:sz w:val="20"/>
              </w:rPr>
              <w:t>Operating days (day flights)</w:t>
            </w:r>
          </w:p>
        </w:tc>
        <w:tc>
          <w:tcPr>
            <w:tcW w:type="dxa" w:w="1984"/>
            <w:vAlign w:val="center"/>
          </w:tcPr>
          <w:p>
            <w:pPr>
              <w:jc w:val="right"/>
            </w:pPr>
            <w:r/>
            <w:r>
              <w:rPr>
                <w:rFonts w:ascii="Calibri" w:hAnsi="Calibri"/>
                <w:color w:val="1A1A1A"/>
                <w:sz w:val="20"/>
              </w:rPr>
              <w:t>250 / year</w:t>
            </w:r>
          </w:p>
        </w:tc>
        <w:tc>
          <w:tcPr>
            <w:tcW w:type="dxa" w:w="4535"/>
            <w:vAlign w:val="center"/>
          </w:tcPr>
          <w:p>
            <w:pPr>
              <w:jc w:val="right"/>
            </w:pPr>
            <w:r/>
            <w:r>
              <w:rPr>
                <w:rFonts w:ascii="Calibri" w:hAnsi="Calibri"/>
                <w:color w:val="1A1A1A"/>
                <w:sz w:val="20"/>
              </w:rPr>
              <w:t>Higher weather-cancellation and operational-downtime allowance than the baseline 300 days. ~32 % cancellation buffer.</w:t>
            </w:r>
          </w:p>
        </w:tc>
      </w:tr>
      <w:tr>
        <w:tc>
          <w:tcPr>
            <w:tcW w:type="dxa" w:w="2551"/>
            <w:vAlign w:val="center"/>
          </w:tcPr>
          <w:p>
            <w:pPr>
              <w:jc w:val="left"/>
            </w:pPr>
            <w:r/>
            <w:r>
              <w:rPr>
                <w:rFonts w:ascii="Calibri" w:hAnsi="Calibri"/>
                <w:color w:val="1A1A1A"/>
                <w:sz w:val="20"/>
              </w:rPr>
              <w:t>Operating nights (LED show)</w:t>
            </w:r>
          </w:p>
        </w:tc>
        <w:tc>
          <w:tcPr>
            <w:tcW w:type="dxa" w:w="1984"/>
            <w:vAlign w:val="center"/>
          </w:tcPr>
          <w:p>
            <w:pPr>
              <w:jc w:val="right"/>
            </w:pPr>
            <w:r/>
            <w:r>
              <w:rPr>
                <w:rFonts w:ascii="Calibri" w:hAnsi="Calibri"/>
                <w:color w:val="1A1A1A"/>
                <w:sz w:val="20"/>
              </w:rPr>
              <w:t>250 / year</w:t>
            </w:r>
          </w:p>
        </w:tc>
        <w:tc>
          <w:tcPr>
            <w:tcW w:type="dxa" w:w="4535"/>
            <w:vAlign w:val="center"/>
          </w:tcPr>
          <w:p>
            <w:pPr>
              <w:jc w:val="right"/>
            </w:pPr>
            <w:r/>
            <w:r>
              <w:rPr>
                <w:rFonts w:ascii="Calibri" w:hAnsi="Calibri"/>
                <w:color w:val="1A1A1A"/>
                <w:sz w:val="20"/>
              </w:rPr>
              <w:t>Same buffer as day operations.</w:t>
            </w:r>
          </w:p>
        </w:tc>
      </w:tr>
      <w:tr>
        <w:tc>
          <w:tcPr>
            <w:tcW w:type="dxa" w:w="2551"/>
            <w:vAlign w:val="center"/>
          </w:tcPr>
          <w:p>
            <w:pPr>
              <w:jc w:val="left"/>
            </w:pPr>
            <w:r/>
            <w:r>
              <w:rPr>
                <w:rFonts w:ascii="Calibri" w:hAnsi="Calibri"/>
                <w:color w:val="1A1A1A"/>
                <w:sz w:val="20"/>
              </w:rPr>
              <w:t>Day flight structure</w:t>
            </w:r>
          </w:p>
        </w:tc>
        <w:tc>
          <w:tcPr>
            <w:tcW w:type="dxa" w:w="1984"/>
            <w:vAlign w:val="center"/>
          </w:tcPr>
          <w:p>
            <w:pPr>
              <w:jc w:val="right"/>
            </w:pPr>
            <w:r/>
            <w:r>
              <w:rPr>
                <w:rFonts w:ascii="Calibri" w:hAnsi="Calibri"/>
                <w:color w:val="1A1A1A"/>
                <w:sz w:val="20"/>
              </w:rPr>
              <w:t>6 rides / day</w:t>
            </w:r>
          </w:p>
        </w:tc>
        <w:tc>
          <w:tcPr>
            <w:tcW w:type="dxa" w:w="4535"/>
            <w:vAlign w:val="center"/>
          </w:tcPr>
          <w:p>
            <w:pPr>
              <w:jc w:val="right"/>
            </w:pPr>
            <w:r/>
            <w:r>
              <w:rPr>
                <w:rFonts w:ascii="Calibri" w:hAnsi="Calibri"/>
                <w:color w:val="1A1A1A"/>
                <w:sz w:val="20"/>
              </w:rPr>
              <w:t>Unchanged from baseline. Daytime experience is the museum-and-skyline panorama; no LED show, so cycle compression is not needed.</w:t>
            </w:r>
          </w:p>
        </w:tc>
      </w:tr>
      <w:tr>
        <w:tc>
          <w:tcPr>
            <w:tcW w:type="dxa" w:w="2551"/>
            <w:vAlign w:val="center"/>
          </w:tcPr>
          <w:p>
            <w:pPr>
              <w:jc w:val="left"/>
            </w:pPr>
            <w:r/>
            <w:r>
              <w:rPr>
                <w:rFonts w:ascii="Calibri" w:hAnsi="Calibri"/>
                <w:color w:val="1A1A1A"/>
                <w:sz w:val="20"/>
              </w:rPr>
              <w:t>Night cycle</w:t>
            </w:r>
          </w:p>
        </w:tc>
        <w:tc>
          <w:tcPr>
            <w:tcW w:type="dxa" w:w="1984"/>
            <w:vAlign w:val="center"/>
          </w:tcPr>
          <w:p>
            <w:pPr>
              <w:jc w:val="right"/>
            </w:pPr>
            <w:r/>
            <w:r>
              <w:rPr>
                <w:rFonts w:ascii="Calibri" w:hAnsi="Calibri"/>
                <w:color w:val="1A1A1A"/>
                <w:sz w:val="20"/>
              </w:rPr>
              <w:t>20 minutes per batch</w:t>
            </w:r>
          </w:p>
        </w:tc>
        <w:tc>
          <w:tcPr>
            <w:tcW w:type="dxa" w:w="4535"/>
            <w:vAlign w:val="center"/>
          </w:tcPr>
          <w:p>
            <w:pPr>
              <w:jc w:val="right"/>
            </w:pPr>
            <w:r/>
            <w:r>
              <w:rPr>
                <w:rFonts w:ascii="Calibri" w:hAnsi="Calibri"/>
                <w:color w:val="1A1A1A"/>
                <w:sz w:val="20"/>
              </w:rPr>
              <w:t>Faster cycle becomes feasible because ascent and descent are shorter at 150 m. See section 5 for the per-batch timeline.</w:t>
            </w:r>
          </w:p>
        </w:tc>
      </w:tr>
      <w:tr>
        <w:tc>
          <w:tcPr>
            <w:tcW w:type="dxa" w:w="2551"/>
            <w:vAlign w:val="center"/>
          </w:tcPr>
          <w:p>
            <w:pPr>
              <w:jc w:val="left"/>
            </w:pPr>
            <w:r/>
            <w:r>
              <w:rPr>
                <w:rFonts w:ascii="Calibri" w:hAnsi="Calibri"/>
                <w:color w:val="1A1A1A"/>
                <w:sz w:val="20"/>
              </w:rPr>
              <w:t>Night batches per night</w:t>
            </w:r>
          </w:p>
        </w:tc>
        <w:tc>
          <w:tcPr>
            <w:tcW w:type="dxa" w:w="1984"/>
            <w:vAlign w:val="center"/>
          </w:tcPr>
          <w:p>
            <w:pPr>
              <w:jc w:val="right"/>
            </w:pPr>
            <w:r/>
            <w:r>
              <w:rPr>
                <w:rFonts w:ascii="Calibri" w:hAnsi="Calibri"/>
                <w:color w:val="1A1A1A"/>
                <w:sz w:val="20"/>
              </w:rPr>
              <w:t>16 / night</w:t>
            </w:r>
          </w:p>
        </w:tc>
        <w:tc>
          <w:tcPr>
            <w:tcW w:type="dxa" w:w="4535"/>
            <w:vAlign w:val="center"/>
          </w:tcPr>
          <w:p>
            <w:pPr>
              <w:jc w:val="right"/>
            </w:pPr>
            <w:r/>
            <w:r>
              <w:rPr>
                <w:rFonts w:ascii="Calibri" w:hAnsi="Calibri"/>
                <w:color w:val="1A1A1A"/>
                <w:sz w:val="20"/>
              </w:rPr>
              <w:t>3 batches per hour × ~5.5-hour night window = 16.5, rounded down for buffer.</w:t>
            </w:r>
          </w:p>
        </w:tc>
      </w:tr>
      <w:tr>
        <w:tc>
          <w:tcPr>
            <w:tcW w:type="dxa" w:w="2551"/>
            <w:vAlign w:val="center"/>
          </w:tcPr>
          <w:p>
            <w:pPr>
              <w:jc w:val="left"/>
            </w:pPr>
            <w:r/>
            <w:r>
              <w:rPr>
                <w:rFonts w:ascii="Calibri" w:hAnsi="Calibri"/>
                <w:color w:val="1A1A1A"/>
                <w:sz w:val="20"/>
              </w:rPr>
              <w:t>All-Access pass usage factor</w:t>
            </w:r>
          </w:p>
        </w:tc>
        <w:tc>
          <w:tcPr>
            <w:tcW w:type="dxa" w:w="1984"/>
            <w:vAlign w:val="center"/>
          </w:tcPr>
          <w:p>
            <w:pPr>
              <w:jc w:val="right"/>
            </w:pPr>
            <w:r/>
            <w:r>
              <w:rPr>
                <w:rFonts w:ascii="Calibri" w:hAnsi="Calibri"/>
                <w:color w:val="1A1A1A"/>
                <w:sz w:val="20"/>
              </w:rPr>
              <w:t>1.4 rides / unique guest</w:t>
            </w:r>
          </w:p>
        </w:tc>
        <w:tc>
          <w:tcPr>
            <w:tcW w:type="dxa" w:w="4535"/>
            <w:vAlign w:val="center"/>
          </w:tcPr>
          <w:p>
            <w:pPr>
              <w:jc w:val="right"/>
            </w:pPr>
            <w:r/>
            <w:r>
              <w:rPr>
                <w:rFonts w:ascii="Calibri" w:hAnsi="Calibri"/>
                <w:color w:val="1A1A1A"/>
                <w:sz w:val="20"/>
              </w:rPr>
              <w:t>Unchanged from baseline. The 20-minute cycle actually improves the All-Access proposition (multi-theme viewing is easier in one night).</w:t>
            </w:r>
          </w:p>
        </w:tc>
      </w:tr>
      <w:tr>
        <w:tc>
          <w:tcPr>
            <w:tcW w:type="dxa" w:w="2551"/>
            <w:vAlign w:val="center"/>
          </w:tcPr>
          <w:p>
            <w:pPr>
              <w:jc w:val="left"/>
            </w:pPr>
            <w:r/>
            <w:r>
              <w:rPr>
                <w:rFonts w:ascii="Calibri" w:hAnsi="Calibri"/>
                <w:color w:val="1A1A1A"/>
                <w:sz w:val="20"/>
              </w:rPr>
              <w:t>Base case load factor</w:t>
            </w:r>
          </w:p>
        </w:tc>
        <w:tc>
          <w:tcPr>
            <w:tcW w:type="dxa" w:w="1984"/>
            <w:vAlign w:val="center"/>
          </w:tcPr>
          <w:p>
            <w:pPr>
              <w:jc w:val="right"/>
            </w:pPr>
            <w:r/>
            <w:r>
              <w:rPr>
                <w:rFonts w:ascii="Calibri" w:hAnsi="Calibri"/>
                <w:color w:val="1A1A1A"/>
                <w:sz w:val="20"/>
              </w:rPr>
              <w:t>58 %</w:t>
            </w:r>
          </w:p>
        </w:tc>
        <w:tc>
          <w:tcPr>
            <w:tcW w:type="dxa" w:w="4535"/>
            <w:vAlign w:val="center"/>
          </w:tcPr>
          <w:p>
            <w:pPr>
              <w:jc w:val="right"/>
            </w:pPr>
            <w:r/>
            <w:r>
              <w:rPr>
                <w:rFonts w:ascii="Calibri" w:hAnsi="Calibri"/>
                <w:color w:val="1A1A1A"/>
                <w:sz w:val="20"/>
              </w:rPr>
              <w:t>Below the baseline 70 % Dubai Balloon benchmark. Acknowledges a slower ramp-up and a more conservative steady-state target.</w:t>
            </w:r>
          </w:p>
        </w:tc>
      </w:tr>
      <w:tr>
        <w:tc>
          <w:tcPr>
            <w:tcW w:type="dxa" w:w="2551"/>
            <w:vAlign w:val="center"/>
          </w:tcPr>
          <w:p>
            <w:pPr>
              <w:jc w:val="left"/>
            </w:pPr>
            <w:r/>
            <w:r>
              <w:rPr>
                <w:rFonts w:ascii="Calibri" w:hAnsi="Calibri"/>
                <w:color w:val="1A1A1A"/>
                <w:sz w:val="20"/>
              </w:rPr>
              <w:t>Day blended ARPU</w:t>
            </w:r>
          </w:p>
        </w:tc>
        <w:tc>
          <w:tcPr>
            <w:tcW w:type="dxa" w:w="1984"/>
            <w:vAlign w:val="center"/>
          </w:tcPr>
          <w:p>
            <w:pPr>
              <w:jc w:val="right"/>
            </w:pPr>
            <w:r/>
            <w:r>
              <w:rPr>
                <w:rFonts w:ascii="Calibri" w:hAnsi="Calibri"/>
                <w:color w:val="1A1A1A"/>
                <w:sz w:val="20"/>
              </w:rPr>
              <w:t>AED 170</w:t>
            </w:r>
          </w:p>
        </w:tc>
        <w:tc>
          <w:tcPr>
            <w:tcW w:type="dxa" w:w="4535"/>
            <w:vAlign w:val="center"/>
          </w:tcPr>
          <w:p>
            <w:pPr>
              <w:jc w:val="right"/>
            </w:pPr>
            <w:r/>
            <w:r>
              <w:rPr>
                <w:rFonts w:ascii="Calibri" w:hAnsi="Calibri"/>
                <w:color w:val="1A1A1A"/>
                <w:sz w:val="20"/>
              </w:rPr>
              <w:t>Unchanged. See section 7 for the rationale for retaining ARPU at 150 m.</w:t>
            </w:r>
          </w:p>
        </w:tc>
      </w:tr>
      <w:tr>
        <w:tc>
          <w:tcPr>
            <w:tcW w:type="dxa" w:w="2551"/>
            <w:vAlign w:val="center"/>
          </w:tcPr>
          <w:p>
            <w:pPr>
              <w:jc w:val="left"/>
            </w:pPr>
            <w:r/>
            <w:r>
              <w:rPr>
                <w:rFonts w:ascii="Calibri" w:hAnsi="Calibri"/>
                <w:color w:val="1A1A1A"/>
                <w:sz w:val="20"/>
              </w:rPr>
              <w:t>Night blended ARPU</w:t>
            </w:r>
          </w:p>
        </w:tc>
        <w:tc>
          <w:tcPr>
            <w:tcW w:type="dxa" w:w="1984"/>
            <w:vAlign w:val="center"/>
          </w:tcPr>
          <w:p>
            <w:pPr>
              <w:jc w:val="right"/>
            </w:pPr>
            <w:r/>
            <w:r>
              <w:rPr>
                <w:rFonts w:ascii="Calibri" w:hAnsi="Calibri"/>
                <w:color w:val="1A1A1A"/>
                <w:sz w:val="20"/>
              </w:rPr>
              <w:t>AED 361</w:t>
            </w:r>
          </w:p>
        </w:tc>
        <w:tc>
          <w:tcPr>
            <w:tcW w:type="dxa" w:w="4535"/>
            <w:vAlign w:val="center"/>
          </w:tcPr>
          <w:p>
            <w:pPr>
              <w:jc w:val="right"/>
            </w:pPr>
            <w:r/>
            <w:r>
              <w:rPr>
                <w:rFonts w:ascii="Calibri" w:hAnsi="Calibri"/>
                <w:color w:val="1A1A1A"/>
                <w:sz w:val="20"/>
              </w:rPr>
              <w:t>Unchanged. See section 7.</w:t>
            </w:r>
          </w:p>
        </w:tc>
      </w:tr>
      <w:tr>
        <w:tc>
          <w:tcPr>
            <w:tcW w:type="dxa" w:w="2551"/>
            <w:vAlign w:val="center"/>
          </w:tcPr>
          <w:p>
            <w:pPr>
              <w:jc w:val="left"/>
            </w:pPr>
            <w:r/>
            <w:r>
              <w:rPr>
                <w:rFonts w:ascii="Calibri" w:hAnsi="Calibri"/>
                <w:color w:val="1A1A1A"/>
                <w:sz w:val="20"/>
              </w:rPr>
              <w:t>CAPEX (single-spec aluminum)</w:t>
            </w:r>
          </w:p>
        </w:tc>
        <w:tc>
          <w:tcPr>
            <w:tcW w:type="dxa" w:w="1984"/>
            <w:vAlign w:val="center"/>
          </w:tcPr>
          <w:p>
            <w:pPr>
              <w:jc w:val="right"/>
            </w:pPr>
            <w:r/>
            <w:r>
              <w:rPr>
                <w:rFonts w:ascii="Calibri" w:hAnsi="Calibri"/>
                <w:color w:val="1A1A1A"/>
                <w:sz w:val="20"/>
              </w:rPr>
              <w:t>AED 25.9 M</w:t>
            </w:r>
          </w:p>
        </w:tc>
        <w:tc>
          <w:tcPr>
            <w:tcW w:type="dxa" w:w="4535"/>
            <w:vAlign w:val="center"/>
          </w:tcPr>
          <w:p>
            <w:pPr>
              <w:jc w:val="right"/>
            </w:pPr>
            <w:r/>
            <w:r>
              <w:rPr>
                <w:rFonts w:ascii="Calibri" w:hAnsi="Calibri"/>
                <w:color w:val="1A1A1A"/>
                <w:sz w:val="20"/>
              </w:rPr>
              <w:t>High-tier aluminum tile assumption from the blueprint.</w:t>
            </w:r>
          </w:p>
        </w:tc>
      </w:tr>
    </w:tbl>
    <w:p>
      <w:pPr>
        <w:spacing w:before="360" w:after="160"/>
      </w:pPr>
      <w:r>
        <w:rPr>
          <w:rFonts w:ascii="Calibri" w:hAnsi="Calibri"/>
          <w:b/>
          <w:color w:val="1A1A1A"/>
          <w:sz w:val="40"/>
        </w:rPr>
        <w:t>5. Night cycle design at 150 m</w:t>
      </w:r>
    </w:p>
    <w:p>
      <w:pPr>
        <w:spacing w:after="80"/>
      </w:pPr>
      <w:r>
        <w:rPr>
          <w:rFonts w:ascii="Calibri" w:hAnsi="Calibri"/>
          <w:b w:val="0"/>
          <w:i w:val="0"/>
          <w:color w:val="1A1A1A"/>
          <w:sz w:val="22"/>
        </w:rPr>
        <w:t>The 20-minute per-batch cadence is the operational hinge of the revised model. It works because a 150 m peak shortens ascent and descent versus the 300 m baseline, freeing time for a compressed show window. Two operating rules protect the experience:</w:t>
      </w:r>
    </w:p>
    <w:p>
      <w:pPr>
        <w:pStyle w:val="ListBullet"/>
        <w:spacing w:after="40"/>
        <w:ind w:left="283"/>
      </w:pPr>
      <w:r>
        <w:rPr>
          <w:rFonts w:ascii="Calibri" w:hAnsi="Calibri"/>
          <w:color w:val="1A1A1A"/>
          <w:sz w:val="22"/>
        </w:rPr>
        <w:t>The LED entry hallway is closed in both directions during the main show. Guests cannot exit through it once the gondola has descended to the 25 m show altitude, so no one casts shadows across the canvas that the gondola is viewing from above.</w:t>
      </w:r>
    </w:p>
    <w:p>
      <w:pPr>
        <w:pStyle w:val="ListBullet"/>
        <w:spacing w:after="40"/>
        <w:ind w:left="283"/>
      </w:pPr>
      <w:r>
        <w:rPr>
          <w:rFonts w:ascii="Calibri" w:hAnsi="Calibri"/>
          <w:color w:val="1A1A1A"/>
          <w:sz w:val="22"/>
        </w:rPr>
        <w:t>After the gondola lands, guests stay on the boarding platform for a short photo dwell. This gives them a soft, memorable exit beat — and it keeps them off the LED hallway until the next batch has cleared it.</w:t>
      </w:r>
    </w:p>
    <w:p>
      <w:pPr>
        <w:spacing w:after="80"/>
      </w:pPr>
      <w:r>
        <w:rPr>
          <w:rFonts w:ascii="Calibri" w:hAnsi="Calibri"/>
          <w:b w:val="0"/>
          <w:i w:val="0"/>
          <w:color w:val="1A1A1A"/>
          <w:sz w:val="22"/>
        </w:rPr>
      </w:r>
    </w:p>
    <w:p>
      <w:pPr>
        <w:spacing w:before="200" w:after="40"/>
      </w:pPr>
      <w:r>
        <w:rPr>
          <w:rFonts w:ascii="Calibri" w:hAnsi="Calibri"/>
          <w:b/>
          <w:color w:val="1A1A1A"/>
          <w:sz w:val="24"/>
        </w:rPr>
        <w:t>Per-batch timeline (T = minutes from batch start)</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984"/>
            <w:shd w:val="clear" w:color="auto" w:fill="F1E9D2"/>
            <w:vAlign w:val="center"/>
          </w:tcPr>
          <w:p>
            <w:r/>
            <w:r>
              <w:rPr>
                <w:rFonts w:ascii="Calibri" w:hAnsi="Calibri"/>
                <w:b/>
                <w:color w:val="1A1A1A"/>
                <w:sz w:val="20"/>
              </w:rPr>
              <w:t>Phase</w:t>
            </w:r>
          </w:p>
        </w:tc>
        <w:tc>
          <w:tcPr>
            <w:tcW w:type="dxa" w:w="1417"/>
            <w:shd w:val="clear" w:color="auto" w:fill="F1E9D2"/>
            <w:vAlign w:val="center"/>
          </w:tcPr>
          <w:p>
            <w:r/>
            <w:r>
              <w:rPr>
                <w:rFonts w:ascii="Calibri" w:hAnsi="Calibri"/>
                <w:b/>
                <w:color w:val="1A1A1A"/>
                <w:sz w:val="20"/>
              </w:rPr>
              <w:t>Time</w:t>
            </w:r>
          </w:p>
        </w:tc>
        <w:tc>
          <w:tcPr>
            <w:tcW w:type="dxa" w:w="1020"/>
            <w:shd w:val="clear" w:color="auto" w:fill="F1E9D2"/>
            <w:vAlign w:val="center"/>
          </w:tcPr>
          <w:p>
            <w:r/>
            <w:r>
              <w:rPr>
                <w:rFonts w:ascii="Calibri" w:hAnsi="Calibri"/>
                <w:b/>
                <w:color w:val="1A1A1A"/>
                <w:sz w:val="20"/>
              </w:rPr>
              <w:t>Duration</w:t>
            </w:r>
          </w:p>
        </w:tc>
        <w:tc>
          <w:tcPr>
            <w:tcW w:type="dxa" w:w="1701"/>
            <w:shd w:val="clear" w:color="auto" w:fill="F1E9D2"/>
            <w:vAlign w:val="center"/>
          </w:tcPr>
          <w:p>
            <w:r/>
            <w:r>
              <w:rPr>
                <w:rFonts w:ascii="Calibri" w:hAnsi="Calibri"/>
                <w:b/>
                <w:color w:val="1A1A1A"/>
                <w:sz w:val="20"/>
              </w:rPr>
              <w:t>LED hallway</w:t>
            </w:r>
          </w:p>
        </w:tc>
        <w:tc>
          <w:tcPr>
            <w:tcW w:type="dxa" w:w="2948"/>
            <w:shd w:val="clear" w:color="auto" w:fill="F1E9D2"/>
            <w:vAlign w:val="center"/>
          </w:tcPr>
          <w:p>
            <w:r/>
            <w:r>
              <w:rPr>
                <w:rFonts w:ascii="Calibri" w:hAnsi="Calibri"/>
                <w:b/>
                <w:color w:val="1A1A1A"/>
                <w:sz w:val="20"/>
              </w:rPr>
              <w:t>What happens</w:t>
            </w:r>
          </w:p>
        </w:tc>
      </w:tr>
      <w:tr>
        <w:tc>
          <w:tcPr>
            <w:tcW w:type="dxa" w:w="1984"/>
            <w:vAlign w:val="center"/>
          </w:tcPr>
          <w:p>
            <w:pPr>
              <w:jc w:val="left"/>
            </w:pPr>
            <w:r/>
            <w:r>
              <w:rPr>
                <w:rFonts w:ascii="Calibri" w:hAnsi="Calibri"/>
                <w:color w:val="1A1A1A"/>
                <w:sz w:val="20"/>
              </w:rPr>
              <w:t>Boarding from LED hallway</w:t>
            </w:r>
          </w:p>
        </w:tc>
        <w:tc>
          <w:tcPr>
            <w:tcW w:type="dxa" w:w="1417"/>
            <w:vAlign w:val="center"/>
          </w:tcPr>
          <w:p>
            <w:pPr>
              <w:jc w:val="right"/>
            </w:pPr>
            <w:r/>
            <w:r>
              <w:rPr>
                <w:rFonts w:ascii="Calibri" w:hAnsi="Calibri"/>
                <w:color w:val="1A1A1A"/>
                <w:sz w:val="20"/>
              </w:rPr>
              <w:t>0:00 – 2:00</w:t>
            </w:r>
          </w:p>
        </w:tc>
        <w:tc>
          <w:tcPr>
            <w:tcW w:type="dxa" w:w="1020"/>
            <w:vAlign w:val="center"/>
          </w:tcPr>
          <w:p>
            <w:pPr>
              <w:jc w:val="right"/>
            </w:pPr>
            <w:r/>
            <w:r>
              <w:rPr>
                <w:rFonts w:ascii="Calibri" w:hAnsi="Calibri"/>
                <w:color w:val="1A1A1A"/>
                <w:sz w:val="20"/>
              </w:rPr>
              <w:t>~2.0 min</w:t>
            </w:r>
          </w:p>
        </w:tc>
        <w:tc>
          <w:tcPr>
            <w:tcW w:type="dxa" w:w="1701"/>
            <w:vAlign w:val="center"/>
          </w:tcPr>
          <w:p>
            <w:pPr>
              <w:jc w:val="right"/>
            </w:pPr>
            <w:r/>
            <w:r>
              <w:rPr>
                <w:rFonts w:ascii="Calibri" w:hAnsi="Calibri"/>
                <w:color w:val="1A1A1A"/>
                <w:sz w:val="20"/>
              </w:rPr>
              <w:t>Open (entry)</w:t>
            </w:r>
          </w:p>
        </w:tc>
        <w:tc>
          <w:tcPr>
            <w:tcW w:type="dxa" w:w="2948"/>
            <w:vAlign w:val="center"/>
          </w:tcPr>
          <w:p>
            <w:pPr>
              <w:jc w:val="right"/>
            </w:pPr>
            <w:r/>
            <w:r>
              <w:rPr>
                <w:rFonts w:ascii="Calibri" w:hAnsi="Calibri"/>
                <w:color w:val="1A1A1A"/>
                <w:sz w:val="20"/>
              </w:rPr>
              <w:t>Guests walk in across the lit hallway, board the gondola, safety brief.</w:t>
            </w:r>
          </w:p>
        </w:tc>
      </w:tr>
      <w:tr>
        <w:tc>
          <w:tcPr>
            <w:tcW w:type="dxa" w:w="1984"/>
            <w:vAlign w:val="center"/>
          </w:tcPr>
          <w:p>
            <w:pPr>
              <w:jc w:val="left"/>
            </w:pPr>
            <w:r/>
            <w:r>
              <w:rPr>
                <w:rFonts w:ascii="Calibri" w:hAnsi="Calibri"/>
                <w:color w:val="1A1A1A"/>
                <w:sz w:val="20"/>
              </w:rPr>
              <w:t>Ascent to 150 m</w:t>
            </w:r>
          </w:p>
        </w:tc>
        <w:tc>
          <w:tcPr>
            <w:tcW w:type="dxa" w:w="1417"/>
            <w:vAlign w:val="center"/>
          </w:tcPr>
          <w:p>
            <w:pPr>
              <w:jc w:val="right"/>
            </w:pPr>
            <w:r/>
            <w:r>
              <w:rPr>
                <w:rFonts w:ascii="Calibri" w:hAnsi="Calibri"/>
                <w:color w:val="1A1A1A"/>
                <w:sz w:val="20"/>
              </w:rPr>
              <w:t>2:00 – 5:00</w:t>
            </w:r>
          </w:p>
        </w:tc>
        <w:tc>
          <w:tcPr>
            <w:tcW w:type="dxa" w:w="1020"/>
            <w:vAlign w:val="center"/>
          </w:tcPr>
          <w:p>
            <w:pPr>
              <w:jc w:val="right"/>
            </w:pPr>
            <w:r/>
            <w:r>
              <w:rPr>
                <w:rFonts w:ascii="Calibri" w:hAnsi="Calibri"/>
                <w:color w:val="1A1A1A"/>
                <w:sz w:val="20"/>
              </w:rPr>
              <w:t>~3.0 min</w:t>
            </w:r>
          </w:p>
        </w:tc>
        <w:tc>
          <w:tcPr>
            <w:tcW w:type="dxa" w:w="1701"/>
            <w:vAlign w:val="center"/>
          </w:tcPr>
          <w:p>
            <w:pPr>
              <w:jc w:val="right"/>
            </w:pPr>
            <w:r/>
            <w:r>
              <w:rPr>
                <w:rFonts w:ascii="Calibri" w:hAnsi="Calibri"/>
                <w:color w:val="1A1A1A"/>
                <w:sz w:val="20"/>
              </w:rPr>
              <w:t>Open (ambient)</w:t>
            </w:r>
          </w:p>
        </w:tc>
        <w:tc>
          <w:tcPr>
            <w:tcW w:type="dxa" w:w="2948"/>
            <w:vAlign w:val="center"/>
          </w:tcPr>
          <w:p>
            <w:pPr>
              <w:jc w:val="right"/>
            </w:pPr>
            <w:r/>
            <w:r>
              <w:rPr>
                <w:rFonts w:ascii="Calibri" w:hAnsi="Calibri"/>
                <w:color w:val="1A1A1A"/>
                <w:sz w:val="20"/>
              </w:rPr>
              <w:t>50 m/min ascent. LED field dims under a rising animation.</w:t>
            </w:r>
          </w:p>
        </w:tc>
      </w:tr>
      <w:tr>
        <w:tc>
          <w:tcPr>
            <w:tcW w:type="dxa" w:w="1984"/>
            <w:vAlign w:val="center"/>
          </w:tcPr>
          <w:p>
            <w:pPr>
              <w:jc w:val="left"/>
            </w:pPr>
            <w:r/>
            <w:r>
              <w:rPr>
                <w:rFonts w:ascii="Calibri" w:hAnsi="Calibri"/>
                <w:color w:val="1A1A1A"/>
                <w:sz w:val="20"/>
              </w:rPr>
              <w:t>Peak hold at 150 m</w:t>
            </w:r>
          </w:p>
        </w:tc>
        <w:tc>
          <w:tcPr>
            <w:tcW w:type="dxa" w:w="1417"/>
            <w:vAlign w:val="center"/>
          </w:tcPr>
          <w:p>
            <w:pPr>
              <w:jc w:val="right"/>
            </w:pPr>
            <w:r/>
            <w:r>
              <w:rPr>
                <w:rFonts w:ascii="Calibri" w:hAnsi="Calibri"/>
                <w:color w:val="1A1A1A"/>
                <w:sz w:val="20"/>
              </w:rPr>
              <w:t>5:00 – 7:30</w:t>
            </w:r>
          </w:p>
        </w:tc>
        <w:tc>
          <w:tcPr>
            <w:tcW w:type="dxa" w:w="1020"/>
            <w:vAlign w:val="center"/>
          </w:tcPr>
          <w:p>
            <w:pPr>
              <w:jc w:val="right"/>
            </w:pPr>
            <w:r/>
            <w:r>
              <w:rPr>
                <w:rFonts w:ascii="Calibri" w:hAnsi="Calibri"/>
                <w:color w:val="1A1A1A"/>
                <w:sz w:val="20"/>
              </w:rPr>
              <w:t>~2.5 min</w:t>
            </w:r>
          </w:p>
        </w:tc>
        <w:tc>
          <w:tcPr>
            <w:tcW w:type="dxa" w:w="1701"/>
            <w:vAlign w:val="center"/>
          </w:tcPr>
          <w:p>
            <w:pPr>
              <w:jc w:val="right"/>
            </w:pPr>
            <w:r/>
            <w:r>
              <w:rPr>
                <w:rFonts w:ascii="Calibri" w:hAnsi="Calibri"/>
                <w:color w:val="1A1A1A"/>
                <w:sz w:val="20"/>
              </w:rPr>
              <w:t>Open (ambient)</w:t>
            </w:r>
          </w:p>
        </w:tc>
        <w:tc>
          <w:tcPr>
            <w:tcW w:type="dxa" w:w="2948"/>
            <w:vAlign w:val="center"/>
          </w:tcPr>
          <w:p>
            <w:pPr>
              <w:jc w:val="right"/>
            </w:pPr>
            <w:r/>
            <w:r>
              <w:rPr>
                <w:rFonts w:ascii="Calibri" w:hAnsi="Calibri"/>
                <w:color w:val="1A1A1A"/>
                <w:sz w:val="20"/>
              </w:rPr>
              <w:t>Three museums + Gulf coastline + Abu Dhabi skyline in view.</w:t>
            </w:r>
          </w:p>
        </w:tc>
      </w:tr>
      <w:tr>
        <w:tc>
          <w:tcPr>
            <w:tcW w:type="dxa" w:w="1984"/>
            <w:vAlign w:val="center"/>
          </w:tcPr>
          <w:p>
            <w:pPr>
              <w:jc w:val="left"/>
            </w:pPr>
            <w:r/>
            <w:r>
              <w:rPr>
                <w:rFonts w:ascii="Calibri" w:hAnsi="Calibri"/>
                <w:color w:val="1A1A1A"/>
                <w:sz w:val="20"/>
              </w:rPr>
              <w:t>Descent 150 m → 25 m</w:t>
            </w:r>
          </w:p>
        </w:tc>
        <w:tc>
          <w:tcPr>
            <w:tcW w:type="dxa" w:w="1417"/>
            <w:vAlign w:val="center"/>
          </w:tcPr>
          <w:p>
            <w:pPr>
              <w:jc w:val="right"/>
            </w:pPr>
            <w:r/>
            <w:r>
              <w:rPr>
                <w:rFonts w:ascii="Calibri" w:hAnsi="Calibri"/>
                <w:color w:val="1A1A1A"/>
                <w:sz w:val="20"/>
              </w:rPr>
              <w:t>7:30 – 10:30</w:t>
            </w:r>
          </w:p>
        </w:tc>
        <w:tc>
          <w:tcPr>
            <w:tcW w:type="dxa" w:w="1020"/>
            <w:vAlign w:val="center"/>
          </w:tcPr>
          <w:p>
            <w:pPr>
              <w:jc w:val="right"/>
            </w:pPr>
            <w:r/>
            <w:r>
              <w:rPr>
                <w:rFonts w:ascii="Calibri" w:hAnsi="Calibri"/>
                <w:color w:val="1A1A1A"/>
                <w:sz w:val="20"/>
              </w:rPr>
              <w:t>~3.0 min</w:t>
            </w:r>
          </w:p>
        </w:tc>
        <w:tc>
          <w:tcPr>
            <w:tcW w:type="dxa" w:w="1701"/>
            <w:vAlign w:val="center"/>
          </w:tcPr>
          <w:p>
            <w:pPr>
              <w:jc w:val="right"/>
            </w:pPr>
            <w:r/>
            <w:r>
              <w:rPr>
                <w:rFonts w:ascii="Calibri" w:hAnsi="Calibri"/>
                <w:color w:val="1A1A1A"/>
                <w:sz w:val="20"/>
              </w:rPr>
              <w:t>Open (anticipation)</w:t>
            </w:r>
          </w:p>
        </w:tc>
        <w:tc>
          <w:tcPr>
            <w:tcW w:type="dxa" w:w="2948"/>
            <w:vAlign w:val="center"/>
          </w:tcPr>
          <w:p>
            <w:pPr>
              <w:jc w:val="right"/>
            </w:pPr>
            <w:r/>
            <w:r>
              <w:rPr>
                <w:rFonts w:ascii="Calibri" w:hAnsi="Calibri"/>
                <w:color w:val="1A1A1A"/>
                <w:sz w:val="20"/>
              </w:rPr>
              <w:t>40 m/min descent. LED canvas grows in resolution below the gondola.</w:t>
            </w:r>
          </w:p>
        </w:tc>
      </w:tr>
      <w:tr>
        <w:tc>
          <w:tcPr>
            <w:tcW w:type="dxa" w:w="1984"/>
            <w:vAlign w:val="center"/>
          </w:tcPr>
          <w:p>
            <w:pPr>
              <w:jc w:val="left"/>
            </w:pPr>
            <w:r/>
            <w:r>
              <w:rPr>
                <w:rFonts w:ascii="Calibri" w:hAnsi="Calibri"/>
                <w:color w:val="1A1A1A"/>
                <w:sz w:val="20"/>
              </w:rPr>
              <w:t>Main show at 25 m</w:t>
            </w:r>
          </w:p>
        </w:tc>
        <w:tc>
          <w:tcPr>
            <w:tcW w:type="dxa" w:w="1417"/>
            <w:vAlign w:val="center"/>
          </w:tcPr>
          <w:p>
            <w:pPr>
              <w:jc w:val="right"/>
            </w:pPr>
            <w:r/>
            <w:r>
              <w:rPr>
                <w:rFonts w:ascii="Calibri" w:hAnsi="Calibri"/>
                <w:color w:val="1A1A1A"/>
                <w:sz w:val="20"/>
              </w:rPr>
              <w:t>10:30 – 18:00</w:t>
            </w:r>
          </w:p>
        </w:tc>
        <w:tc>
          <w:tcPr>
            <w:tcW w:type="dxa" w:w="1020"/>
            <w:vAlign w:val="center"/>
          </w:tcPr>
          <w:p>
            <w:pPr>
              <w:jc w:val="right"/>
            </w:pPr>
            <w:r/>
            <w:r>
              <w:rPr>
                <w:rFonts w:ascii="Calibri" w:hAnsi="Calibri"/>
                <w:color w:val="1A1A1A"/>
                <w:sz w:val="20"/>
              </w:rPr>
              <w:t>~7.5 min</w:t>
            </w:r>
          </w:p>
        </w:tc>
        <w:tc>
          <w:tcPr>
            <w:tcW w:type="dxa" w:w="1701"/>
            <w:vAlign w:val="center"/>
          </w:tcPr>
          <w:p>
            <w:pPr>
              <w:jc w:val="right"/>
            </w:pPr>
            <w:r/>
            <w:r>
              <w:rPr>
                <w:rFonts w:ascii="Calibri" w:hAnsi="Calibri"/>
                <w:color w:val="1A1A1A"/>
                <w:sz w:val="20"/>
              </w:rPr>
              <w:t>CLOSED both ways</w:t>
            </w:r>
          </w:p>
        </w:tc>
        <w:tc>
          <w:tcPr>
            <w:tcW w:type="dxa" w:w="2948"/>
            <w:vAlign w:val="center"/>
          </w:tcPr>
          <w:p>
            <w:pPr>
              <w:jc w:val="right"/>
            </w:pPr>
            <w:r/>
            <w:r>
              <w:rPr>
                <w:rFonts w:ascii="Calibri" w:hAnsi="Calibri"/>
                <w:color w:val="1A1A1A"/>
                <w:sz w:val="20"/>
              </w:rPr>
              <w:t>Gondola holds at 25 m. Full 55,575-node themed show. No hallway movement.</w:t>
            </w:r>
          </w:p>
        </w:tc>
      </w:tr>
      <w:tr>
        <w:tc>
          <w:tcPr>
            <w:tcW w:type="dxa" w:w="1984"/>
            <w:vAlign w:val="center"/>
          </w:tcPr>
          <w:p>
            <w:pPr>
              <w:jc w:val="left"/>
            </w:pPr>
            <w:r/>
            <w:r>
              <w:rPr>
                <w:rFonts w:ascii="Calibri" w:hAnsi="Calibri"/>
                <w:color w:val="1A1A1A"/>
                <w:sz w:val="20"/>
              </w:rPr>
              <w:t>Final descent to ground</w:t>
            </w:r>
          </w:p>
        </w:tc>
        <w:tc>
          <w:tcPr>
            <w:tcW w:type="dxa" w:w="1417"/>
            <w:vAlign w:val="center"/>
          </w:tcPr>
          <w:p>
            <w:pPr>
              <w:jc w:val="right"/>
            </w:pPr>
            <w:r/>
            <w:r>
              <w:rPr>
                <w:rFonts w:ascii="Calibri" w:hAnsi="Calibri"/>
                <w:color w:val="1A1A1A"/>
                <w:sz w:val="20"/>
              </w:rPr>
              <w:t>18:00 – 18:40</w:t>
            </w:r>
          </w:p>
        </w:tc>
        <w:tc>
          <w:tcPr>
            <w:tcW w:type="dxa" w:w="1020"/>
            <w:vAlign w:val="center"/>
          </w:tcPr>
          <w:p>
            <w:pPr>
              <w:jc w:val="right"/>
            </w:pPr>
            <w:r/>
            <w:r>
              <w:rPr>
                <w:rFonts w:ascii="Calibri" w:hAnsi="Calibri"/>
                <w:color w:val="1A1A1A"/>
                <w:sz w:val="20"/>
              </w:rPr>
              <w:t>~0.7 min</w:t>
            </w:r>
          </w:p>
        </w:tc>
        <w:tc>
          <w:tcPr>
            <w:tcW w:type="dxa" w:w="1701"/>
            <w:vAlign w:val="center"/>
          </w:tcPr>
          <w:p>
            <w:pPr>
              <w:jc w:val="right"/>
            </w:pPr>
            <w:r/>
            <w:r>
              <w:rPr>
                <w:rFonts w:ascii="Calibri" w:hAnsi="Calibri"/>
                <w:color w:val="1A1A1A"/>
                <w:sz w:val="20"/>
              </w:rPr>
              <w:t>Closed</w:t>
            </w:r>
          </w:p>
        </w:tc>
        <w:tc>
          <w:tcPr>
            <w:tcW w:type="dxa" w:w="2948"/>
            <w:vAlign w:val="center"/>
          </w:tcPr>
          <w:p>
            <w:pPr>
              <w:jc w:val="right"/>
            </w:pPr>
            <w:r/>
            <w:r>
              <w:rPr>
                <w:rFonts w:ascii="Calibri" w:hAnsi="Calibri"/>
                <w:color w:val="1A1A1A"/>
                <w:sz w:val="20"/>
              </w:rPr>
              <w:t>Show closes as the gondola lands at the platform.</w:t>
            </w:r>
          </w:p>
        </w:tc>
      </w:tr>
      <w:tr>
        <w:tc>
          <w:tcPr>
            <w:tcW w:type="dxa" w:w="1984"/>
            <w:vAlign w:val="center"/>
          </w:tcPr>
          <w:p>
            <w:pPr>
              <w:jc w:val="left"/>
            </w:pPr>
            <w:r/>
            <w:r>
              <w:rPr>
                <w:rFonts w:ascii="Calibri" w:hAnsi="Calibri"/>
                <w:color w:val="1A1A1A"/>
                <w:sz w:val="20"/>
              </w:rPr>
              <w:t>Photo dwell on platform</w:t>
            </w:r>
          </w:p>
        </w:tc>
        <w:tc>
          <w:tcPr>
            <w:tcW w:type="dxa" w:w="1417"/>
            <w:vAlign w:val="center"/>
          </w:tcPr>
          <w:p>
            <w:pPr>
              <w:jc w:val="right"/>
            </w:pPr>
            <w:r/>
            <w:r>
              <w:rPr>
                <w:rFonts w:ascii="Calibri" w:hAnsi="Calibri"/>
                <w:color w:val="1A1A1A"/>
                <w:sz w:val="20"/>
              </w:rPr>
              <w:t>18:40 – 20:00</w:t>
            </w:r>
          </w:p>
        </w:tc>
        <w:tc>
          <w:tcPr>
            <w:tcW w:type="dxa" w:w="1020"/>
            <w:vAlign w:val="center"/>
          </w:tcPr>
          <w:p>
            <w:pPr>
              <w:jc w:val="right"/>
            </w:pPr>
            <w:r/>
            <w:r>
              <w:rPr>
                <w:rFonts w:ascii="Calibri" w:hAnsi="Calibri"/>
                <w:color w:val="1A1A1A"/>
                <w:sz w:val="20"/>
              </w:rPr>
              <w:t>~1.3 min</w:t>
            </w:r>
          </w:p>
        </w:tc>
        <w:tc>
          <w:tcPr>
            <w:tcW w:type="dxa" w:w="1701"/>
            <w:vAlign w:val="center"/>
          </w:tcPr>
          <w:p>
            <w:pPr>
              <w:jc w:val="right"/>
            </w:pPr>
            <w:r/>
            <w:r>
              <w:rPr>
                <w:rFonts w:ascii="Calibri" w:hAnsi="Calibri"/>
                <w:color w:val="1A1A1A"/>
                <w:sz w:val="20"/>
              </w:rPr>
              <w:t>Open (exit / next entry)</w:t>
            </w:r>
          </w:p>
        </w:tc>
        <w:tc>
          <w:tcPr>
            <w:tcW w:type="dxa" w:w="2948"/>
            <w:vAlign w:val="center"/>
          </w:tcPr>
          <w:p>
            <w:pPr>
              <w:jc w:val="right"/>
            </w:pPr>
            <w:r/>
            <w:r>
              <w:rPr>
                <w:rFonts w:ascii="Calibri" w:hAnsi="Calibri"/>
                <w:color w:val="1A1A1A"/>
                <w:sz w:val="20"/>
              </w:rPr>
              <w:t>Guests stay on the platform for photos. Hallway reopens for the next batch entry; previous batch exits during the next batch's boarding window.</w:t>
            </w:r>
          </w:p>
        </w:tc>
      </w:tr>
    </w:tbl>
    <w:p>
      <w:pPr>
        <w:spacing w:after="80"/>
      </w:pPr>
      <w:r>
        <w:rPr>
          <w:rFonts w:ascii="Calibri" w:hAnsi="Calibri"/>
          <w:b w:val="0"/>
          <w:i w:val="0"/>
          <w:color w:val="1A1A1A"/>
          <w:sz w:val="22"/>
        </w:rPr>
      </w:r>
    </w:p>
    <w:p>
      <w:pPr>
        <w:spacing w:before="200" w:after="40"/>
      </w:pPr>
      <w:r>
        <w:rPr>
          <w:rFonts w:ascii="Calibri" w:hAnsi="Calibri"/>
          <w:b/>
          <w:color w:val="1A1A1A"/>
          <w:sz w:val="24"/>
        </w:rPr>
        <w:t>Why 20 minutes (and not less)</w:t>
      </w:r>
    </w:p>
    <w:p>
      <w:pPr>
        <w:pStyle w:val="ListBullet"/>
        <w:spacing w:after="40"/>
        <w:ind w:left="283"/>
      </w:pPr>
      <w:r>
        <w:rPr>
          <w:rFonts w:ascii="Calibri" w:hAnsi="Calibri"/>
          <w:color w:val="1A1A1A"/>
          <w:sz w:val="22"/>
        </w:rPr>
        <w:t>Ascent + descent at the documented balloon speeds (50 m/min up, 40 m/min down) consumes ~6 minutes round-trip at 150 m. Below that we are not selling a flight — we are selling a lift.</w:t>
      </w:r>
    </w:p>
    <w:p>
      <w:pPr>
        <w:pStyle w:val="ListBullet"/>
        <w:spacing w:after="40"/>
        <w:ind w:left="283"/>
      </w:pPr>
      <w:r>
        <w:rPr>
          <w:rFonts w:ascii="Calibri" w:hAnsi="Calibri"/>
          <w:color w:val="1A1A1A"/>
          <w:sz w:val="22"/>
        </w:rPr>
        <w:t>A 7.5-minute main show is the floor for a recognisable themed narrative. Shorter than that and the All-Access pass (three shows in a night) loses meaning.</w:t>
      </w:r>
    </w:p>
    <w:p>
      <w:pPr>
        <w:pStyle w:val="ListBullet"/>
        <w:spacing w:after="40"/>
        <w:ind w:left="283"/>
      </w:pPr>
      <w:r>
        <w:rPr>
          <w:rFonts w:ascii="Calibri" w:hAnsi="Calibri"/>
          <w:color w:val="1A1A1A"/>
          <w:sz w:val="22"/>
        </w:rPr>
        <w:t>Photo dwell + boarding turnover need ~3 minutes combined for a safely-managed gondola hand-off at 25 guests/batch.</w:t>
      </w:r>
    </w:p>
    <w:p>
      <w:pPr>
        <w:spacing w:before="200" w:after="40"/>
      </w:pPr>
      <w:r>
        <w:rPr>
          <w:rFonts w:ascii="Calibri" w:hAnsi="Calibri"/>
          <w:b/>
          <w:color w:val="1A1A1A"/>
          <w:sz w:val="24"/>
        </w:rPr>
        <w:t>Why the hallway must close during the show</w:t>
      </w:r>
    </w:p>
    <w:p>
      <w:pPr>
        <w:spacing w:after="80"/>
      </w:pPr>
      <w:r>
        <w:rPr>
          <w:rFonts w:ascii="Calibri" w:hAnsi="Calibri"/>
          <w:b w:val="0"/>
          <w:i w:val="0"/>
          <w:color w:val="1A1A1A"/>
          <w:sz w:val="22"/>
        </w:rPr>
        <w:t>The main show runs with the gondola held at 25 m, looking straight down at the 60 m LED ring. Any pedestrian movement on the LED hallway — even a single person — produces a moving dark shape across the canvas that the gondola sees clearly from 25 m above. Closing the hallway during the show is non-negotiable for show quality; the on-platform photo dwell is what makes that closure operationally invisible.</w:t>
      </w:r>
    </w:p>
    <w:p>
      <w:pPr>
        <w:spacing w:before="360" w:after="160"/>
      </w:pPr>
      <w:r>
        <w:rPr>
          <w:rFonts w:ascii="Calibri" w:hAnsi="Calibri"/>
          <w:b/>
          <w:color w:val="1A1A1A"/>
          <w:sz w:val="40"/>
        </w:rPr>
        <w:t>6. Capacity impact</w:t>
      </w:r>
    </w:p>
    <w:p>
      <w:pPr>
        <w:spacing w:after="80"/>
      </w:pPr>
      <w:r>
        <w:rPr>
          <w:rFonts w:ascii="Calibri" w:hAnsi="Calibri"/>
          <w:b w:val="0"/>
          <w:i w:val="0"/>
          <w:color w:val="1A1A1A"/>
          <w:sz w:val="22"/>
        </w:rPr>
        <w:t>The 25-guest cap reduces per-batch loading, but the 20-minute cycle more than doubles nightly batch count. The net effect is a substantial gain in night-side seat capacity.</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35"/>
            <w:shd w:val="clear" w:color="auto" w:fill="F1E9D2"/>
            <w:vAlign w:val="center"/>
          </w:tcPr>
          <w:p>
            <w:r/>
            <w:r>
              <w:rPr>
                <w:rFonts w:ascii="Calibri" w:hAnsi="Calibri"/>
                <w:b/>
                <w:color w:val="1A1A1A"/>
                <w:sz w:val="20"/>
              </w:rPr>
              <w:t>Capacity line</w:t>
            </w:r>
          </w:p>
        </w:tc>
        <w:tc>
          <w:tcPr>
            <w:tcW w:type="dxa" w:w="2268"/>
            <w:shd w:val="clear" w:color="auto" w:fill="F1E9D2"/>
            <w:vAlign w:val="center"/>
          </w:tcPr>
          <w:p>
            <w:r/>
            <w:r>
              <w:rPr>
                <w:rFonts w:ascii="Calibri" w:hAnsi="Calibri"/>
                <w:b/>
                <w:color w:val="1A1A1A"/>
                <w:sz w:val="20"/>
              </w:rPr>
              <w:t>Baseline</w:t>
            </w:r>
          </w:p>
        </w:tc>
        <w:tc>
          <w:tcPr>
            <w:tcW w:type="dxa" w:w="2268"/>
            <w:shd w:val="clear" w:color="auto" w:fill="F1E9D2"/>
            <w:vAlign w:val="center"/>
          </w:tcPr>
          <w:p>
            <w:r/>
            <w:r>
              <w:rPr>
                <w:rFonts w:ascii="Calibri" w:hAnsi="Calibri"/>
                <w:b/>
                <w:color w:val="1A1A1A"/>
                <w:sz w:val="20"/>
              </w:rPr>
              <w:t>Revised</w:t>
            </w:r>
          </w:p>
        </w:tc>
        <w:tc>
          <w:tcPr>
            <w:tcW w:type="dxa" w:w="1701"/>
            <w:shd w:val="clear" w:color="auto" w:fill="F1E9D2"/>
            <w:vAlign w:val="center"/>
          </w:tcPr>
          <w:p>
            <w:r/>
            <w:r>
              <w:rPr>
                <w:rFonts w:ascii="Calibri" w:hAnsi="Calibri"/>
                <w:b/>
                <w:color w:val="1A1A1A"/>
                <w:sz w:val="20"/>
              </w:rPr>
              <w:t>Change</w:t>
            </w:r>
          </w:p>
        </w:tc>
      </w:tr>
      <w:tr>
        <w:tc>
          <w:tcPr>
            <w:tcW w:type="dxa" w:w="2835"/>
            <w:vAlign w:val="center"/>
          </w:tcPr>
          <w:p>
            <w:pPr>
              <w:jc w:val="left"/>
            </w:pPr>
            <w:r/>
            <w:r>
              <w:rPr>
                <w:rFonts w:ascii="Calibri" w:hAnsi="Calibri"/>
                <w:color w:val="1A1A1A"/>
                <w:sz w:val="20"/>
              </w:rPr>
              <w:t>Day seat capacity</w:t>
            </w:r>
          </w:p>
        </w:tc>
        <w:tc>
          <w:tcPr>
            <w:tcW w:type="dxa" w:w="2268"/>
            <w:vAlign w:val="center"/>
          </w:tcPr>
          <w:p>
            <w:pPr>
              <w:jc w:val="right"/>
            </w:pPr>
            <w:r/>
            <w:r>
              <w:rPr>
                <w:rFonts w:ascii="Calibri" w:hAnsi="Calibri"/>
                <w:color w:val="1A1A1A"/>
                <w:sz w:val="20"/>
              </w:rPr>
              <w:t>6 × 30 = 180 / day</w:t>
            </w:r>
          </w:p>
        </w:tc>
        <w:tc>
          <w:tcPr>
            <w:tcW w:type="dxa" w:w="2268"/>
            <w:vAlign w:val="center"/>
          </w:tcPr>
          <w:p>
            <w:pPr>
              <w:jc w:val="right"/>
            </w:pPr>
            <w:r/>
            <w:r>
              <w:rPr>
                <w:rFonts w:ascii="Calibri" w:hAnsi="Calibri"/>
                <w:color w:val="1A1A1A"/>
                <w:sz w:val="20"/>
              </w:rPr>
              <w:t>6 × 25 = 150 / day</w:t>
            </w:r>
          </w:p>
        </w:tc>
        <w:tc>
          <w:tcPr>
            <w:tcW w:type="dxa" w:w="1701"/>
            <w:vAlign w:val="center"/>
          </w:tcPr>
          <w:p>
            <w:pPr>
              <w:jc w:val="right"/>
            </w:pPr>
            <w:r/>
            <w:r>
              <w:rPr>
                <w:rFonts w:ascii="Calibri" w:hAnsi="Calibri"/>
                <w:color w:val="1A1A1A"/>
                <w:sz w:val="20"/>
              </w:rPr>
              <w:t>– 16.7 %</w:t>
            </w:r>
          </w:p>
        </w:tc>
      </w:tr>
      <w:tr>
        <w:tc>
          <w:tcPr>
            <w:tcW w:type="dxa" w:w="2835"/>
            <w:vAlign w:val="center"/>
          </w:tcPr>
          <w:p>
            <w:pPr>
              <w:jc w:val="left"/>
            </w:pPr>
            <w:r/>
            <w:r>
              <w:rPr>
                <w:rFonts w:ascii="Calibri" w:hAnsi="Calibri"/>
                <w:color w:val="1A1A1A"/>
                <w:sz w:val="20"/>
              </w:rPr>
              <w:t>Night seat capacity</w:t>
            </w:r>
          </w:p>
        </w:tc>
        <w:tc>
          <w:tcPr>
            <w:tcW w:type="dxa" w:w="2268"/>
            <w:vAlign w:val="center"/>
          </w:tcPr>
          <w:p>
            <w:pPr>
              <w:jc w:val="right"/>
            </w:pPr>
            <w:r/>
            <w:r>
              <w:rPr>
                <w:rFonts w:ascii="Calibri" w:hAnsi="Calibri"/>
                <w:color w:val="1A1A1A"/>
                <w:sz w:val="20"/>
              </w:rPr>
              <w:t>8 × 30 = 240 / night</w:t>
            </w:r>
          </w:p>
        </w:tc>
        <w:tc>
          <w:tcPr>
            <w:tcW w:type="dxa" w:w="2268"/>
            <w:vAlign w:val="center"/>
          </w:tcPr>
          <w:p>
            <w:pPr>
              <w:jc w:val="right"/>
            </w:pPr>
            <w:r/>
            <w:r>
              <w:rPr>
                <w:rFonts w:ascii="Calibri" w:hAnsi="Calibri"/>
                <w:color w:val="1A1A1A"/>
                <w:sz w:val="20"/>
              </w:rPr>
              <w:t>16 × 25 = 400 / night</w:t>
            </w:r>
          </w:p>
        </w:tc>
        <w:tc>
          <w:tcPr>
            <w:tcW w:type="dxa" w:w="1701"/>
            <w:vAlign w:val="center"/>
          </w:tcPr>
          <w:p>
            <w:pPr>
              <w:jc w:val="right"/>
            </w:pPr>
            <w:r/>
            <w:r>
              <w:rPr>
                <w:rFonts w:ascii="Calibri" w:hAnsi="Calibri"/>
                <w:color w:val="1A1A1A"/>
                <w:sz w:val="20"/>
              </w:rPr>
              <w:t>+ 66.7 %</w:t>
            </w:r>
          </w:p>
        </w:tc>
      </w:tr>
      <w:tr>
        <w:tc>
          <w:tcPr>
            <w:tcW w:type="dxa" w:w="2835"/>
            <w:vAlign w:val="center"/>
          </w:tcPr>
          <w:p>
            <w:pPr>
              <w:jc w:val="left"/>
            </w:pPr>
            <w:r/>
            <w:r>
              <w:rPr>
                <w:rFonts w:ascii="Calibri" w:hAnsi="Calibri"/>
                <w:color w:val="1A1A1A"/>
                <w:sz w:val="20"/>
              </w:rPr>
              <w:t>Annual seat days (250 vs 300)</w:t>
            </w:r>
          </w:p>
        </w:tc>
        <w:tc>
          <w:tcPr>
            <w:tcW w:type="dxa" w:w="2268"/>
            <w:vAlign w:val="center"/>
          </w:tcPr>
          <w:p>
            <w:pPr>
              <w:jc w:val="right"/>
            </w:pPr>
            <w:r/>
            <w:r>
              <w:rPr>
                <w:rFonts w:ascii="Calibri" w:hAnsi="Calibri"/>
                <w:color w:val="1A1A1A"/>
                <w:sz w:val="20"/>
              </w:rPr>
              <w:t>300 / year</w:t>
            </w:r>
          </w:p>
        </w:tc>
        <w:tc>
          <w:tcPr>
            <w:tcW w:type="dxa" w:w="2268"/>
            <w:vAlign w:val="center"/>
          </w:tcPr>
          <w:p>
            <w:pPr>
              <w:jc w:val="right"/>
            </w:pPr>
            <w:r/>
            <w:r>
              <w:rPr>
                <w:rFonts w:ascii="Calibri" w:hAnsi="Calibri"/>
                <w:color w:val="1A1A1A"/>
                <w:sz w:val="20"/>
              </w:rPr>
              <w:t>250 / year</w:t>
            </w:r>
          </w:p>
        </w:tc>
        <w:tc>
          <w:tcPr>
            <w:tcW w:type="dxa" w:w="1701"/>
            <w:vAlign w:val="center"/>
          </w:tcPr>
          <w:p>
            <w:pPr>
              <w:jc w:val="right"/>
            </w:pPr>
            <w:r/>
            <w:r>
              <w:rPr>
                <w:rFonts w:ascii="Calibri" w:hAnsi="Calibri"/>
                <w:color w:val="1A1A1A"/>
                <w:sz w:val="20"/>
              </w:rPr>
              <w:t>– 16.7 %</w:t>
            </w:r>
          </w:p>
        </w:tc>
      </w:tr>
    </w:tbl>
    <w:p>
      <w:pPr>
        <w:spacing w:after="80"/>
      </w:pPr>
      <w:r>
        <w:rPr>
          <w:rFonts w:ascii="Calibri" w:hAnsi="Calibri"/>
          <w:b w:val="0"/>
          <w:i/>
          <w:color w:val="555555"/>
          <w:sz w:val="20"/>
        </w:rPr>
        <w:t>Net: night-side annual paid seats increase relative to baseline once the 250-day operating year is applied; day-side annual paid seats decline. Because night ARPU is more than 2× day ARPU, the revenue mix tilts further toward night — making the night-cycle assumption the dominant lever in the model (see section 11 sensitivity).</w:t>
      </w:r>
    </w:p>
    <w:p>
      <w:pPr>
        <w:spacing w:before="360" w:after="160"/>
      </w:pPr>
      <w:r>
        <w:rPr>
          <w:rFonts w:ascii="Calibri" w:hAnsi="Calibri"/>
          <w:b/>
          <w:color w:val="1A1A1A"/>
          <w:sz w:val="40"/>
        </w:rPr>
        <w:t>7. Pricing assumption — ARPU held at baseline</w:t>
      </w:r>
    </w:p>
    <w:p>
      <w:pPr>
        <w:spacing w:after="80"/>
      </w:pPr>
      <w:r>
        <w:rPr>
          <w:rFonts w:ascii="Calibri" w:hAnsi="Calibri"/>
          <w:b w:val="0"/>
          <w:i w:val="0"/>
          <w:color w:val="1A1A1A"/>
          <w:sz w:val="22"/>
        </w:rPr>
        <w:t>Day blended ARPU is held at AED 170 and night blended ARPU at AED 361, i.e. unchanged from the pitch-blueprint.md baseline. The defensible rationale at a 150 m peak is:</w:t>
      </w:r>
    </w:p>
    <w:p>
      <w:pPr>
        <w:pStyle w:val="ListBullet"/>
        <w:spacing w:after="40"/>
        <w:ind w:left="283"/>
      </w:pPr>
      <w:r>
        <w:rPr>
          <w:rFonts w:ascii="Calibri" w:hAnsi="Calibri"/>
          <w:color w:val="1A1A1A"/>
          <w:sz w:val="22"/>
        </w:rPr>
        <w:t>Night value is driven by the LED canvas show, the three museum-tied themes, and the Saadiyat night-destination ecosystem — not by raw altitude. The show is paid for; the altitude is the delivery vehicle.</w:t>
      </w:r>
    </w:p>
    <w:p>
      <w:pPr>
        <w:pStyle w:val="ListBullet"/>
        <w:spacing w:after="40"/>
        <w:ind w:left="283"/>
      </w:pPr>
      <w:r>
        <w:rPr>
          <w:rFonts w:ascii="Calibri" w:hAnsi="Calibri"/>
          <w:color w:val="1A1A1A"/>
          <w:sz w:val="22"/>
        </w:rPr>
        <w:t>150 m sits within the global peer band for tethered/observation balloons: London Eye 135 m, Singapore Flyer 165 m. The premium-experience price point is defensible at this band.</w:t>
      </w:r>
    </w:p>
    <w:p>
      <w:pPr>
        <w:pStyle w:val="ListBullet"/>
        <w:spacing w:after="40"/>
        <w:ind w:left="283"/>
      </w:pPr>
      <w:r>
        <w:rPr>
          <w:rFonts w:ascii="Calibri" w:hAnsi="Calibri"/>
          <w:color w:val="1A1A1A"/>
          <w:sz w:val="22"/>
        </w:rPr>
        <w:t>The All-Access pass (AED 695) is grounded in seeing all three themed shows in one evening. Altitude is irrelevant to the upsell.</w:t>
      </w:r>
    </w:p>
    <w:p>
      <w:pPr>
        <w:pStyle w:val="ListBullet"/>
        <w:spacing w:after="40"/>
        <w:ind w:left="283"/>
      </w:pPr>
      <w:r>
        <w:rPr>
          <w:rFonts w:ascii="Calibri" w:hAnsi="Calibri"/>
          <w:color w:val="1A1A1A"/>
          <w:sz w:val="22"/>
        </w:rPr>
        <w:t>Day flight pricing (AED 195 adult) is justified by the unobstructed museum-and-skyline panorama at 150 m, not by altitude alone.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118"/>
            <w:shd w:val="clear" w:color="auto" w:fill="F1E9D2"/>
            <w:vAlign w:val="center"/>
          </w:tcPr>
          <w:p>
            <w:r/>
            <w:r>
              <w:rPr>
                <w:rFonts w:ascii="Calibri" w:hAnsi="Calibri"/>
                <w:b/>
                <w:color w:val="1A1A1A"/>
                <w:sz w:val="20"/>
              </w:rPr>
              <w:t>ARPU line</w:t>
            </w:r>
          </w:p>
        </w:tc>
        <w:tc>
          <w:tcPr>
            <w:tcW w:type="dxa" w:w="1984"/>
            <w:shd w:val="clear" w:color="auto" w:fill="F1E9D2"/>
            <w:vAlign w:val="center"/>
          </w:tcPr>
          <w:p>
            <w:r/>
            <w:r>
              <w:rPr>
                <w:rFonts w:ascii="Calibri" w:hAnsi="Calibri"/>
                <w:b/>
                <w:color w:val="1A1A1A"/>
                <w:sz w:val="20"/>
              </w:rPr>
              <w:t>Baseline 300 m</w:t>
            </w:r>
          </w:p>
        </w:tc>
        <w:tc>
          <w:tcPr>
            <w:tcW w:type="dxa" w:w="1984"/>
            <w:shd w:val="clear" w:color="auto" w:fill="F1E9D2"/>
            <w:vAlign w:val="center"/>
          </w:tcPr>
          <w:p>
            <w:r/>
            <w:r>
              <w:rPr>
                <w:rFonts w:ascii="Calibri" w:hAnsi="Calibri"/>
                <w:b/>
                <w:color w:val="1A1A1A"/>
                <w:sz w:val="20"/>
              </w:rPr>
              <w:t>Revised 150 m</w:t>
            </w:r>
          </w:p>
        </w:tc>
        <w:tc>
          <w:tcPr>
            <w:tcW w:type="dxa" w:w="1984"/>
            <w:shd w:val="clear" w:color="auto" w:fill="F1E9D2"/>
            <w:vAlign w:val="center"/>
          </w:tcPr>
          <w:p>
            <w:r/>
            <w:r>
              <w:rPr>
                <w:rFonts w:ascii="Calibri" w:hAnsi="Calibri"/>
                <w:b/>
                <w:color w:val="1A1A1A"/>
                <w:sz w:val="20"/>
              </w:rPr>
              <w:t>Change</w:t>
            </w:r>
          </w:p>
        </w:tc>
      </w:tr>
      <w:tr>
        <w:tc>
          <w:tcPr>
            <w:tcW w:type="dxa" w:w="3118"/>
            <w:vAlign w:val="center"/>
          </w:tcPr>
          <w:p>
            <w:pPr>
              <w:jc w:val="left"/>
            </w:pPr>
            <w:r/>
            <w:r>
              <w:rPr>
                <w:rFonts w:ascii="Calibri" w:hAnsi="Calibri"/>
                <w:color w:val="1A1A1A"/>
                <w:sz w:val="20"/>
              </w:rPr>
              <w:t>Day blended ARPU</w:t>
            </w:r>
          </w:p>
        </w:tc>
        <w:tc>
          <w:tcPr>
            <w:tcW w:type="dxa" w:w="1984"/>
            <w:vAlign w:val="center"/>
          </w:tcPr>
          <w:p>
            <w:pPr>
              <w:jc w:val="right"/>
            </w:pPr>
            <w:r/>
            <w:r>
              <w:rPr>
                <w:rFonts w:ascii="Calibri" w:hAnsi="Calibri"/>
                <w:color w:val="1A1A1A"/>
                <w:sz w:val="20"/>
              </w:rPr>
              <w:t>AED 170</w:t>
            </w:r>
          </w:p>
        </w:tc>
        <w:tc>
          <w:tcPr>
            <w:tcW w:type="dxa" w:w="1984"/>
            <w:vAlign w:val="center"/>
          </w:tcPr>
          <w:p>
            <w:pPr>
              <w:jc w:val="right"/>
            </w:pPr>
            <w:r/>
            <w:r>
              <w:rPr>
                <w:rFonts w:ascii="Calibri" w:hAnsi="Calibri"/>
                <w:color w:val="1A1A1A"/>
                <w:sz w:val="20"/>
              </w:rPr>
              <w:t>AED 170</w:t>
            </w:r>
          </w:p>
        </w:tc>
        <w:tc>
          <w:tcPr>
            <w:tcW w:type="dxa" w:w="1984"/>
            <w:vAlign w:val="center"/>
          </w:tcPr>
          <w:p>
            <w:pPr>
              <w:jc w:val="right"/>
            </w:pPr>
            <w:r/>
            <w:r>
              <w:rPr>
                <w:rFonts w:ascii="Calibri" w:hAnsi="Calibri"/>
                <w:color w:val="1A1A1A"/>
                <w:sz w:val="20"/>
              </w:rPr>
              <w:t>0 %</w:t>
            </w:r>
          </w:p>
        </w:tc>
      </w:tr>
      <w:tr>
        <w:tc>
          <w:tcPr>
            <w:tcW w:type="dxa" w:w="3118"/>
            <w:vAlign w:val="center"/>
          </w:tcPr>
          <w:p>
            <w:pPr>
              <w:jc w:val="left"/>
            </w:pPr>
            <w:r/>
            <w:r>
              <w:rPr>
                <w:rFonts w:ascii="Calibri" w:hAnsi="Calibri"/>
                <w:color w:val="1A1A1A"/>
                <w:sz w:val="20"/>
              </w:rPr>
              <w:t>Night blended ARPU</w:t>
            </w:r>
          </w:p>
        </w:tc>
        <w:tc>
          <w:tcPr>
            <w:tcW w:type="dxa" w:w="1984"/>
            <w:vAlign w:val="center"/>
          </w:tcPr>
          <w:p>
            <w:pPr>
              <w:jc w:val="right"/>
            </w:pPr>
            <w:r/>
            <w:r>
              <w:rPr>
                <w:rFonts w:ascii="Calibri" w:hAnsi="Calibri"/>
                <w:color w:val="1A1A1A"/>
                <w:sz w:val="20"/>
              </w:rPr>
              <w:t>AED 361</w:t>
            </w:r>
          </w:p>
        </w:tc>
        <w:tc>
          <w:tcPr>
            <w:tcW w:type="dxa" w:w="1984"/>
            <w:vAlign w:val="center"/>
          </w:tcPr>
          <w:p>
            <w:pPr>
              <w:jc w:val="right"/>
            </w:pPr>
            <w:r/>
            <w:r>
              <w:rPr>
                <w:rFonts w:ascii="Calibri" w:hAnsi="Calibri"/>
                <w:color w:val="1A1A1A"/>
                <w:sz w:val="20"/>
              </w:rPr>
              <w:t>AED 361</w:t>
            </w:r>
          </w:p>
        </w:tc>
        <w:tc>
          <w:tcPr>
            <w:tcW w:type="dxa" w:w="1984"/>
            <w:vAlign w:val="center"/>
          </w:tcPr>
          <w:p>
            <w:pPr>
              <w:jc w:val="right"/>
            </w:pPr>
            <w:r/>
            <w:r>
              <w:rPr>
                <w:rFonts w:ascii="Calibri" w:hAnsi="Calibri"/>
                <w:color w:val="1A1A1A"/>
                <w:sz w:val="20"/>
              </w:rPr>
              <w:t>0 %</w:t>
            </w:r>
          </w:p>
        </w:tc>
      </w:tr>
    </w:tbl>
    <w:p>
      <w:pPr>
        <w:spacing w:after="80"/>
      </w:pPr>
      <w:r>
        <w:rPr>
          <w:rFonts w:ascii="Calibri" w:hAnsi="Calibri"/>
          <w:b w:val="0"/>
          <w:i/>
          <w:color w:val="555555"/>
          <w:sz w:val="20"/>
        </w:rPr>
        <w:t>A moderate ARPU haircut (AED 140 day / AED 320 night) is carried only as a downside sensitivity in section 9 for prudence — it is not the headline model.</w:t>
      </w:r>
    </w:p>
    <w:p>
      <w:pPr>
        <w:spacing w:before="360" w:after="160"/>
      </w:pPr>
      <w:r>
        <w:rPr>
          <w:rFonts w:ascii="Calibri" w:hAnsi="Calibri"/>
          <w:b/>
          <w:color w:val="1A1A1A"/>
          <w:sz w:val="40"/>
        </w:rPr>
        <w:t>8. Revenue build — formulas and worked numbers</w:t>
      </w:r>
    </w:p>
    <w:p>
      <w:pPr>
        <w:spacing w:before="200" w:after="40"/>
      </w:pPr>
      <w:r>
        <w:rPr>
          <w:rFonts w:ascii="Calibri" w:hAnsi="Calibri"/>
          <w:b/>
          <w:color w:val="1A1A1A"/>
          <w:sz w:val="24"/>
        </w:rPr>
        <w:t>Ticket revenue formulas</w:t>
      </w:r>
    </w:p>
    <w:p>
      <w:pPr>
        <w:spacing w:after="80"/>
      </w:pPr>
      <w:r>
        <w:rPr>
          <w:rFonts w:ascii="Calibri" w:hAnsi="Calibri"/>
          <w:b/>
          <w:i w:val="0"/>
          <w:color w:val="1A1A1A"/>
          <w:sz w:val="22"/>
        </w:rPr>
        <w:t>Day ticket revenue =</w:t>
      </w:r>
    </w:p>
    <w:p>
      <w:pPr>
        <w:spacing w:after="80"/>
      </w:pPr>
      <w:r>
        <w:rPr>
          <w:rFonts w:ascii="Calibri" w:hAnsi="Calibri"/>
          <w:b w:val="0"/>
          <w:i/>
          <w:color w:val="555555"/>
          <w:sz w:val="22"/>
        </w:rPr>
        <w:t xml:space="preserve">   6 rides/day × 25 guests × load × 250 operating days × AED 170 ARPU</w:t>
      </w:r>
    </w:p>
    <w:p>
      <w:pPr>
        <w:spacing w:after="80"/>
      </w:pPr>
      <w:r>
        <w:rPr>
          <w:rFonts w:ascii="Calibri" w:hAnsi="Calibri"/>
          <w:b/>
          <w:i w:val="0"/>
          <w:color w:val="1A1A1A"/>
          <w:sz w:val="22"/>
        </w:rPr>
        <w:t>Night ticket revenue =</w:t>
      </w:r>
    </w:p>
    <w:p>
      <w:pPr>
        <w:spacing w:after="80"/>
      </w:pPr>
      <w:r>
        <w:rPr>
          <w:rFonts w:ascii="Calibri" w:hAnsi="Calibri"/>
          <w:b w:val="0"/>
          <w:i/>
          <w:color w:val="555555"/>
          <w:sz w:val="22"/>
        </w:rPr>
        <w:t xml:space="preserve">   16 batches/night × 25 guests × load × 250 operating nights × AED 361 ARPU ÷ 1.4 rides per unique guest</w:t>
      </w:r>
    </w:p>
    <w:p>
      <w:pPr>
        <w:spacing w:before="200" w:after="40"/>
      </w:pPr>
      <w:r>
        <w:rPr>
          <w:rFonts w:ascii="Calibri" w:hAnsi="Calibri"/>
          <w:b/>
          <w:color w:val="1A1A1A"/>
          <w:sz w:val="24"/>
        </w:rPr>
        <w:t>Worked example — Base Case (58 % load)</w:t>
      </w:r>
    </w:p>
    <w:p>
      <w:pPr>
        <w:pStyle w:val="ListBullet"/>
        <w:spacing w:after="40"/>
        <w:ind w:left="283"/>
      </w:pPr>
      <w:r>
        <w:rPr>
          <w:rFonts w:ascii="Calibri" w:hAnsi="Calibri"/>
          <w:color w:val="1A1A1A"/>
          <w:sz w:val="22"/>
        </w:rPr>
        <w:t>Day:  6 × 25 × 0.58 × 250 × 170 = AED 3.70 M</w:t>
      </w:r>
    </w:p>
    <w:p>
      <w:pPr>
        <w:pStyle w:val="ListBullet"/>
        <w:spacing w:after="40"/>
        <w:ind w:left="283"/>
      </w:pPr>
      <w:r>
        <w:rPr>
          <w:rFonts w:ascii="Calibri" w:hAnsi="Calibri"/>
          <w:color w:val="1A1A1A"/>
          <w:sz w:val="22"/>
        </w:rPr>
        <w:t>Night: (16 × 25 × 0.58 × 250) ÷ 1.4 × 361 = (58,000 ÷ 1.4) × 361 = 41,429 unique guests × AED 361 = AED 14.96 M  ≈  AED 15.0 M</w:t>
      </w:r>
    </w:p>
    <w:p>
      <w:pPr>
        <w:spacing w:before="200" w:after="40"/>
      </w:pPr>
      <w:r>
        <w:rPr>
          <w:rFonts w:ascii="Calibri" w:hAnsi="Calibri"/>
          <w:b/>
          <w:color w:val="1A1A1A"/>
          <w:sz w:val="24"/>
        </w:rPr>
        <w:t>Load factors used per scenario</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984"/>
            <w:shd w:val="clear" w:color="auto" w:fill="F1E9D2"/>
            <w:vAlign w:val="center"/>
          </w:tcPr>
          <w:p>
            <w:r/>
            <w:r>
              <w:rPr>
                <w:rFonts w:ascii="Calibri" w:hAnsi="Calibri"/>
                <w:b/>
                <w:color w:val="1A1A1A"/>
                <w:sz w:val="20"/>
              </w:rPr>
              <w:t>Scenario</w:t>
            </w:r>
          </w:p>
        </w:tc>
        <w:tc>
          <w:tcPr>
            <w:tcW w:type="dxa" w:w="1134"/>
            <w:shd w:val="clear" w:color="auto" w:fill="F1E9D2"/>
            <w:vAlign w:val="center"/>
          </w:tcPr>
          <w:p>
            <w:r/>
            <w:r>
              <w:rPr>
                <w:rFonts w:ascii="Calibri" w:hAnsi="Calibri"/>
                <w:b/>
                <w:color w:val="1A1A1A"/>
                <w:sz w:val="20"/>
              </w:rPr>
              <w:t>Load</w:t>
            </w:r>
          </w:p>
        </w:tc>
        <w:tc>
          <w:tcPr>
            <w:tcW w:type="dxa" w:w="5953"/>
            <w:shd w:val="clear" w:color="auto" w:fill="F1E9D2"/>
            <w:vAlign w:val="center"/>
          </w:tcPr>
          <w:p>
            <w:r/>
            <w:r>
              <w:rPr>
                <w:rFonts w:ascii="Calibri" w:hAnsi="Calibri"/>
                <w:b/>
                <w:color w:val="1A1A1A"/>
                <w:sz w:val="20"/>
              </w:rPr>
              <w:t>Positioning</w:t>
            </w:r>
          </w:p>
        </w:tc>
      </w:tr>
      <w:tr>
        <w:tc>
          <w:tcPr>
            <w:tcW w:type="dxa" w:w="1984"/>
            <w:vAlign w:val="center"/>
          </w:tcPr>
          <w:p>
            <w:pPr>
              <w:jc w:val="left"/>
            </w:pPr>
            <w:r/>
            <w:r>
              <w:rPr>
                <w:rFonts w:ascii="Calibri" w:hAnsi="Calibri"/>
                <w:color w:val="1A1A1A"/>
                <w:sz w:val="20"/>
              </w:rPr>
              <w:t>Conservative</w:t>
            </w:r>
          </w:p>
        </w:tc>
        <w:tc>
          <w:tcPr>
            <w:tcW w:type="dxa" w:w="1134"/>
            <w:vAlign w:val="center"/>
          </w:tcPr>
          <w:p>
            <w:pPr>
              <w:jc w:val="right"/>
            </w:pPr>
            <w:r/>
            <w:r>
              <w:rPr>
                <w:rFonts w:ascii="Calibri" w:hAnsi="Calibri"/>
                <w:color w:val="1A1A1A"/>
                <w:sz w:val="20"/>
              </w:rPr>
              <w:t>32 %</w:t>
            </w:r>
          </w:p>
        </w:tc>
        <w:tc>
          <w:tcPr>
            <w:tcW w:type="dxa" w:w="5953"/>
            <w:vAlign w:val="center"/>
          </w:tcPr>
          <w:p>
            <w:pPr>
              <w:jc w:val="right"/>
            </w:pPr>
            <w:r/>
            <w:r>
              <w:rPr>
                <w:rFonts w:ascii="Calibri" w:hAnsi="Calibri"/>
                <w:color w:val="1A1A1A"/>
                <w:sz w:val="20"/>
              </w:rPr>
              <w:t>Ramp-up / weather-constrained resilience case.</w:t>
            </w:r>
          </w:p>
        </w:tc>
      </w:tr>
      <w:tr>
        <w:tc>
          <w:tcPr>
            <w:tcW w:type="dxa" w:w="1984"/>
            <w:vAlign w:val="center"/>
          </w:tcPr>
          <w:p>
            <w:pPr>
              <w:jc w:val="left"/>
            </w:pPr>
            <w:r/>
            <w:r>
              <w:rPr>
                <w:rFonts w:ascii="Calibri" w:hAnsi="Calibri"/>
                <w:color w:val="1A1A1A"/>
                <w:sz w:val="20"/>
              </w:rPr>
              <w:t>Base Case</w:t>
            </w:r>
          </w:p>
        </w:tc>
        <w:tc>
          <w:tcPr>
            <w:tcW w:type="dxa" w:w="1134"/>
            <w:vAlign w:val="center"/>
          </w:tcPr>
          <w:p>
            <w:pPr>
              <w:jc w:val="right"/>
            </w:pPr>
            <w:r/>
            <w:r>
              <w:rPr>
                <w:rFonts w:ascii="Calibri" w:hAnsi="Calibri"/>
                <w:color w:val="1A1A1A"/>
                <w:sz w:val="20"/>
              </w:rPr>
              <w:t>58 %</w:t>
            </w:r>
          </w:p>
        </w:tc>
        <w:tc>
          <w:tcPr>
            <w:tcW w:type="dxa" w:w="5953"/>
            <w:vAlign w:val="center"/>
          </w:tcPr>
          <w:p>
            <w:pPr>
              <w:jc w:val="right"/>
            </w:pPr>
            <w:r/>
            <w:r>
              <w:rPr>
                <w:rFonts w:ascii="Calibri" w:hAnsi="Calibri"/>
                <w:color w:val="1A1A1A"/>
                <w:sz w:val="20"/>
              </w:rPr>
              <w:t>Practical steady operating case below the baseline 70 % benchmark.</w:t>
            </w:r>
          </w:p>
        </w:tc>
      </w:tr>
      <w:tr>
        <w:tc>
          <w:tcPr>
            <w:tcW w:type="dxa" w:w="1984"/>
            <w:vAlign w:val="center"/>
          </w:tcPr>
          <w:p>
            <w:pPr>
              <w:jc w:val="left"/>
            </w:pPr>
            <w:r/>
            <w:r>
              <w:rPr>
                <w:rFonts w:ascii="Calibri" w:hAnsi="Calibri"/>
                <w:color w:val="1A1A1A"/>
                <w:sz w:val="20"/>
              </w:rPr>
              <w:t>Strong</w:t>
            </w:r>
          </w:p>
        </w:tc>
        <w:tc>
          <w:tcPr>
            <w:tcW w:type="dxa" w:w="1134"/>
            <w:vAlign w:val="center"/>
          </w:tcPr>
          <w:p>
            <w:pPr>
              <w:jc w:val="right"/>
            </w:pPr>
            <w:r/>
            <w:r>
              <w:rPr>
                <w:rFonts w:ascii="Calibri" w:hAnsi="Calibri"/>
                <w:color w:val="1A1A1A"/>
                <w:sz w:val="20"/>
              </w:rPr>
              <w:t>73 %</w:t>
            </w:r>
          </w:p>
        </w:tc>
        <w:tc>
          <w:tcPr>
            <w:tcW w:type="dxa" w:w="5953"/>
            <w:vAlign w:val="center"/>
          </w:tcPr>
          <w:p>
            <w:pPr>
              <w:jc w:val="right"/>
            </w:pPr>
            <w:r/>
            <w:r>
              <w:rPr>
                <w:rFonts w:ascii="Calibri" w:hAnsi="Calibri"/>
                <w:color w:val="1A1A1A"/>
                <w:sz w:val="20"/>
              </w:rPr>
              <w:t>Demand-strong case, still below the baseline full-upside forecast.</w:t>
            </w:r>
          </w:p>
        </w:tc>
      </w:tr>
    </w:tbl>
    <w:p>
      <w:pPr>
        <w:spacing w:before="200" w:after="40"/>
      </w:pPr>
      <w:r>
        <w:rPr>
          <w:rFonts w:ascii="Calibri" w:hAnsi="Calibri"/>
          <w:b/>
          <w:color w:val="1A1A1A"/>
          <w:sz w:val="24"/>
        </w:rPr>
        <w:t>Revenue by scenario (annual)</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118"/>
            <w:shd w:val="clear" w:color="auto" w:fill="F1E9D2"/>
            <w:vAlign w:val="center"/>
          </w:tcPr>
          <w:p>
            <w:r/>
            <w:r>
              <w:rPr>
                <w:rFonts w:ascii="Calibri" w:hAnsi="Calibri"/>
                <w:b/>
                <w:color w:val="1A1A1A"/>
                <w:sz w:val="20"/>
              </w:rPr>
              <w:t>Revenue stream</w:t>
            </w:r>
          </w:p>
        </w:tc>
        <w:tc>
          <w:tcPr>
            <w:tcW w:type="dxa" w:w="1701"/>
            <w:shd w:val="clear" w:color="auto" w:fill="F1E9D2"/>
            <w:vAlign w:val="center"/>
          </w:tcPr>
          <w:p>
            <w:r/>
            <w:r>
              <w:rPr>
                <w:rFonts w:ascii="Calibri" w:hAnsi="Calibri"/>
                <w:b/>
                <w:color w:val="1A1A1A"/>
                <w:sz w:val="20"/>
              </w:rPr>
              <w:t>Conservative</w:t>
            </w:r>
          </w:p>
        </w:tc>
        <w:tc>
          <w:tcPr>
            <w:tcW w:type="dxa" w:w="1701"/>
            <w:shd w:val="clear" w:color="auto" w:fill="F1E9D2"/>
            <w:vAlign w:val="center"/>
          </w:tcPr>
          <w:p>
            <w:r/>
            <w:r>
              <w:rPr>
                <w:rFonts w:ascii="Calibri" w:hAnsi="Calibri"/>
                <w:b/>
                <w:color w:val="1A1A1A"/>
                <w:sz w:val="20"/>
              </w:rPr>
              <w:t>Base Case</w:t>
            </w:r>
          </w:p>
        </w:tc>
        <w:tc>
          <w:tcPr>
            <w:tcW w:type="dxa" w:w="1701"/>
            <w:shd w:val="clear" w:color="auto" w:fill="F1E9D2"/>
            <w:vAlign w:val="center"/>
          </w:tcPr>
          <w:p>
            <w:r/>
            <w:r>
              <w:rPr>
                <w:rFonts w:ascii="Calibri" w:hAnsi="Calibri"/>
                <w:b/>
                <w:color w:val="1A1A1A"/>
                <w:sz w:val="20"/>
              </w:rPr>
              <w:t>Strong</w:t>
            </w:r>
          </w:p>
        </w:tc>
      </w:tr>
      <w:tr>
        <w:tc>
          <w:tcPr>
            <w:tcW w:type="dxa" w:w="3118"/>
            <w:vAlign w:val="center"/>
          </w:tcPr>
          <w:p>
            <w:pPr>
              <w:jc w:val="left"/>
            </w:pPr>
            <w:r/>
            <w:r>
              <w:rPr>
                <w:rFonts w:ascii="Calibri" w:hAnsi="Calibri"/>
                <w:color w:val="1A1A1A"/>
                <w:sz w:val="20"/>
              </w:rPr>
              <w:t>Day ticket revenue</w:t>
            </w:r>
          </w:p>
        </w:tc>
        <w:tc>
          <w:tcPr>
            <w:tcW w:type="dxa" w:w="1701"/>
            <w:vAlign w:val="center"/>
          </w:tcPr>
          <w:p>
            <w:pPr>
              <w:jc w:val="right"/>
            </w:pPr>
            <w:r/>
            <w:r>
              <w:rPr>
                <w:rFonts w:ascii="Calibri" w:hAnsi="Calibri"/>
                <w:color w:val="1A1A1A"/>
                <w:sz w:val="20"/>
              </w:rPr>
              <w:t>AED 2.0 M</w:t>
            </w:r>
          </w:p>
        </w:tc>
        <w:tc>
          <w:tcPr>
            <w:tcW w:type="dxa" w:w="1701"/>
            <w:vAlign w:val="center"/>
          </w:tcPr>
          <w:p>
            <w:pPr>
              <w:jc w:val="right"/>
            </w:pPr>
            <w:r/>
            <w:r>
              <w:rPr>
                <w:rFonts w:ascii="Calibri" w:hAnsi="Calibri"/>
                <w:color w:val="1A1A1A"/>
                <w:sz w:val="20"/>
              </w:rPr>
              <w:t>AED 3.7 M</w:t>
            </w:r>
          </w:p>
        </w:tc>
        <w:tc>
          <w:tcPr>
            <w:tcW w:type="dxa" w:w="1701"/>
            <w:vAlign w:val="center"/>
          </w:tcPr>
          <w:p>
            <w:pPr>
              <w:jc w:val="right"/>
            </w:pPr>
            <w:r/>
            <w:r>
              <w:rPr>
                <w:rFonts w:ascii="Calibri" w:hAnsi="Calibri"/>
                <w:color w:val="1A1A1A"/>
                <w:sz w:val="20"/>
              </w:rPr>
              <w:t>AED 4.7 M</w:t>
            </w:r>
          </w:p>
        </w:tc>
      </w:tr>
      <w:tr>
        <w:tc>
          <w:tcPr>
            <w:tcW w:type="dxa" w:w="3118"/>
            <w:vAlign w:val="center"/>
          </w:tcPr>
          <w:p>
            <w:pPr>
              <w:jc w:val="left"/>
            </w:pPr>
            <w:r/>
            <w:r>
              <w:rPr>
                <w:rFonts w:ascii="Calibri" w:hAnsi="Calibri"/>
                <w:color w:val="1A1A1A"/>
                <w:sz w:val="20"/>
              </w:rPr>
              <w:t>Night ticket revenue</w:t>
            </w:r>
          </w:p>
        </w:tc>
        <w:tc>
          <w:tcPr>
            <w:tcW w:type="dxa" w:w="1701"/>
            <w:vAlign w:val="center"/>
          </w:tcPr>
          <w:p>
            <w:pPr>
              <w:jc w:val="right"/>
            </w:pPr>
            <w:r/>
            <w:r>
              <w:rPr>
                <w:rFonts w:ascii="Calibri" w:hAnsi="Calibri"/>
                <w:color w:val="1A1A1A"/>
                <w:sz w:val="20"/>
              </w:rPr>
              <w:t>AED 8.3 M</w:t>
            </w:r>
          </w:p>
        </w:tc>
        <w:tc>
          <w:tcPr>
            <w:tcW w:type="dxa" w:w="1701"/>
            <w:vAlign w:val="center"/>
          </w:tcPr>
          <w:p>
            <w:pPr>
              <w:jc w:val="right"/>
            </w:pPr>
            <w:r/>
            <w:r>
              <w:rPr>
                <w:rFonts w:ascii="Calibri" w:hAnsi="Calibri"/>
                <w:color w:val="1A1A1A"/>
                <w:sz w:val="20"/>
              </w:rPr>
              <w:t>AED 15.0 M</w:t>
            </w:r>
          </w:p>
        </w:tc>
        <w:tc>
          <w:tcPr>
            <w:tcW w:type="dxa" w:w="1701"/>
            <w:vAlign w:val="center"/>
          </w:tcPr>
          <w:p>
            <w:pPr>
              <w:jc w:val="right"/>
            </w:pPr>
            <w:r/>
            <w:r>
              <w:rPr>
                <w:rFonts w:ascii="Calibri" w:hAnsi="Calibri"/>
                <w:color w:val="1A1A1A"/>
                <w:sz w:val="20"/>
              </w:rPr>
              <w:t>AED 18.8 M</w:t>
            </w:r>
          </w:p>
        </w:tc>
      </w:tr>
      <w:tr>
        <w:tc>
          <w:tcPr>
            <w:tcW w:type="dxa" w:w="3118"/>
            <w:vAlign w:val="center"/>
          </w:tcPr>
          <w:p>
            <w:pPr>
              <w:jc w:val="left"/>
            </w:pPr>
            <w:r/>
            <w:r>
              <w:rPr>
                <w:rFonts w:ascii="Calibri" w:hAnsi="Calibri"/>
                <w:color w:val="1A1A1A"/>
                <w:sz w:val="20"/>
              </w:rPr>
              <w:t>F&amp;B / retail</w:t>
            </w:r>
          </w:p>
        </w:tc>
        <w:tc>
          <w:tcPr>
            <w:tcW w:type="dxa" w:w="1701"/>
            <w:vAlign w:val="center"/>
          </w:tcPr>
          <w:p>
            <w:pPr>
              <w:jc w:val="right"/>
            </w:pPr>
            <w:r/>
            <w:r>
              <w:rPr>
                <w:rFonts w:ascii="Calibri" w:hAnsi="Calibri"/>
                <w:color w:val="1A1A1A"/>
                <w:sz w:val="20"/>
              </w:rPr>
              <w:t>AED 0.3 M</w:t>
            </w:r>
          </w:p>
        </w:tc>
        <w:tc>
          <w:tcPr>
            <w:tcW w:type="dxa" w:w="1701"/>
            <w:vAlign w:val="center"/>
          </w:tcPr>
          <w:p>
            <w:pPr>
              <w:jc w:val="right"/>
            </w:pPr>
            <w:r/>
            <w:r>
              <w:rPr>
                <w:rFonts w:ascii="Calibri" w:hAnsi="Calibri"/>
                <w:color w:val="1A1A1A"/>
                <w:sz w:val="20"/>
              </w:rPr>
              <w:t>AED 0.7 M</w:t>
            </w:r>
          </w:p>
        </w:tc>
        <w:tc>
          <w:tcPr>
            <w:tcW w:type="dxa" w:w="1701"/>
            <w:vAlign w:val="center"/>
          </w:tcPr>
          <w:p>
            <w:pPr>
              <w:jc w:val="right"/>
            </w:pPr>
            <w:r/>
            <w:r>
              <w:rPr>
                <w:rFonts w:ascii="Calibri" w:hAnsi="Calibri"/>
                <w:color w:val="1A1A1A"/>
                <w:sz w:val="20"/>
              </w:rPr>
              <w:t>AED 1.1 M</w:t>
            </w:r>
          </w:p>
        </w:tc>
      </w:tr>
      <w:tr>
        <w:tc>
          <w:tcPr>
            <w:tcW w:type="dxa" w:w="3118"/>
            <w:vAlign w:val="center"/>
          </w:tcPr>
          <w:p>
            <w:pPr>
              <w:jc w:val="left"/>
            </w:pPr>
            <w:r/>
            <w:r>
              <w:rPr>
                <w:rFonts w:ascii="Calibri" w:hAnsi="Calibri"/>
                <w:color w:val="1A1A1A"/>
                <w:sz w:val="20"/>
              </w:rPr>
              <w:t>Sponsorship — content + branding</w:t>
            </w:r>
          </w:p>
        </w:tc>
        <w:tc>
          <w:tcPr>
            <w:tcW w:type="dxa" w:w="1701"/>
            <w:vAlign w:val="center"/>
          </w:tcPr>
          <w:p>
            <w:pPr>
              <w:jc w:val="right"/>
            </w:pPr>
            <w:r/>
            <w:r>
              <w:rPr>
                <w:rFonts w:ascii="Calibri" w:hAnsi="Calibri"/>
                <w:color w:val="1A1A1A"/>
                <w:sz w:val="20"/>
              </w:rPr>
              <w:t>AED 0.7 M</w:t>
            </w:r>
          </w:p>
        </w:tc>
        <w:tc>
          <w:tcPr>
            <w:tcW w:type="dxa" w:w="1701"/>
            <w:vAlign w:val="center"/>
          </w:tcPr>
          <w:p>
            <w:pPr>
              <w:jc w:val="right"/>
            </w:pPr>
            <w:r/>
            <w:r>
              <w:rPr>
                <w:rFonts w:ascii="Calibri" w:hAnsi="Calibri"/>
                <w:color w:val="1A1A1A"/>
                <w:sz w:val="20"/>
              </w:rPr>
              <w:t>AED 1.6 M</w:t>
            </w:r>
          </w:p>
        </w:tc>
        <w:tc>
          <w:tcPr>
            <w:tcW w:type="dxa" w:w="1701"/>
            <w:vAlign w:val="center"/>
          </w:tcPr>
          <w:p>
            <w:pPr>
              <w:jc w:val="right"/>
            </w:pPr>
            <w:r/>
            <w:r>
              <w:rPr>
                <w:rFonts w:ascii="Calibri" w:hAnsi="Calibri"/>
                <w:color w:val="1A1A1A"/>
                <w:sz w:val="20"/>
              </w:rPr>
              <w:t>AED 2.2 M</w:t>
            </w:r>
          </w:p>
        </w:tc>
      </w:tr>
      <w:tr>
        <w:tc>
          <w:tcPr>
            <w:tcW w:type="dxa" w:w="3118"/>
            <w:vAlign w:val="center"/>
          </w:tcPr>
          <w:p>
            <w:pPr>
              <w:jc w:val="left"/>
            </w:pPr>
            <w:r/>
            <w:r>
              <w:rPr>
                <w:rFonts w:ascii="Calibri" w:hAnsi="Calibri"/>
                <w:color w:val="1A1A1A"/>
                <w:sz w:val="20"/>
              </w:rPr>
              <w:t>Museum partnership + cross-sell</w:t>
            </w:r>
          </w:p>
        </w:tc>
        <w:tc>
          <w:tcPr>
            <w:tcW w:type="dxa" w:w="1701"/>
            <w:vAlign w:val="center"/>
          </w:tcPr>
          <w:p>
            <w:pPr>
              <w:jc w:val="right"/>
            </w:pPr>
            <w:r/>
            <w:r>
              <w:rPr>
                <w:rFonts w:ascii="Calibri" w:hAnsi="Calibri"/>
                <w:color w:val="1A1A1A"/>
                <w:sz w:val="20"/>
              </w:rPr>
              <w:t>AED 0.1 M</w:t>
            </w:r>
          </w:p>
        </w:tc>
        <w:tc>
          <w:tcPr>
            <w:tcW w:type="dxa" w:w="1701"/>
            <w:vAlign w:val="center"/>
          </w:tcPr>
          <w:p>
            <w:pPr>
              <w:jc w:val="right"/>
            </w:pPr>
            <w:r/>
            <w:r>
              <w:rPr>
                <w:rFonts w:ascii="Calibri" w:hAnsi="Calibri"/>
                <w:color w:val="1A1A1A"/>
                <w:sz w:val="20"/>
              </w:rPr>
              <w:t>AED 0.4 M</w:t>
            </w:r>
          </w:p>
        </w:tc>
        <w:tc>
          <w:tcPr>
            <w:tcW w:type="dxa" w:w="1701"/>
            <w:vAlign w:val="center"/>
          </w:tcPr>
          <w:p>
            <w:pPr>
              <w:jc w:val="right"/>
            </w:pPr>
            <w:r/>
            <w:r>
              <w:rPr>
                <w:rFonts w:ascii="Calibri" w:hAnsi="Calibri"/>
                <w:color w:val="1A1A1A"/>
                <w:sz w:val="20"/>
              </w:rPr>
              <w:t>AED 0.5 M</w:t>
            </w:r>
          </w:p>
        </w:tc>
      </w:tr>
      <w:tr>
        <w:tc>
          <w:tcPr>
            <w:tcW w:type="dxa" w:w="3118"/>
            <w:vAlign w:val="center"/>
          </w:tcPr>
          <w:p>
            <w:pPr>
              <w:jc w:val="left"/>
            </w:pPr>
            <w:r/>
            <w:r>
              <w:rPr>
                <w:rFonts w:ascii="Calibri" w:hAnsi="Calibri"/>
                <w:color w:val="1A1A1A"/>
                <w:sz w:val="20"/>
              </w:rPr>
              <w:t>Private gondola + VIP events</w:t>
            </w:r>
          </w:p>
        </w:tc>
        <w:tc>
          <w:tcPr>
            <w:tcW w:type="dxa" w:w="1701"/>
            <w:vAlign w:val="center"/>
          </w:tcPr>
          <w:p>
            <w:pPr>
              <w:jc w:val="right"/>
            </w:pPr>
            <w:r/>
            <w:r>
              <w:rPr>
                <w:rFonts w:ascii="Calibri" w:hAnsi="Calibri"/>
                <w:color w:val="1A1A1A"/>
                <w:sz w:val="20"/>
              </w:rPr>
              <w:t>AED 0.4 M</w:t>
            </w:r>
          </w:p>
        </w:tc>
        <w:tc>
          <w:tcPr>
            <w:tcW w:type="dxa" w:w="1701"/>
            <w:vAlign w:val="center"/>
          </w:tcPr>
          <w:p>
            <w:pPr>
              <w:jc w:val="right"/>
            </w:pPr>
            <w:r/>
            <w:r>
              <w:rPr>
                <w:rFonts w:ascii="Calibri" w:hAnsi="Calibri"/>
                <w:color w:val="1A1A1A"/>
                <w:sz w:val="20"/>
              </w:rPr>
              <w:t>AED 0.8 M</w:t>
            </w:r>
          </w:p>
        </w:tc>
        <w:tc>
          <w:tcPr>
            <w:tcW w:type="dxa" w:w="1701"/>
            <w:vAlign w:val="center"/>
          </w:tcPr>
          <w:p>
            <w:pPr>
              <w:jc w:val="right"/>
            </w:pPr>
            <w:r/>
            <w:r>
              <w:rPr>
                <w:rFonts w:ascii="Calibri" w:hAnsi="Calibri"/>
                <w:color w:val="1A1A1A"/>
                <w:sz w:val="20"/>
              </w:rPr>
              <w:t>AED 1.0 M</w:t>
            </w:r>
          </w:p>
        </w:tc>
      </w:tr>
      <w:tr>
        <w:tc>
          <w:tcPr>
            <w:tcW w:type="dxa" w:w="3118"/>
            <w:vAlign w:val="center"/>
          </w:tcPr>
          <w:p>
            <w:pPr>
              <w:jc w:val="left"/>
            </w:pPr>
            <w:r/>
            <w:r>
              <w:rPr>
                <w:rFonts w:ascii="Calibri" w:hAnsi="Calibri"/>
                <w:color w:val="1A1A1A"/>
                <w:sz w:val="20"/>
              </w:rPr>
              <w:t>Total annual revenue</w:t>
            </w:r>
          </w:p>
        </w:tc>
        <w:tc>
          <w:tcPr>
            <w:tcW w:type="dxa" w:w="1701"/>
            <w:vAlign w:val="center"/>
          </w:tcPr>
          <w:p>
            <w:pPr>
              <w:jc w:val="right"/>
            </w:pPr>
            <w:r/>
            <w:r>
              <w:rPr>
                <w:rFonts w:ascii="Calibri" w:hAnsi="Calibri"/>
                <w:color w:val="1A1A1A"/>
                <w:sz w:val="20"/>
              </w:rPr>
              <w:t>AED 11.8 M</w:t>
            </w:r>
          </w:p>
        </w:tc>
        <w:tc>
          <w:tcPr>
            <w:tcW w:type="dxa" w:w="1701"/>
            <w:vAlign w:val="center"/>
          </w:tcPr>
          <w:p>
            <w:pPr>
              <w:jc w:val="right"/>
            </w:pPr>
            <w:r/>
            <w:r>
              <w:rPr>
                <w:rFonts w:ascii="Calibri" w:hAnsi="Calibri"/>
                <w:color w:val="1A1A1A"/>
                <w:sz w:val="20"/>
              </w:rPr>
              <w:t>AED 22.2 M</w:t>
            </w:r>
          </w:p>
        </w:tc>
        <w:tc>
          <w:tcPr>
            <w:tcW w:type="dxa" w:w="1701"/>
            <w:vAlign w:val="center"/>
          </w:tcPr>
          <w:p>
            <w:pPr>
              <w:jc w:val="right"/>
            </w:pPr>
            <w:r/>
            <w:r>
              <w:rPr>
                <w:rFonts w:ascii="Calibri" w:hAnsi="Calibri"/>
                <w:color w:val="1A1A1A"/>
                <w:sz w:val="20"/>
              </w:rPr>
              <w:t>AED 28.3 M</w:t>
            </w:r>
          </w:p>
        </w:tc>
      </w:tr>
    </w:tbl>
    <w:p>
      <w:pPr>
        <w:spacing w:after="80"/>
      </w:pPr>
      <w:r>
        <w:rPr>
          <w:rFonts w:ascii="Calibri" w:hAnsi="Calibri"/>
          <w:b w:val="0"/>
          <w:i/>
          <w:color w:val="555555"/>
          <w:sz w:val="20"/>
        </w:rPr>
        <w:t>Non-ticket revenue lines are trimmed versus the baseline blueprint, reflecting a more conservative sponsor-and-event ramp.</w:t>
      </w:r>
    </w:p>
    <w:p>
      <w:pPr>
        <w:spacing w:before="360" w:after="160"/>
      </w:pPr>
      <w:r>
        <w:rPr>
          <w:rFonts w:ascii="Calibri" w:hAnsi="Calibri"/>
          <w:b/>
          <w:color w:val="1A1A1A"/>
          <w:sz w:val="40"/>
        </w:rPr>
        <w:t>9. EBITDA and payback</w:t>
      </w:r>
    </w:p>
    <w:p>
      <w:pPr>
        <w:spacing w:after="80"/>
      </w:pPr>
      <w:r>
        <w:rPr>
          <w:rFonts w:ascii="Calibri" w:hAnsi="Calibri"/>
          <w:b w:val="0"/>
          <w:i w:val="0"/>
          <w:color w:val="1A1A1A"/>
          <w:sz w:val="22"/>
        </w:rPr>
        <w:t>OpEx is held close to the baseline structure documented in pitch-blueprint.md Part 4 — AED 9.5 M / 9.8 M / 10.1 M across Conservative / Base / Strong, reflecting variable staff, F&amp;B and event-operations loading.</w:t>
      </w:r>
    </w:p>
    <w:tbl>
      <w:tblPr>
        <w:tblStyle w:val="LightGrid-Accent1"/>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1701"/>
            <w:shd w:val="clear" w:color="auto" w:fill="F1E9D2"/>
            <w:vAlign w:val="center"/>
          </w:tcPr>
          <w:p>
            <w:r/>
            <w:r>
              <w:rPr>
                <w:rFonts w:ascii="Calibri" w:hAnsi="Calibri"/>
                <w:b/>
                <w:color w:val="1A1A1A"/>
                <w:sz w:val="20"/>
              </w:rPr>
              <w:t>Scenario</w:t>
            </w:r>
          </w:p>
        </w:tc>
        <w:tc>
          <w:tcPr>
            <w:tcW w:type="dxa" w:w="1417"/>
            <w:shd w:val="clear" w:color="auto" w:fill="F1E9D2"/>
            <w:vAlign w:val="center"/>
          </w:tcPr>
          <w:p>
            <w:r/>
            <w:r>
              <w:rPr>
                <w:rFonts w:ascii="Calibri" w:hAnsi="Calibri"/>
                <w:b/>
                <w:color w:val="1A1A1A"/>
                <w:sz w:val="20"/>
              </w:rPr>
              <w:t>Revenue</w:t>
            </w:r>
          </w:p>
        </w:tc>
        <w:tc>
          <w:tcPr>
            <w:tcW w:type="dxa" w:w="1417"/>
            <w:shd w:val="clear" w:color="auto" w:fill="F1E9D2"/>
            <w:vAlign w:val="center"/>
          </w:tcPr>
          <w:p>
            <w:r/>
            <w:r>
              <w:rPr>
                <w:rFonts w:ascii="Calibri" w:hAnsi="Calibri"/>
                <w:b/>
                <w:color w:val="1A1A1A"/>
                <w:sz w:val="20"/>
              </w:rPr>
              <w:t>OpEx</w:t>
            </w:r>
          </w:p>
        </w:tc>
        <w:tc>
          <w:tcPr>
            <w:tcW w:type="dxa" w:w="1417"/>
            <w:shd w:val="clear" w:color="auto" w:fill="F1E9D2"/>
            <w:vAlign w:val="center"/>
          </w:tcPr>
          <w:p>
            <w:r/>
            <w:r>
              <w:rPr>
                <w:rFonts w:ascii="Calibri" w:hAnsi="Calibri"/>
                <w:b/>
                <w:color w:val="1A1A1A"/>
                <w:sz w:val="20"/>
              </w:rPr>
              <w:t>EBITDA</w:t>
            </w:r>
          </w:p>
        </w:tc>
        <w:tc>
          <w:tcPr>
            <w:tcW w:type="dxa" w:w="1134"/>
            <w:shd w:val="clear" w:color="auto" w:fill="F1E9D2"/>
            <w:vAlign w:val="center"/>
          </w:tcPr>
          <w:p>
            <w:r/>
            <w:r>
              <w:rPr>
                <w:rFonts w:ascii="Calibri" w:hAnsi="Calibri"/>
                <w:b/>
                <w:color w:val="1A1A1A"/>
                <w:sz w:val="20"/>
              </w:rPr>
              <w:t>Margin</w:t>
            </w:r>
          </w:p>
        </w:tc>
        <w:tc>
          <w:tcPr>
            <w:tcW w:type="dxa" w:w="1984"/>
            <w:shd w:val="clear" w:color="auto" w:fill="F1E9D2"/>
            <w:vAlign w:val="center"/>
          </w:tcPr>
          <w:p>
            <w:r/>
            <w:r>
              <w:rPr>
                <w:rFonts w:ascii="Calibri" w:hAnsi="Calibri"/>
                <w:b/>
                <w:color w:val="1A1A1A"/>
                <w:sz w:val="20"/>
              </w:rPr>
              <w:t>Simple payback</w:t>
            </w:r>
          </w:p>
        </w:tc>
      </w:tr>
      <w:tr>
        <w:tc>
          <w:tcPr>
            <w:tcW w:type="dxa" w:w="1701"/>
            <w:vAlign w:val="center"/>
          </w:tcPr>
          <w:p>
            <w:pPr>
              <w:jc w:val="left"/>
            </w:pPr>
            <w:r/>
            <w:r>
              <w:rPr>
                <w:rFonts w:ascii="Calibri" w:hAnsi="Calibri"/>
                <w:color w:val="1A1A1A"/>
                <w:sz w:val="20"/>
              </w:rPr>
              <w:t>Conservative</w:t>
            </w:r>
          </w:p>
        </w:tc>
        <w:tc>
          <w:tcPr>
            <w:tcW w:type="dxa" w:w="1417"/>
            <w:vAlign w:val="center"/>
          </w:tcPr>
          <w:p>
            <w:pPr>
              <w:jc w:val="right"/>
            </w:pPr>
            <w:r/>
            <w:r>
              <w:rPr>
                <w:rFonts w:ascii="Calibri" w:hAnsi="Calibri"/>
                <w:color w:val="1A1A1A"/>
                <w:sz w:val="20"/>
              </w:rPr>
              <w:t>AED 11.8 M</w:t>
            </w:r>
          </w:p>
        </w:tc>
        <w:tc>
          <w:tcPr>
            <w:tcW w:type="dxa" w:w="1417"/>
            <w:vAlign w:val="center"/>
          </w:tcPr>
          <w:p>
            <w:pPr>
              <w:jc w:val="right"/>
            </w:pPr>
            <w:r/>
            <w:r>
              <w:rPr>
                <w:rFonts w:ascii="Calibri" w:hAnsi="Calibri"/>
                <w:color w:val="1A1A1A"/>
                <w:sz w:val="20"/>
              </w:rPr>
              <w:t>AED 9.5 M</w:t>
            </w:r>
          </w:p>
        </w:tc>
        <w:tc>
          <w:tcPr>
            <w:tcW w:type="dxa" w:w="1417"/>
            <w:vAlign w:val="center"/>
          </w:tcPr>
          <w:p>
            <w:pPr>
              <w:jc w:val="right"/>
            </w:pPr>
            <w:r/>
            <w:r>
              <w:rPr>
                <w:rFonts w:ascii="Calibri" w:hAnsi="Calibri"/>
                <w:color w:val="1A1A1A"/>
                <w:sz w:val="20"/>
              </w:rPr>
              <w:t>AED 2.3 M</w:t>
            </w:r>
          </w:p>
        </w:tc>
        <w:tc>
          <w:tcPr>
            <w:tcW w:type="dxa" w:w="1134"/>
            <w:vAlign w:val="center"/>
          </w:tcPr>
          <w:p>
            <w:pPr>
              <w:jc w:val="right"/>
            </w:pPr>
            <w:r/>
            <w:r>
              <w:rPr>
                <w:rFonts w:ascii="Calibri" w:hAnsi="Calibri"/>
                <w:color w:val="1A1A1A"/>
                <w:sz w:val="20"/>
              </w:rPr>
              <w:t>19 %</w:t>
            </w:r>
          </w:p>
        </w:tc>
        <w:tc>
          <w:tcPr>
            <w:tcW w:type="dxa" w:w="1984"/>
            <w:vAlign w:val="center"/>
          </w:tcPr>
          <w:p>
            <w:pPr>
              <w:jc w:val="right"/>
            </w:pPr>
            <w:r/>
            <w:r>
              <w:rPr>
                <w:rFonts w:ascii="Calibri" w:hAnsi="Calibri"/>
                <w:color w:val="1A1A1A"/>
                <w:sz w:val="20"/>
              </w:rPr>
              <w:t>~11.3 yrs</w:t>
            </w:r>
          </w:p>
        </w:tc>
      </w:tr>
      <w:tr>
        <w:tc>
          <w:tcPr>
            <w:tcW w:type="dxa" w:w="1701"/>
            <w:vAlign w:val="center"/>
          </w:tcPr>
          <w:p>
            <w:pPr>
              <w:jc w:val="left"/>
            </w:pPr>
            <w:r/>
            <w:r>
              <w:rPr>
                <w:rFonts w:ascii="Calibri" w:hAnsi="Calibri"/>
                <w:color w:val="1A1A1A"/>
                <w:sz w:val="20"/>
              </w:rPr>
              <w:t>Base Case</w:t>
            </w:r>
          </w:p>
        </w:tc>
        <w:tc>
          <w:tcPr>
            <w:tcW w:type="dxa" w:w="1417"/>
            <w:vAlign w:val="center"/>
          </w:tcPr>
          <w:p>
            <w:pPr>
              <w:jc w:val="right"/>
            </w:pPr>
            <w:r/>
            <w:r>
              <w:rPr>
                <w:rFonts w:ascii="Calibri" w:hAnsi="Calibri"/>
                <w:color w:val="1A1A1A"/>
                <w:sz w:val="20"/>
              </w:rPr>
              <w:t>AED 22.2 M</w:t>
            </w:r>
          </w:p>
        </w:tc>
        <w:tc>
          <w:tcPr>
            <w:tcW w:type="dxa" w:w="1417"/>
            <w:vAlign w:val="center"/>
          </w:tcPr>
          <w:p>
            <w:pPr>
              <w:jc w:val="right"/>
            </w:pPr>
            <w:r/>
            <w:r>
              <w:rPr>
                <w:rFonts w:ascii="Calibri" w:hAnsi="Calibri"/>
                <w:color w:val="1A1A1A"/>
                <w:sz w:val="20"/>
              </w:rPr>
              <w:t>AED 9.8 M</w:t>
            </w:r>
          </w:p>
        </w:tc>
        <w:tc>
          <w:tcPr>
            <w:tcW w:type="dxa" w:w="1417"/>
            <w:vAlign w:val="center"/>
          </w:tcPr>
          <w:p>
            <w:pPr>
              <w:jc w:val="right"/>
            </w:pPr>
            <w:r/>
            <w:r>
              <w:rPr>
                <w:rFonts w:ascii="Calibri" w:hAnsi="Calibri"/>
                <w:color w:val="1A1A1A"/>
                <w:sz w:val="20"/>
              </w:rPr>
              <w:t>AED 12.4 M</w:t>
            </w:r>
          </w:p>
        </w:tc>
        <w:tc>
          <w:tcPr>
            <w:tcW w:type="dxa" w:w="1134"/>
            <w:vAlign w:val="center"/>
          </w:tcPr>
          <w:p>
            <w:pPr>
              <w:jc w:val="right"/>
            </w:pPr>
            <w:r/>
            <w:r>
              <w:rPr>
                <w:rFonts w:ascii="Calibri" w:hAnsi="Calibri"/>
                <w:color w:val="1A1A1A"/>
                <w:sz w:val="20"/>
              </w:rPr>
              <w:t>56 %</w:t>
            </w:r>
          </w:p>
        </w:tc>
        <w:tc>
          <w:tcPr>
            <w:tcW w:type="dxa" w:w="1984"/>
            <w:vAlign w:val="center"/>
          </w:tcPr>
          <w:p>
            <w:pPr>
              <w:jc w:val="right"/>
            </w:pPr>
            <w:r/>
            <w:r>
              <w:rPr>
                <w:rFonts w:ascii="Calibri" w:hAnsi="Calibri"/>
                <w:color w:val="1A1A1A"/>
                <w:sz w:val="20"/>
              </w:rPr>
              <w:t>~2.1 yrs</w:t>
            </w:r>
          </w:p>
        </w:tc>
      </w:tr>
      <w:tr>
        <w:tc>
          <w:tcPr>
            <w:tcW w:type="dxa" w:w="1701"/>
            <w:vAlign w:val="center"/>
          </w:tcPr>
          <w:p>
            <w:pPr>
              <w:jc w:val="left"/>
            </w:pPr>
            <w:r/>
            <w:r>
              <w:rPr>
                <w:rFonts w:ascii="Calibri" w:hAnsi="Calibri"/>
                <w:color w:val="1A1A1A"/>
                <w:sz w:val="20"/>
              </w:rPr>
              <w:t>Strong</w:t>
            </w:r>
          </w:p>
        </w:tc>
        <w:tc>
          <w:tcPr>
            <w:tcW w:type="dxa" w:w="1417"/>
            <w:vAlign w:val="center"/>
          </w:tcPr>
          <w:p>
            <w:pPr>
              <w:jc w:val="right"/>
            </w:pPr>
            <w:r/>
            <w:r>
              <w:rPr>
                <w:rFonts w:ascii="Calibri" w:hAnsi="Calibri"/>
                <w:color w:val="1A1A1A"/>
                <w:sz w:val="20"/>
              </w:rPr>
              <w:t>AED 28.3 M</w:t>
            </w:r>
          </w:p>
        </w:tc>
        <w:tc>
          <w:tcPr>
            <w:tcW w:type="dxa" w:w="1417"/>
            <w:vAlign w:val="center"/>
          </w:tcPr>
          <w:p>
            <w:pPr>
              <w:jc w:val="right"/>
            </w:pPr>
            <w:r/>
            <w:r>
              <w:rPr>
                <w:rFonts w:ascii="Calibri" w:hAnsi="Calibri"/>
                <w:color w:val="1A1A1A"/>
                <w:sz w:val="20"/>
              </w:rPr>
              <w:t>AED 10.1 M</w:t>
            </w:r>
          </w:p>
        </w:tc>
        <w:tc>
          <w:tcPr>
            <w:tcW w:type="dxa" w:w="1417"/>
            <w:vAlign w:val="center"/>
          </w:tcPr>
          <w:p>
            <w:pPr>
              <w:jc w:val="right"/>
            </w:pPr>
            <w:r/>
            <w:r>
              <w:rPr>
                <w:rFonts w:ascii="Calibri" w:hAnsi="Calibri"/>
                <w:color w:val="1A1A1A"/>
                <w:sz w:val="20"/>
              </w:rPr>
              <w:t>AED 18.2 M</w:t>
            </w:r>
          </w:p>
        </w:tc>
        <w:tc>
          <w:tcPr>
            <w:tcW w:type="dxa" w:w="1134"/>
            <w:vAlign w:val="center"/>
          </w:tcPr>
          <w:p>
            <w:pPr>
              <w:jc w:val="right"/>
            </w:pPr>
            <w:r/>
            <w:r>
              <w:rPr>
                <w:rFonts w:ascii="Calibri" w:hAnsi="Calibri"/>
                <w:color w:val="1A1A1A"/>
                <w:sz w:val="20"/>
              </w:rPr>
              <w:t>64 %</w:t>
            </w:r>
          </w:p>
        </w:tc>
        <w:tc>
          <w:tcPr>
            <w:tcW w:type="dxa" w:w="1984"/>
            <w:vAlign w:val="center"/>
          </w:tcPr>
          <w:p>
            <w:pPr>
              <w:jc w:val="right"/>
            </w:pPr>
            <w:r/>
            <w:r>
              <w:rPr>
                <w:rFonts w:ascii="Calibri" w:hAnsi="Calibri"/>
                <w:color w:val="1A1A1A"/>
                <w:sz w:val="20"/>
              </w:rPr>
              <w:t>~1.4 yrs</w:t>
            </w:r>
          </w:p>
        </w:tc>
      </w:tr>
    </w:tbl>
    <w:p>
      <w:pPr>
        <w:spacing w:after="80"/>
      </w:pPr>
      <w:r>
        <w:rPr>
          <w:rFonts w:ascii="Calibri" w:hAnsi="Calibri"/>
          <w:b w:val="0"/>
          <w:i w:val="0"/>
          <w:color w:val="1A1A1A"/>
          <w:sz w:val="22"/>
        </w:rPr>
      </w:r>
    </w:p>
    <w:p>
      <w:pPr>
        <w:spacing w:after="80"/>
      </w:pPr>
      <w:r>
        <w:rPr>
          <w:rFonts w:ascii="Calibri" w:hAnsi="Calibri"/>
          <w:b w:val="0"/>
          <w:i/>
          <w:color w:val="555555"/>
          <w:sz w:val="20"/>
        </w:rPr>
        <w:t>Simple payback is computed against the AED 25.9 M aluminum-tier CAPEX. Below the conservative case the model loses payback discipline very quickly — see section 11 for the night-window sensitivity.</w:t>
      </w:r>
    </w:p>
    <w:p>
      <w:pPr>
        <w:spacing w:before="360" w:after="160"/>
      </w:pPr>
      <w:r>
        <w:rPr>
          <w:rFonts w:ascii="Calibri" w:hAnsi="Calibri"/>
          <w:b/>
          <w:color w:val="1A1A1A"/>
          <w:sz w:val="40"/>
        </w:rPr>
        <w:t>10. 10-year return estimate (Base Case)</w:t>
      </w:r>
    </w:p>
    <w:p>
      <w:pPr>
        <w:spacing w:after="80"/>
      </w:pPr>
      <w:r>
        <w:rPr>
          <w:rFonts w:ascii="Calibri" w:hAnsi="Calibri"/>
          <w:b w:val="0"/>
          <w:i w:val="0"/>
          <w:color w:val="1A1A1A"/>
          <w:sz w:val="22"/>
        </w:rPr>
        <w:t>The 10-year cash-flow ramp uses these assumptions:</w:t>
      </w:r>
    </w:p>
    <w:p>
      <w:pPr>
        <w:pStyle w:val="ListBullet"/>
        <w:spacing w:after="40"/>
        <w:ind w:left="283"/>
      </w:pPr>
      <w:r>
        <w:rPr>
          <w:rFonts w:ascii="Calibri" w:hAnsi="Calibri"/>
          <w:color w:val="1A1A1A"/>
          <w:sz w:val="22"/>
        </w:rPr>
        <w:t>Year 1 lands at the Conservative ramp-up EBITDA.</w:t>
      </w:r>
    </w:p>
    <w:p>
      <w:pPr>
        <w:pStyle w:val="ListBullet"/>
        <w:spacing w:after="40"/>
        <w:ind w:left="283"/>
      </w:pPr>
      <w:r>
        <w:rPr>
          <w:rFonts w:ascii="Calibri" w:hAnsi="Calibri"/>
          <w:color w:val="1A1A1A"/>
          <w:sz w:val="22"/>
        </w:rPr>
        <w:t>Year 2 reaches 85 % of Base EBITDA.</w:t>
      </w:r>
    </w:p>
    <w:p>
      <w:pPr>
        <w:pStyle w:val="ListBullet"/>
        <w:spacing w:after="40"/>
        <w:ind w:left="283"/>
      </w:pPr>
      <w:r>
        <w:rPr>
          <w:rFonts w:ascii="Calibri" w:hAnsi="Calibri"/>
          <w:color w:val="1A1A1A"/>
          <w:sz w:val="22"/>
        </w:rPr>
        <w:t>Year 3 reaches Base EBITDA.</w:t>
      </w:r>
    </w:p>
    <w:p>
      <w:pPr>
        <w:pStyle w:val="ListBullet"/>
        <w:spacing w:after="40"/>
        <w:ind w:left="283"/>
      </w:pPr>
      <w:r>
        <w:rPr>
          <w:rFonts w:ascii="Calibri" w:hAnsi="Calibri"/>
          <w:color w:val="1A1A1A"/>
          <w:sz w:val="22"/>
        </w:rPr>
        <w:t>Years 4 – 10 grow at 4 % per year.</w:t>
      </w:r>
    </w:p>
    <w:p>
      <w:pPr>
        <w:pStyle w:val="ListBullet"/>
        <w:spacing w:after="40"/>
        <w:ind w:left="283"/>
      </w:pPr>
      <w:r>
        <w:rPr>
          <w:rFonts w:ascii="Calibri" w:hAnsi="Calibri"/>
          <w:color w:val="1A1A1A"/>
          <w:sz w:val="22"/>
        </w:rPr>
        <w:t>AED 2.5 M balloon envelope replacement reserves are booked in Years 5 and 10.</w:t>
      </w:r>
    </w:p>
    <w:tbl>
      <w:tblPr>
        <w:tblStyle w:val="LightGrid-Accent1"/>
        <w:tblW w:type="auto" w:w="0"/>
        <w:tblLayout w:type="fixed"/>
        <w:tblLook w:firstColumn="1" w:firstRow="1" w:lastColumn="0" w:lastRow="0" w:noHBand="0" w:noVBand="1" w:val="04A0"/>
      </w:tblPr>
      <w:tblGrid>
        <w:gridCol w:w="4986"/>
        <w:gridCol w:w="4986"/>
      </w:tblGrid>
      <w:tr>
        <w:tc>
          <w:tcPr>
            <w:tcW w:type="dxa" w:w="4535"/>
            <w:shd w:val="clear" w:color="auto" w:fill="F1E9D2"/>
            <w:vAlign w:val="center"/>
          </w:tcPr>
          <w:p>
            <w:r/>
            <w:r>
              <w:rPr>
                <w:rFonts w:ascii="Calibri" w:hAnsi="Calibri"/>
                <w:b/>
                <w:color w:val="1A1A1A"/>
                <w:sz w:val="20"/>
              </w:rPr>
              <w:t>Metric</w:t>
            </w:r>
          </w:p>
        </w:tc>
        <w:tc>
          <w:tcPr>
            <w:tcW w:type="dxa" w:w="3402"/>
            <w:shd w:val="clear" w:color="auto" w:fill="F1E9D2"/>
            <w:vAlign w:val="center"/>
          </w:tcPr>
          <w:p>
            <w:r/>
            <w:r>
              <w:rPr>
                <w:rFonts w:ascii="Calibri" w:hAnsi="Calibri"/>
                <w:b/>
                <w:color w:val="1A1A1A"/>
                <w:sz w:val="20"/>
              </w:rPr>
              <w:t>Revised Base Case</w:t>
            </w:r>
          </w:p>
        </w:tc>
      </w:tr>
      <w:tr>
        <w:tc>
          <w:tcPr>
            <w:tcW w:type="dxa" w:w="4535"/>
            <w:vAlign w:val="center"/>
          </w:tcPr>
          <w:p>
            <w:pPr>
              <w:jc w:val="left"/>
            </w:pPr>
            <w:r/>
            <w:r>
              <w:rPr>
                <w:rFonts w:ascii="Calibri" w:hAnsi="Calibri"/>
                <w:color w:val="1A1A1A"/>
                <w:sz w:val="20"/>
              </w:rPr>
              <w:t>10-year IRR</w:t>
            </w:r>
          </w:p>
        </w:tc>
        <w:tc>
          <w:tcPr>
            <w:tcW w:type="dxa" w:w="3402"/>
            <w:vAlign w:val="center"/>
          </w:tcPr>
          <w:p>
            <w:pPr>
              <w:jc w:val="right"/>
            </w:pPr>
            <w:r/>
            <w:r>
              <w:rPr>
                <w:rFonts w:ascii="Calibri" w:hAnsi="Calibri"/>
                <w:color w:val="1A1A1A"/>
                <w:sz w:val="20"/>
              </w:rPr>
              <w:t>~35.0 %</w:t>
            </w:r>
          </w:p>
        </w:tc>
      </w:tr>
      <w:tr>
        <w:tc>
          <w:tcPr>
            <w:tcW w:type="dxa" w:w="4535"/>
            <w:vAlign w:val="center"/>
          </w:tcPr>
          <w:p>
            <w:pPr>
              <w:jc w:val="left"/>
            </w:pPr>
            <w:r/>
            <w:r>
              <w:rPr>
                <w:rFonts w:ascii="Calibri" w:hAnsi="Calibri"/>
                <w:color w:val="1A1A1A"/>
                <w:sz w:val="20"/>
              </w:rPr>
              <w:t>10-year NPV at 8 %</w:t>
            </w:r>
          </w:p>
        </w:tc>
        <w:tc>
          <w:tcPr>
            <w:tcW w:type="dxa" w:w="3402"/>
            <w:vAlign w:val="center"/>
          </w:tcPr>
          <w:p>
            <w:pPr>
              <w:jc w:val="right"/>
            </w:pPr>
            <w:r/>
            <w:r>
              <w:rPr>
                <w:rFonts w:ascii="Calibri" w:hAnsi="Calibri"/>
                <w:color w:val="1A1A1A"/>
                <w:sz w:val="20"/>
              </w:rPr>
              <w:t>~AED 51.4 M</w:t>
            </w:r>
          </w:p>
        </w:tc>
      </w:tr>
      <w:tr>
        <w:tc>
          <w:tcPr>
            <w:tcW w:type="dxa" w:w="4535"/>
            <w:vAlign w:val="center"/>
          </w:tcPr>
          <w:p>
            <w:pPr>
              <w:jc w:val="left"/>
            </w:pPr>
            <w:r/>
            <w:r>
              <w:rPr>
                <w:rFonts w:ascii="Calibri" w:hAnsi="Calibri"/>
                <w:color w:val="1A1A1A"/>
                <w:sz w:val="20"/>
              </w:rPr>
              <w:t>10-year MOIC</w:t>
            </w:r>
          </w:p>
        </w:tc>
        <w:tc>
          <w:tcPr>
            <w:tcW w:type="dxa" w:w="3402"/>
            <w:vAlign w:val="center"/>
          </w:tcPr>
          <w:p>
            <w:pPr>
              <w:jc w:val="right"/>
            </w:pPr>
            <w:r/>
            <w:r>
              <w:rPr>
                <w:rFonts w:ascii="Calibri" w:hAnsi="Calibri"/>
                <w:color w:val="1A1A1A"/>
                <w:sz w:val="20"/>
              </w:rPr>
              <w:t>~4.7×</w:t>
            </w:r>
          </w:p>
        </w:tc>
      </w:tr>
    </w:tbl>
    <w:p>
      <w:pPr>
        <w:spacing w:before="360" w:after="160"/>
      </w:pPr>
      <w:r>
        <w:rPr>
          <w:rFonts w:ascii="Calibri" w:hAnsi="Calibri"/>
          <w:b/>
          <w:color w:val="1A1A1A"/>
          <w:sz w:val="40"/>
        </w:rPr>
        <w:t>11. Downside sensitivity — reduced 150 m ARPU</w:t>
      </w:r>
    </w:p>
    <w:p>
      <w:pPr>
        <w:spacing w:after="80"/>
      </w:pPr>
      <w:r>
        <w:rPr>
          <w:rFonts w:ascii="Calibri" w:hAnsi="Calibri"/>
          <w:b w:val="0"/>
          <w:i w:val="0"/>
          <w:color w:val="1A1A1A"/>
          <w:sz w:val="22"/>
        </w:rPr>
        <w:t>If the executive review wants a more conservative pricing posture, the model below applies a moderate ARPU haircut. This is carried for prudence; it is not the recommended headline assumption.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shd w:val="clear" w:color="auto" w:fill="F1E9D2"/>
            <w:vAlign w:val="center"/>
          </w:tcPr>
          <w:p>
            <w:r/>
            <w:r>
              <w:rPr>
                <w:rFonts w:ascii="Calibri" w:hAnsi="Calibri"/>
                <w:b/>
                <w:color w:val="1A1A1A"/>
                <w:sz w:val="20"/>
              </w:rPr>
              <w:t>ARPU line</w:t>
            </w:r>
          </w:p>
        </w:tc>
        <w:tc>
          <w:tcPr>
            <w:tcW w:type="dxa" w:w="2268"/>
            <w:shd w:val="clear" w:color="auto" w:fill="F1E9D2"/>
            <w:vAlign w:val="center"/>
          </w:tcPr>
          <w:p>
            <w:r/>
            <w:r>
              <w:rPr>
                <w:rFonts w:ascii="Calibri" w:hAnsi="Calibri"/>
                <w:b/>
                <w:color w:val="1A1A1A"/>
                <w:sz w:val="20"/>
              </w:rPr>
              <w:t>Main case</w:t>
            </w:r>
          </w:p>
        </w:tc>
        <w:tc>
          <w:tcPr>
            <w:tcW w:type="dxa" w:w="2268"/>
            <w:shd w:val="clear" w:color="auto" w:fill="F1E9D2"/>
            <w:vAlign w:val="center"/>
          </w:tcPr>
          <w:p>
            <w:r/>
            <w:r>
              <w:rPr>
                <w:rFonts w:ascii="Calibri" w:hAnsi="Calibri"/>
                <w:b/>
                <w:color w:val="1A1A1A"/>
                <w:sz w:val="20"/>
              </w:rPr>
              <w:t>Downside sensitivity</w:t>
            </w:r>
          </w:p>
        </w:tc>
      </w:tr>
      <w:tr>
        <w:tc>
          <w:tcPr>
            <w:tcW w:type="dxa" w:w="3402"/>
            <w:vAlign w:val="center"/>
          </w:tcPr>
          <w:p>
            <w:pPr>
              <w:jc w:val="left"/>
            </w:pPr>
            <w:r/>
            <w:r>
              <w:rPr>
                <w:rFonts w:ascii="Calibri" w:hAnsi="Calibri"/>
                <w:color w:val="1A1A1A"/>
                <w:sz w:val="20"/>
              </w:rPr>
              <w:t>Day blended ARPU</w:t>
            </w:r>
          </w:p>
        </w:tc>
        <w:tc>
          <w:tcPr>
            <w:tcW w:type="dxa" w:w="2268"/>
            <w:vAlign w:val="center"/>
          </w:tcPr>
          <w:p>
            <w:pPr>
              <w:jc w:val="right"/>
            </w:pPr>
            <w:r/>
            <w:r>
              <w:rPr>
                <w:rFonts w:ascii="Calibri" w:hAnsi="Calibri"/>
                <w:color w:val="1A1A1A"/>
                <w:sz w:val="20"/>
              </w:rPr>
              <w:t>AED 170</w:t>
            </w:r>
          </w:p>
        </w:tc>
        <w:tc>
          <w:tcPr>
            <w:tcW w:type="dxa" w:w="2268"/>
            <w:vAlign w:val="center"/>
          </w:tcPr>
          <w:p>
            <w:pPr>
              <w:jc w:val="right"/>
            </w:pPr>
            <w:r/>
            <w:r>
              <w:rPr>
                <w:rFonts w:ascii="Calibri" w:hAnsi="Calibri"/>
                <w:color w:val="1A1A1A"/>
                <w:sz w:val="20"/>
              </w:rPr>
              <w:t>AED 140</w:t>
            </w:r>
          </w:p>
        </w:tc>
      </w:tr>
      <w:tr>
        <w:tc>
          <w:tcPr>
            <w:tcW w:type="dxa" w:w="3402"/>
            <w:vAlign w:val="center"/>
          </w:tcPr>
          <w:p>
            <w:pPr>
              <w:jc w:val="left"/>
            </w:pPr>
            <w:r/>
            <w:r>
              <w:rPr>
                <w:rFonts w:ascii="Calibri" w:hAnsi="Calibri"/>
                <w:color w:val="1A1A1A"/>
                <w:sz w:val="20"/>
              </w:rPr>
              <w:t>Night blended ARPU</w:t>
            </w:r>
          </w:p>
        </w:tc>
        <w:tc>
          <w:tcPr>
            <w:tcW w:type="dxa" w:w="2268"/>
            <w:vAlign w:val="center"/>
          </w:tcPr>
          <w:p>
            <w:pPr>
              <w:jc w:val="right"/>
            </w:pPr>
            <w:r/>
            <w:r>
              <w:rPr>
                <w:rFonts w:ascii="Calibri" w:hAnsi="Calibri"/>
                <w:color w:val="1A1A1A"/>
                <w:sz w:val="20"/>
              </w:rPr>
              <w:t>AED 361</w:t>
            </w:r>
          </w:p>
        </w:tc>
        <w:tc>
          <w:tcPr>
            <w:tcW w:type="dxa" w:w="2268"/>
            <w:vAlign w:val="center"/>
          </w:tcPr>
          <w:p>
            <w:pPr>
              <w:jc w:val="right"/>
            </w:pPr>
            <w:r/>
            <w:r>
              <w:rPr>
                <w:rFonts w:ascii="Calibri" w:hAnsi="Calibri"/>
                <w:color w:val="1A1A1A"/>
                <w:sz w:val="20"/>
              </w:rPr>
              <w:t>AED 320</w:t>
            </w:r>
          </w:p>
        </w:tc>
      </w:tr>
    </w:tbl>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984"/>
            <w:shd w:val="clear" w:color="auto" w:fill="F1E9D2"/>
            <w:vAlign w:val="center"/>
          </w:tcPr>
          <w:p>
            <w:r/>
            <w:r>
              <w:rPr>
                <w:rFonts w:ascii="Calibri" w:hAnsi="Calibri"/>
                <w:b/>
                <w:color w:val="1A1A1A"/>
                <w:sz w:val="20"/>
              </w:rPr>
              <w:t>Scenario</w:t>
            </w:r>
          </w:p>
        </w:tc>
        <w:tc>
          <w:tcPr>
            <w:tcW w:type="dxa" w:w="1701"/>
            <w:shd w:val="clear" w:color="auto" w:fill="F1E9D2"/>
            <w:vAlign w:val="center"/>
          </w:tcPr>
          <w:p>
            <w:r/>
            <w:r>
              <w:rPr>
                <w:rFonts w:ascii="Calibri" w:hAnsi="Calibri"/>
                <w:b/>
                <w:color w:val="1A1A1A"/>
                <w:sz w:val="20"/>
              </w:rPr>
              <w:t>Revenue</w:t>
            </w:r>
          </w:p>
        </w:tc>
        <w:tc>
          <w:tcPr>
            <w:tcW w:type="dxa" w:w="1701"/>
            <w:shd w:val="clear" w:color="auto" w:fill="F1E9D2"/>
            <w:vAlign w:val="center"/>
          </w:tcPr>
          <w:p>
            <w:r/>
            <w:r>
              <w:rPr>
                <w:rFonts w:ascii="Calibri" w:hAnsi="Calibri"/>
                <w:b/>
                <w:color w:val="1A1A1A"/>
                <w:sz w:val="20"/>
              </w:rPr>
              <w:t>EBITDA</w:t>
            </w:r>
          </w:p>
        </w:tc>
        <w:tc>
          <w:tcPr>
            <w:tcW w:type="dxa" w:w="1417"/>
            <w:shd w:val="clear" w:color="auto" w:fill="F1E9D2"/>
            <w:vAlign w:val="center"/>
          </w:tcPr>
          <w:p>
            <w:r/>
            <w:r>
              <w:rPr>
                <w:rFonts w:ascii="Calibri" w:hAnsi="Calibri"/>
                <w:b/>
                <w:color w:val="1A1A1A"/>
                <w:sz w:val="20"/>
              </w:rPr>
              <w:t>Margin</w:t>
            </w:r>
          </w:p>
        </w:tc>
        <w:tc>
          <w:tcPr>
            <w:tcW w:type="dxa" w:w="1984"/>
            <w:shd w:val="clear" w:color="auto" w:fill="F1E9D2"/>
            <w:vAlign w:val="center"/>
          </w:tcPr>
          <w:p>
            <w:r/>
            <w:r>
              <w:rPr>
                <w:rFonts w:ascii="Calibri" w:hAnsi="Calibri"/>
                <w:b/>
                <w:color w:val="1A1A1A"/>
                <w:sz w:val="20"/>
              </w:rPr>
              <w:t>Simple payback</w:t>
            </w:r>
          </w:p>
        </w:tc>
      </w:tr>
      <w:tr>
        <w:tc>
          <w:tcPr>
            <w:tcW w:type="dxa" w:w="1984"/>
            <w:vAlign w:val="center"/>
          </w:tcPr>
          <w:p>
            <w:pPr>
              <w:jc w:val="left"/>
            </w:pPr>
            <w:r/>
            <w:r>
              <w:rPr>
                <w:rFonts w:ascii="Calibri" w:hAnsi="Calibri"/>
                <w:color w:val="1A1A1A"/>
                <w:sz w:val="20"/>
              </w:rPr>
              <w:t>Conservative</w:t>
            </w:r>
          </w:p>
        </w:tc>
        <w:tc>
          <w:tcPr>
            <w:tcW w:type="dxa" w:w="1701"/>
            <w:vAlign w:val="center"/>
          </w:tcPr>
          <w:p>
            <w:pPr>
              <w:jc w:val="right"/>
            </w:pPr>
            <w:r/>
            <w:r>
              <w:rPr>
                <w:rFonts w:ascii="Calibri" w:hAnsi="Calibri"/>
                <w:color w:val="1A1A1A"/>
                <w:sz w:val="20"/>
              </w:rPr>
              <w:t>AED 10.5 M</w:t>
            </w:r>
          </w:p>
        </w:tc>
        <w:tc>
          <w:tcPr>
            <w:tcW w:type="dxa" w:w="1701"/>
            <w:vAlign w:val="center"/>
          </w:tcPr>
          <w:p>
            <w:pPr>
              <w:jc w:val="right"/>
            </w:pPr>
            <w:r/>
            <w:r>
              <w:rPr>
                <w:rFonts w:ascii="Calibri" w:hAnsi="Calibri"/>
                <w:color w:val="1A1A1A"/>
                <w:sz w:val="20"/>
              </w:rPr>
              <w:t>AED 1.0 M</w:t>
            </w:r>
          </w:p>
        </w:tc>
        <w:tc>
          <w:tcPr>
            <w:tcW w:type="dxa" w:w="1417"/>
            <w:vAlign w:val="center"/>
          </w:tcPr>
          <w:p>
            <w:pPr>
              <w:jc w:val="right"/>
            </w:pPr>
            <w:r/>
            <w:r>
              <w:rPr>
                <w:rFonts w:ascii="Calibri" w:hAnsi="Calibri"/>
                <w:color w:val="1A1A1A"/>
                <w:sz w:val="20"/>
              </w:rPr>
              <w:t>9 %</w:t>
            </w:r>
          </w:p>
        </w:tc>
        <w:tc>
          <w:tcPr>
            <w:tcW w:type="dxa" w:w="1984"/>
            <w:vAlign w:val="center"/>
          </w:tcPr>
          <w:p>
            <w:pPr>
              <w:jc w:val="right"/>
            </w:pPr>
            <w:r/>
            <w:r>
              <w:rPr>
                <w:rFonts w:ascii="Calibri" w:hAnsi="Calibri"/>
                <w:color w:val="1A1A1A"/>
                <w:sz w:val="20"/>
              </w:rPr>
              <w:t>~26.0 yrs</w:t>
            </w:r>
          </w:p>
        </w:tc>
      </w:tr>
      <w:tr>
        <w:tc>
          <w:tcPr>
            <w:tcW w:type="dxa" w:w="1984"/>
            <w:vAlign w:val="center"/>
          </w:tcPr>
          <w:p>
            <w:pPr>
              <w:jc w:val="left"/>
            </w:pPr>
            <w:r/>
            <w:r>
              <w:rPr>
                <w:rFonts w:ascii="Calibri" w:hAnsi="Calibri"/>
                <w:color w:val="1A1A1A"/>
                <w:sz w:val="20"/>
              </w:rPr>
              <w:t>Base Case</w:t>
            </w:r>
          </w:p>
        </w:tc>
        <w:tc>
          <w:tcPr>
            <w:tcW w:type="dxa" w:w="1701"/>
            <w:vAlign w:val="center"/>
          </w:tcPr>
          <w:p>
            <w:pPr>
              <w:jc w:val="right"/>
            </w:pPr>
            <w:r/>
            <w:r>
              <w:rPr>
                <w:rFonts w:ascii="Calibri" w:hAnsi="Calibri"/>
                <w:color w:val="1A1A1A"/>
                <w:sz w:val="20"/>
              </w:rPr>
              <w:t>AED 19.8 M</w:t>
            </w:r>
          </w:p>
        </w:tc>
        <w:tc>
          <w:tcPr>
            <w:tcW w:type="dxa" w:w="1701"/>
            <w:vAlign w:val="center"/>
          </w:tcPr>
          <w:p>
            <w:pPr>
              <w:jc w:val="right"/>
            </w:pPr>
            <w:r/>
            <w:r>
              <w:rPr>
                <w:rFonts w:ascii="Calibri" w:hAnsi="Calibri"/>
                <w:color w:val="1A1A1A"/>
                <w:sz w:val="20"/>
              </w:rPr>
              <w:t>AED 10.0 M</w:t>
            </w:r>
          </w:p>
        </w:tc>
        <w:tc>
          <w:tcPr>
            <w:tcW w:type="dxa" w:w="1417"/>
            <w:vAlign w:val="center"/>
          </w:tcPr>
          <w:p>
            <w:pPr>
              <w:jc w:val="right"/>
            </w:pPr>
            <w:r/>
            <w:r>
              <w:rPr>
                <w:rFonts w:ascii="Calibri" w:hAnsi="Calibri"/>
                <w:color w:val="1A1A1A"/>
                <w:sz w:val="20"/>
              </w:rPr>
              <w:t>51 %</w:t>
            </w:r>
          </w:p>
        </w:tc>
        <w:tc>
          <w:tcPr>
            <w:tcW w:type="dxa" w:w="1984"/>
            <w:vAlign w:val="center"/>
          </w:tcPr>
          <w:p>
            <w:pPr>
              <w:jc w:val="right"/>
            </w:pPr>
            <w:r/>
            <w:r>
              <w:rPr>
                <w:rFonts w:ascii="Calibri" w:hAnsi="Calibri"/>
                <w:color w:val="1A1A1A"/>
                <w:sz w:val="20"/>
              </w:rPr>
              <w:t>~2.6 yrs</w:t>
            </w:r>
          </w:p>
        </w:tc>
      </w:tr>
      <w:tr>
        <w:tc>
          <w:tcPr>
            <w:tcW w:type="dxa" w:w="1984"/>
            <w:vAlign w:val="center"/>
          </w:tcPr>
          <w:p>
            <w:pPr>
              <w:jc w:val="left"/>
            </w:pPr>
            <w:r/>
            <w:r>
              <w:rPr>
                <w:rFonts w:ascii="Calibri" w:hAnsi="Calibri"/>
                <w:color w:val="1A1A1A"/>
                <w:sz w:val="20"/>
              </w:rPr>
              <w:t>Strong</w:t>
            </w:r>
          </w:p>
        </w:tc>
        <w:tc>
          <w:tcPr>
            <w:tcW w:type="dxa" w:w="1701"/>
            <w:vAlign w:val="center"/>
          </w:tcPr>
          <w:p>
            <w:pPr>
              <w:jc w:val="right"/>
            </w:pPr>
            <w:r/>
            <w:r>
              <w:rPr>
                <w:rFonts w:ascii="Calibri" w:hAnsi="Calibri"/>
                <w:color w:val="1A1A1A"/>
                <w:sz w:val="20"/>
              </w:rPr>
              <w:t>AED 25.3 M</w:t>
            </w:r>
          </w:p>
        </w:tc>
        <w:tc>
          <w:tcPr>
            <w:tcW w:type="dxa" w:w="1701"/>
            <w:vAlign w:val="center"/>
          </w:tcPr>
          <w:p>
            <w:pPr>
              <w:jc w:val="right"/>
            </w:pPr>
            <w:r/>
            <w:r>
              <w:rPr>
                <w:rFonts w:ascii="Calibri" w:hAnsi="Calibri"/>
                <w:color w:val="1A1A1A"/>
                <w:sz w:val="20"/>
              </w:rPr>
              <w:t>AED 15.2 M</w:t>
            </w:r>
          </w:p>
        </w:tc>
        <w:tc>
          <w:tcPr>
            <w:tcW w:type="dxa" w:w="1417"/>
            <w:vAlign w:val="center"/>
          </w:tcPr>
          <w:p>
            <w:pPr>
              <w:jc w:val="right"/>
            </w:pPr>
            <w:r/>
            <w:r>
              <w:rPr>
                <w:rFonts w:ascii="Calibri" w:hAnsi="Calibri"/>
                <w:color w:val="1A1A1A"/>
                <w:sz w:val="20"/>
              </w:rPr>
              <w:t>60 %</w:t>
            </w:r>
          </w:p>
        </w:tc>
        <w:tc>
          <w:tcPr>
            <w:tcW w:type="dxa" w:w="1984"/>
            <w:vAlign w:val="center"/>
          </w:tcPr>
          <w:p>
            <w:pPr>
              <w:jc w:val="right"/>
            </w:pPr>
            <w:r/>
            <w:r>
              <w:rPr>
                <w:rFonts w:ascii="Calibri" w:hAnsi="Calibri"/>
                <w:color w:val="1A1A1A"/>
                <w:sz w:val="20"/>
              </w:rPr>
              <w:t>~1.7 yrs</w:t>
            </w:r>
          </w:p>
        </w:tc>
      </w:tr>
    </w:tbl>
    <w:p>
      <w:pPr>
        <w:spacing w:after="80"/>
      </w:pPr>
      <w:r>
        <w:rPr>
          <w:rFonts w:ascii="Calibri" w:hAnsi="Calibri"/>
          <w:b w:val="0"/>
          <w:i/>
          <w:color w:val="555555"/>
          <w:sz w:val="20"/>
        </w:rPr>
        <w:t>Base-case 10-year returns under this downside pricing sensitivity are approximately 27.7 % IRR, AED 35.3 M NPV at 8 %, and 3.7× MOIC.</w:t>
      </w:r>
    </w:p>
    <w:p>
      <w:pPr>
        <w:spacing w:before="360" w:after="160"/>
      </w:pPr>
      <w:r>
        <w:rPr>
          <w:rFonts w:ascii="Calibri" w:hAnsi="Calibri"/>
          <w:b/>
          <w:color w:val="1A1A1A"/>
          <w:sz w:val="40"/>
        </w:rPr>
        <w:t>12. Sensitivity — night operating window</w:t>
      </w:r>
    </w:p>
    <w:p>
      <w:pPr>
        <w:spacing w:after="80"/>
      </w:pPr>
      <w:r>
        <w:rPr>
          <w:rFonts w:ascii="Calibri" w:hAnsi="Calibri"/>
          <w:b w:val="0"/>
          <w:i w:val="0"/>
          <w:color w:val="1A1A1A"/>
          <w:sz w:val="22"/>
        </w:rPr>
        <w:t>The 20-minute cycle is the central operational lever of the revised model. If it is approved but the nightly operating window is shorter than the assumed 5.5 hours, the headline returns move materially.</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984"/>
            <w:shd w:val="clear" w:color="auto" w:fill="F1E9D2"/>
            <w:vAlign w:val="center"/>
          </w:tcPr>
          <w:p>
            <w:r/>
            <w:r>
              <w:rPr>
                <w:rFonts w:ascii="Calibri" w:hAnsi="Calibri"/>
                <w:b/>
                <w:color w:val="1A1A1A"/>
                <w:sz w:val="20"/>
              </w:rPr>
              <w:t>Night batches / night</w:t>
            </w:r>
          </w:p>
        </w:tc>
        <w:tc>
          <w:tcPr>
            <w:tcW w:type="dxa" w:w="1701"/>
            <w:shd w:val="clear" w:color="auto" w:fill="F1E9D2"/>
            <w:vAlign w:val="center"/>
          </w:tcPr>
          <w:p>
            <w:r/>
            <w:r>
              <w:rPr>
                <w:rFonts w:ascii="Calibri" w:hAnsi="Calibri"/>
                <w:b/>
                <w:color w:val="1A1A1A"/>
                <w:sz w:val="20"/>
              </w:rPr>
              <w:t>Base revenue</w:t>
            </w:r>
          </w:p>
        </w:tc>
        <w:tc>
          <w:tcPr>
            <w:tcW w:type="dxa" w:w="1701"/>
            <w:shd w:val="clear" w:color="auto" w:fill="F1E9D2"/>
            <w:vAlign w:val="center"/>
          </w:tcPr>
          <w:p>
            <w:r/>
            <w:r>
              <w:rPr>
                <w:rFonts w:ascii="Calibri" w:hAnsi="Calibri"/>
                <w:b/>
                <w:color w:val="1A1A1A"/>
                <w:sz w:val="20"/>
              </w:rPr>
              <w:t>Base EBITDA</w:t>
            </w:r>
          </w:p>
        </w:tc>
        <w:tc>
          <w:tcPr>
            <w:tcW w:type="dxa" w:w="1701"/>
            <w:shd w:val="clear" w:color="auto" w:fill="F1E9D2"/>
            <w:vAlign w:val="center"/>
          </w:tcPr>
          <w:p>
            <w:r/>
            <w:r>
              <w:rPr>
                <w:rFonts w:ascii="Calibri" w:hAnsi="Calibri"/>
                <w:b/>
                <w:color w:val="1A1A1A"/>
                <w:sz w:val="20"/>
              </w:rPr>
              <w:t>Simple payback</w:t>
            </w:r>
          </w:p>
        </w:tc>
        <w:tc>
          <w:tcPr>
            <w:tcW w:type="dxa" w:w="1701"/>
            <w:shd w:val="clear" w:color="auto" w:fill="F1E9D2"/>
            <w:vAlign w:val="center"/>
          </w:tcPr>
          <w:p>
            <w:r/>
            <w:r>
              <w:rPr>
                <w:rFonts w:ascii="Calibri" w:hAnsi="Calibri"/>
                <w:b/>
                <w:color w:val="1A1A1A"/>
                <w:sz w:val="20"/>
              </w:rPr>
              <w:t>10-year IRR</w:t>
            </w:r>
          </w:p>
        </w:tc>
      </w:tr>
      <w:tr>
        <w:tc>
          <w:tcPr>
            <w:tcW w:type="dxa" w:w="1984"/>
            <w:vAlign w:val="center"/>
          </w:tcPr>
          <w:p>
            <w:pPr>
              <w:jc w:val="left"/>
            </w:pPr>
            <w:r/>
            <w:r>
              <w:rPr>
                <w:rFonts w:ascii="Calibri" w:hAnsi="Calibri"/>
                <w:color w:val="1A1A1A"/>
                <w:sz w:val="20"/>
              </w:rPr>
              <w:t>9 batches</w:t>
            </w:r>
          </w:p>
        </w:tc>
        <w:tc>
          <w:tcPr>
            <w:tcW w:type="dxa" w:w="1701"/>
            <w:vAlign w:val="center"/>
          </w:tcPr>
          <w:p>
            <w:pPr>
              <w:jc w:val="right"/>
            </w:pPr>
            <w:r/>
            <w:r>
              <w:rPr>
                <w:rFonts w:ascii="Calibri" w:hAnsi="Calibri"/>
                <w:color w:val="1A1A1A"/>
                <w:sz w:val="20"/>
              </w:rPr>
              <w:t>AED 15.6 M</w:t>
            </w:r>
          </w:p>
        </w:tc>
        <w:tc>
          <w:tcPr>
            <w:tcW w:type="dxa" w:w="1701"/>
            <w:vAlign w:val="center"/>
          </w:tcPr>
          <w:p>
            <w:pPr>
              <w:jc w:val="right"/>
            </w:pPr>
            <w:r/>
            <w:r>
              <w:rPr>
                <w:rFonts w:ascii="Calibri" w:hAnsi="Calibri"/>
                <w:color w:val="1A1A1A"/>
                <w:sz w:val="20"/>
              </w:rPr>
              <w:t>AED 5.8 M</w:t>
            </w:r>
          </w:p>
        </w:tc>
        <w:tc>
          <w:tcPr>
            <w:tcW w:type="dxa" w:w="1701"/>
            <w:vAlign w:val="center"/>
          </w:tcPr>
          <w:p>
            <w:pPr>
              <w:jc w:val="right"/>
            </w:pPr>
            <w:r/>
            <w:r>
              <w:rPr>
                <w:rFonts w:ascii="Calibri" w:hAnsi="Calibri"/>
                <w:color w:val="1A1A1A"/>
                <w:sz w:val="20"/>
              </w:rPr>
              <w:t>~4.5 yrs</w:t>
            </w:r>
          </w:p>
        </w:tc>
        <w:tc>
          <w:tcPr>
            <w:tcW w:type="dxa" w:w="1701"/>
            <w:vAlign w:val="center"/>
          </w:tcPr>
          <w:p>
            <w:pPr>
              <w:jc w:val="right"/>
            </w:pPr>
            <w:r/>
            <w:r>
              <w:rPr>
                <w:rFonts w:ascii="Calibri" w:hAnsi="Calibri"/>
                <w:color w:val="1A1A1A"/>
                <w:sz w:val="20"/>
              </w:rPr>
              <w:t>~12.4 %</w:t>
            </w:r>
          </w:p>
        </w:tc>
      </w:tr>
      <w:tr>
        <w:tc>
          <w:tcPr>
            <w:tcW w:type="dxa" w:w="1984"/>
            <w:vAlign w:val="center"/>
          </w:tcPr>
          <w:p>
            <w:pPr>
              <w:jc w:val="left"/>
            </w:pPr>
            <w:r/>
            <w:r>
              <w:rPr>
                <w:rFonts w:ascii="Calibri" w:hAnsi="Calibri"/>
                <w:color w:val="1A1A1A"/>
                <w:sz w:val="20"/>
              </w:rPr>
              <w:t>12 batches</w:t>
            </w:r>
          </w:p>
        </w:tc>
        <w:tc>
          <w:tcPr>
            <w:tcW w:type="dxa" w:w="1701"/>
            <w:vAlign w:val="center"/>
          </w:tcPr>
          <w:p>
            <w:pPr>
              <w:jc w:val="right"/>
            </w:pPr>
            <w:r/>
            <w:r>
              <w:rPr>
                <w:rFonts w:ascii="Calibri" w:hAnsi="Calibri"/>
                <w:color w:val="1A1A1A"/>
                <w:sz w:val="20"/>
              </w:rPr>
              <w:t>AED 18.4 M</w:t>
            </w:r>
          </w:p>
        </w:tc>
        <w:tc>
          <w:tcPr>
            <w:tcW w:type="dxa" w:w="1701"/>
            <w:vAlign w:val="center"/>
          </w:tcPr>
          <w:p>
            <w:pPr>
              <w:jc w:val="right"/>
            </w:pPr>
            <w:r/>
            <w:r>
              <w:rPr>
                <w:rFonts w:ascii="Calibri" w:hAnsi="Calibri"/>
                <w:color w:val="1A1A1A"/>
                <w:sz w:val="20"/>
              </w:rPr>
              <w:t>AED 8.6 M</w:t>
            </w:r>
          </w:p>
        </w:tc>
        <w:tc>
          <w:tcPr>
            <w:tcW w:type="dxa" w:w="1701"/>
            <w:vAlign w:val="center"/>
          </w:tcPr>
          <w:p>
            <w:pPr>
              <w:jc w:val="right"/>
            </w:pPr>
            <w:r/>
            <w:r>
              <w:rPr>
                <w:rFonts w:ascii="Calibri" w:hAnsi="Calibri"/>
                <w:color w:val="1A1A1A"/>
                <w:sz w:val="20"/>
              </w:rPr>
              <w:t>~3.0 yrs</w:t>
            </w:r>
          </w:p>
        </w:tc>
        <w:tc>
          <w:tcPr>
            <w:tcW w:type="dxa" w:w="1701"/>
            <w:vAlign w:val="center"/>
          </w:tcPr>
          <w:p>
            <w:pPr>
              <w:jc w:val="right"/>
            </w:pPr>
            <w:r/>
            <w:r>
              <w:rPr>
                <w:rFonts w:ascii="Calibri" w:hAnsi="Calibri"/>
                <w:color w:val="1A1A1A"/>
                <w:sz w:val="20"/>
              </w:rPr>
              <w:t>~23.1 %</w:t>
            </w:r>
          </w:p>
        </w:tc>
      </w:tr>
      <w:tr>
        <w:tc>
          <w:tcPr>
            <w:tcW w:type="dxa" w:w="1984"/>
            <w:vAlign w:val="center"/>
          </w:tcPr>
          <w:p>
            <w:pPr>
              <w:jc w:val="left"/>
            </w:pPr>
            <w:r/>
            <w:r>
              <w:rPr>
                <w:rFonts w:ascii="Calibri" w:hAnsi="Calibri"/>
                <w:color w:val="1A1A1A"/>
                <w:sz w:val="20"/>
              </w:rPr>
              <w:t>15 batches</w:t>
            </w:r>
          </w:p>
        </w:tc>
        <w:tc>
          <w:tcPr>
            <w:tcW w:type="dxa" w:w="1701"/>
            <w:vAlign w:val="center"/>
          </w:tcPr>
          <w:p>
            <w:pPr>
              <w:jc w:val="right"/>
            </w:pPr>
            <w:r/>
            <w:r>
              <w:rPr>
                <w:rFonts w:ascii="Calibri" w:hAnsi="Calibri"/>
                <w:color w:val="1A1A1A"/>
                <w:sz w:val="20"/>
              </w:rPr>
              <w:t>AED 21.2 M</w:t>
            </w:r>
          </w:p>
        </w:tc>
        <w:tc>
          <w:tcPr>
            <w:tcW w:type="dxa" w:w="1701"/>
            <w:vAlign w:val="center"/>
          </w:tcPr>
          <w:p>
            <w:pPr>
              <w:jc w:val="right"/>
            </w:pPr>
            <w:r/>
            <w:r>
              <w:rPr>
                <w:rFonts w:ascii="Calibri" w:hAnsi="Calibri"/>
                <w:color w:val="1A1A1A"/>
                <w:sz w:val="20"/>
              </w:rPr>
              <w:t>AED 11.4 M</w:t>
            </w:r>
          </w:p>
        </w:tc>
        <w:tc>
          <w:tcPr>
            <w:tcW w:type="dxa" w:w="1701"/>
            <w:vAlign w:val="center"/>
          </w:tcPr>
          <w:p>
            <w:pPr>
              <w:jc w:val="right"/>
            </w:pPr>
            <w:r/>
            <w:r>
              <w:rPr>
                <w:rFonts w:ascii="Calibri" w:hAnsi="Calibri"/>
                <w:color w:val="1A1A1A"/>
                <w:sz w:val="20"/>
              </w:rPr>
              <w:t>~2.3 yrs</w:t>
            </w:r>
          </w:p>
        </w:tc>
        <w:tc>
          <w:tcPr>
            <w:tcW w:type="dxa" w:w="1701"/>
            <w:vAlign w:val="center"/>
          </w:tcPr>
          <w:p>
            <w:pPr>
              <w:jc w:val="right"/>
            </w:pPr>
            <w:r/>
            <w:r>
              <w:rPr>
                <w:rFonts w:ascii="Calibri" w:hAnsi="Calibri"/>
                <w:color w:val="1A1A1A"/>
                <w:sz w:val="20"/>
              </w:rPr>
              <w:t>~32.2 %</w:t>
            </w:r>
          </w:p>
        </w:tc>
      </w:tr>
      <w:tr>
        <w:tc>
          <w:tcPr>
            <w:tcW w:type="dxa" w:w="1984"/>
            <w:vAlign w:val="center"/>
          </w:tcPr>
          <w:p>
            <w:pPr>
              <w:jc w:val="left"/>
            </w:pPr>
            <w:r/>
            <w:r>
              <w:rPr>
                <w:rFonts w:ascii="Calibri" w:hAnsi="Calibri"/>
                <w:color w:val="1A1A1A"/>
                <w:sz w:val="20"/>
              </w:rPr>
              <w:t>16 batches</w:t>
            </w:r>
          </w:p>
        </w:tc>
        <w:tc>
          <w:tcPr>
            <w:tcW w:type="dxa" w:w="1701"/>
            <w:vAlign w:val="center"/>
          </w:tcPr>
          <w:p>
            <w:pPr>
              <w:jc w:val="right"/>
            </w:pPr>
            <w:r/>
            <w:r>
              <w:rPr>
                <w:rFonts w:ascii="Calibri" w:hAnsi="Calibri"/>
                <w:color w:val="1A1A1A"/>
                <w:sz w:val="20"/>
              </w:rPr>
              <w:t>AED 22.2 M</w:t>
            </w:r>
          </w:p>
        </w:tc>
        <w:tc>
          <w:tcPr>
            <w:tcW w:type="dxa" w:w="1701"/>
            <w:vAlign w:val="center"/>
          </w:tcPr>
          <w:p>
            <w:pPr>
              <w:jc w:val="right"/>
            </w:pPr>
            <w:r/>
            <w:r>
              <w:rPr>
                <w:rFonts w:ascii="Calibri" w:hAnsi="Calibri"/>
                <w:color w:val="1A1A1A"/>
                <w:sz w:val="20"/>
              </w:rPr>
              <w:t>AED 12.4 M</w:t>
            </w:r>
          </w:p>
        </w:tc>
        <w:tc>
          <w:tcPr>
            <w:tcW w:type="dxa" w:w="1701"/>
            <w:vAlign w:val="center"/>
          </w:tcPr>
          <w:p>
            <w:pPr>
              <w:jc w:val="right"/>
            </w:pPr>
            <w:r/>
            <w:r>
              <w:rPr>
                <w:rFonts w:ascii="Calibri" w:hAnsi="Calibri"/>
                <w:color w:val="1A1A1A"/>
                <w:sz w:val="20"/>
              </w:rPr>
              <w:t>~2.1 yrs</w:t>
            </w:r>
          </w:p>
        </w:tc>
        <w:tc>
          <w:tcPr>
            <w:tcW w:type="dxa" w:w="1701"/>
            <w:vAlign w:val="center"/>
          </w:tcPr>
          <w:p>
            <w:pPr>
              <w:jc w:val="right"/>
            </w:pPr>
            <w:r/>
            <w:r>
              <w:rPr>
                <w:rFonts w:ascii="Calibri" w:hAnsi="Calibri"/>
                <w:color w:val="1A1A1A"/>
                <w:sz w:val="20"/>
              </w:rPr>
              <w:t>~35.0 %</w:t>
            </w:r>
          </w:p>
        </w:tc>
      </w:tr>
    </w:tbl>
    <w:p>
      <w:pPr>
        <w:spacing w:after="80"/>
      </w:pPr>
      <w:r>
        <w:rPr>
          <w:rFonts w:ascii="Calibri" w:hAnsi="Calibri"/>
          <w:b w:val="0"/>
          <w:i/>
          <w:color w:val="555555"/>
          <w:sz w:val="20"/>
        </w:rPr>
        <w:t>The model assumes 16 batches/night. If operational reality settles at 12 – 15 batches, returns remain credible but compress sharply; below 9 batches the night business is no longer the load-bearing column.</w:t>
      </w:r>
    </w:p>
    <w:p>
      <w:pPr>
        <w:spacing w:before="360" w:after="160"/>
      </w:pPr>
      <w:r>
        <w:rPr>
          <w:rFonts w:ascii="Calibri" w:hAnsi="Calibri"/>
          <w:b/>
          <w:color w:val="1A1A1A"/>
          <w:sz w:val="40"/>
        </w:rPr>
        <w:t>13. Key takeaways for the executive read</w:t>
      </w:r>
    </w:p>
    <w:p>
      <w:pPr>
        <w:pStyle w:val="ListBullet"/>
        <w:spacing w:after="40"/>
        <w:ind w:left="283"/>
      </w:pPr>
      <w:r>
        <w:rPr>
          <w:rFonts w:ascii="Calibri" w:hAnsi="Calibri"/>
          <w:color w:val="1A1A1A"/>
          <w:sz w:val="22"/>
        </w:rPr>
        <w:t>150 m is the true new peak. The deck and this memo are consistent on this point — the attraction is no longer marketed as 300 m capable.</w:t>
      </w:r>
    </w:p>
    <w:p>
      <w:pPr>
        <w:pStyle w:val="ListBullet"/>
        <w:spacing w:after="40"/>
        <w:ind w:left="283"/>
      </w:pPr>
      <w:r>
        <w:rPr>
          <w:rFonts w:ascii="Calibri" w:hAnsi="Calibri"/>
          <w:color w:val="1A1A1A"/>
          <w:sz w:val="22"/>
        </w:rPr>
        <w:t>The 25-guest cap improves guest comfort and gives operating margin. It reduces seat capacity per batch by 16.7 %.</w:t>
      </w:r>
    </w:p>
    <w:p>
      <w:pPr>
        <w:pStyle w:val="ListBullet"/>
        <w:spacing w:after="40"/>
        <w:ind w:left="283"/>
      </w:pPr>
      <w:r>
        <w:rPr>
          <w:rFonts w:ascii="Calibri" w:hAnsi="Calibri"/>
          <w:color w:val="1A1A1A"/>
          <w:sz w:val="22"/>
        </w:rPr>
        <w:t>The 20-minute night-batch cadence is what makes the revised model work. It more than doubles nightly batch count and offsets both the 25-guest cap and the lower 250-day operating year.</w:t>
      </w:r>
    </w:p>
    <w:p>
      <w:pPr>
        <w:pStyle w:val="ListBullet"/>
        <w:spacing w:after="40"/>
        <w:ind w:left="283"/>
      </w:pPr>
      <w:r>
        <w:rPr>
          <w:rFonts w:ascii="Calibri" w:hAnsi="Calibri"/>
          <w:color w:val="1A1A1A"/>
          <w:sz w:val="22"/>
        </w:rPr>
        <w:t>The LED hallway closes during the main show. Guests stay on the boarding platform for photos afterwards. This is the operating rule that protects show quality without losing nightly capacity.</w:t>
      </w:r>
    </w:p>
    <w:p>
      <w:pPr>
        <w:pStyle w:val="ListBullet"/>
        <w:spacing w:after="40"/>
        <w:ind w:left="283"/>
      </w:pPr>
      <w:r>
        <w:rPr>
          <w:rFonts w:ascii="Calibri" w:hAnsi="Calibri"/>
          <w:color w:val="1A1A1A"/>
          <w:sz w:val="22"/>
        </w:rPr>
        <w:t>ARPU is held at the baseline AED 170 day / AED 361 night because value is driven by the LED show + museum themes + Saadiyat ecosystem, not by raw altitude. A moderate ARPU haircut is carried as a downside sensitivity only.</w:t>
      </w:r>
    </w:p>
    <w:p>
      <w:pPr>
        <w:pStyle w:val="ListBullet"/>
        <w:spacing w:after="40"/>
        <w:ind w:left="283"/>
      </w:pPr>
      <w:r>
        <w:rPr>
          <w:rFonts w:ascii="Calibri" w:hAnsi="Calibri"/>
          <w:color w:val="1A1A1A"/>
          <w:sz w:val="22"/>
        </w:rPr>
        <w:t>The revised base case still supports a credible investment story: AED 22.2 M revenue, AED 12.4 M EBITDA, ~2.1-year payback, ~35 % 10-year IRR, AED 51.4 M NPV at 8 %, 4.7× MOIC.</w:t>
      </w:r>
    </w:p>
    <w:p>
      <w:pPr>
        <w:spacing w:before="360" w:after="160"/>
      </w:pPr>
      <w:r>
        <w:rPr>
          <w:rFonts w:ascii="Calibri" w:hAnsi="Calibri"/>
          <w:b/>
          <w:color w:val="1A1A1A"/>
          <w:sz w:val="40"/>
        </w:rPr>
        <w:t>Appendix A — Cross-reference to PitchDeck v2 (index.html)</w:t>
      </w:r>
    </w:p>
    <w:p>
      <w:pPr>
        <w:spacing w:after="80"/>
      </w:pPr>
      <w:r>
        <w:rPr>
          <w:rFonts w:ascii="Calibri" w:hAnsi="Calibri"/>
          <w:b w:val="0"/>
          <w:i w:val="0"/>
          <w:color w:val="1A1A1A"/>
          <w:sz w:val="22"/>
        </w:rPr>
        <w:t>This appendix lists every headline figure in the revised deck that this memo is the source of. Where the deck currently shows a value inherited from an earlier revision and not yet updated to the figures below, that gap is flagged for follow-up.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835"/>
            <w:shd w:val="clear" w:color="auto" w:fill="F1E9D2"/>
            <w:vAlign w:val="center"/>
          </w:tcPr>
          <w:p>
            <w:r/>
            <w:r>
              <w:rPr>
                <w:rFonts w:ascii="Calibri" w:hAnsi="Calibri"/>
                <w:b/>
                <w:color w:val="1A1A1A"/>
                <w:sz w:val="20"/>
              </w:rPr>
              <w:t>Deck location</w:t>
            </w:r>
          </w:p>
        </w:tc>
        <w:tc>
          <w:tcPr>
            <w:tcW w:type="dxa" w:w="2551"/>
            <w:shd w:val="clear" w:color="auto" w:fill="F1E9D2"/>
            <w:vAlign w:val="center"/>
          </w:tcPr>
          <w:p>
            <w:r/>
            <w:r>
              <w:rPr>
                <w:rFonts w:ascii="Calibri" w:hAnsi="Calibri"/>
                <w:b/>
                <w:color w:val="1A1A1A"/>
                <w:sz w:val="20"/>
              </w:rPr>
              <w:t>Headline figure (this memo)</w:t>
            </w:r>
          </w:p>
        </w:tc>
        <w:tc>
          <w:tcPr>
            <w:tcW w:type="dxa" w:w="3685"/>
            <w:shd w:val="clear" w:color="auto" w:fill="F1E9D2"/>
            <w:vAlign w:val="center"/>
          </w:tcPr>
          <w:p>
            <w:r/>
            <w:r>
              <w:rPr>
                <w:rFonts w:ascii="Calibri" w:hAnsi="Calibri"/>
                <w:b/>
                <w:color w:val="1A1A1A"/>
                <w:sz w:val="20"/>
              </w:rPr>
              <w:t>Notes</w:t>
            </w:r>
          </w:p>
        </w:tc>
      </w:tr>
      <w:tr>
        <w:tc>
          <w:tcPr>
            <w:tcW w:type="dxa" w:w="2835"/>
            <w:vAlign w:val="center"/>
          </w:tcPr>
          <w:p>
            <w:pPr>
              <w:jc w:val="left"/>
            </w:pPr>
            <w:r/>
            <w:r>
              <w:rPr>
                <w:rFonts w:ascii="Calibri" w:hAnsi="Calibri"/>
                <w:color w:val="1A1A1A"/>
                <w:sz w:val="20"/>
              </w:rPr>
              <w:t>Slide 1 hero — altitude stat</w:t>
            </w:r>
          </w:p>
        </w:tc>
        <w:tc>
          <w:tcPr>
            <w:tcW w:type="dxa" w:w="2551"/>
            <w:vAlign w:val="center"/>
          </w:tcPr>
          <w:p>
            <w:pPr>
              <w:jc w:val="right"/>
            </w:pPr>
            <w:r/>
            <w:r>
              <w:rPr>
                <w:rFonts w:ascii="Calibri" w:hAnsi="Calibri"/>
                <w:color w:val="1A1A1A"/>
                <w:sz w:val="20"/>
              </w:rPr>
              <w:t>150 m</w:t>
            </w:r>
          </w:p>
        </w:tc>
        <w:tc>
          <w:tcPr>
            <w:tcW w:type="dxa" w:w="3685"/>
            <w:vAlign w:val="center"/>
          </w:tcPr>
          <w:p>
            <w:pPr>
              <w:jc w:val="right"/>
            </w:pPr>
            <w:r/>
            <w:r>
              <w:rPr>
                <w:rFonts w:ascii="Calibri" w:hAnsi="Calibri"/>
                <w:color w:val="1A1A1A"/>
                <w:sz w:val="20"/>
              </w:rPr>
              <w:t>Replaces previous 300 m stat.</w:t>
            </w:r>
          </w:p>
        </w:tc>
      </w:tr>
      <w:tr>
        <w:tc>
          <w:tcPr>
            <w:tcW w:type="dxa" w:w="2835"/>
            <w:vAlign w:val="center"/>
          </w:tcPr>
          <w:p>
            <w:pPr>
              <w:jc w:val="left"/>
            </w:pPr>
            <w:r/>
            <w:r>
              <w:rPr>
                <w:rFonts w:ascii="Calibri" w:hAnsi="Calibri"/>
                <w:color w:val="1A1A1A"/>
                <w:sz w:val="20"/>
              </w:rPr>
              <w:t>Slide 3 — night ride cycle length</w:t>
            </w:r>
          </w:p>
        </w:tc>
        <w:tc>
          <w:tcPr>
            <w:tcW w:type="dxa" w:w="2551"/>
            <w:vAlign w:val="center"/>
          </w:tcPr>
          <w:p>
            <w:pPr>
              <w:jc w:val="right"/>
            </w:pPr>
            <w:r/>
            <w:r>
              <w:rPr>
                <w:rFonts w:ascii="Calibri" w:hAnsi="Calibri"/>
                <w:color w:val="1A1A1A"/>
                <w:sz w:val="20"/>
              </w:rPr>
              <w:t>20-minute batch</w:t>
            </w:r>
          </w:p>
        </w:tc>
        <w:tc>
          <w:tcPr>
            <w:tcW w:type="dxa" w:w="3685"/>
            <w:vAlign w:val="center"/>
          </w:tcPr>
          <w:p>
            <w:pPr>
              <w:jc w:val="right"/>
            </w:pPr>
            <w:r/>
            <w:r>
              <w:rPr>
                <w:rFonts w:ascii="Calibri" w:hAnsi="Calibri"/>
                <w:color w:val="1A1A1A"/>
                <w:sz w:val="20"/>
              </w:rPr>
              <w:t>Replaces previous ~41-minute single cycle.</w:t>
            </w:r>
          </w:p>
        </w:tc>
      </w:tr>
      <w:tr>
        <w:tc>
          <w:tcPr>
            <w:tcW w:type="dxa" w:w="2835"/>
            <w:vAlign w:val="center"/>
          </w:tcPr>
          <w:p>
            <w:pPr>
              <w:jc w:val="left"/>
            </w:pPr>
            <w:r/>
            <w:r>
              <w:rPr>
                <w:rFonts w:ascii="Calibri" w:hAnsi="Calibri"/>
                <w:color w:val="1A1A1A"/>
                <w:sz w:val="20"/>
              </w:rPr>
              <w:t>Slide 3 — peak altitude step</w:t>
            </w:r>
          </w:p>
        </w:tc>
        <w:tc>
          <w:tcPr>
            <w:tcW w:type="dxa" w:w="2551"/>
            <w:vAlign w:val="center"/>
          </w:tcPr>
          <w:p>
            <w:pPr>
              <w:jc w:val="right"/>
            </w:pPr>
            <w:r/>
            <w:r>
              <w:rPr>
                <w:rFonts w:ascii="Calibri" w:hAnsi="Calibri"/>
                <w:color w:val="1A1A1A"/>
                <w:sz w:val="20"/>
              </w:rPr>
              <w:t>150 m</w:t>
            </w:r>
          </w:p>
        </w:tc>
        <w:tc>
          <w:tcPr>
            <w:tcW w:type="dxa" w:w="3685"/>
            <w:vAlign w:val="center"/>
          </w:tcPr>
          <w:p>
            <w:pPr>
              <w:jc w:val="right"/>
            </w:pPr>
            <w:r/>
            <w:r>
              <w:rPr>
                <w:rFonts w:ascii="Calibri" w:hAnsi="Calibri"/>
                <w:color w:val="1A1A1A"/>
                <w:sz w:val="20"/>
              </w:rPr>
              <w:t>Replaces previous 300 m peak.</w:t>
            </w:r>
          </w:p>
        </w:tc>
      </w:tr>
      <w:tr>
        <w:tc>
          <w:tcPr>
            <w:tcW w:type="dxa" w:w="2835"/>
            <w:vAlign w:val="center"/>
          </w:tcPr>
          <w:p>
            <w:pPr>
              <w:jc w:val="left"/>
            </w:pPr>
            <w:r/>
            <w:r>
              <w:rPr>
                <w:rFonts w:ascii="Calibri" w:hAnsi="Calibri"/>
                <w:color w:val="1A1A1A"/>
                <w:sz w:val="20"/>
              </w:rPr>
              <w:t>Slide 3 — descent narrative</w:t>
            </w:r>
          </w:p>
        </w:tc>
        <w:tc>
          <w:tcPr>
            <w:tcW w:type="dxa" w:w="2551"/>
            <w:vAlign w:val="center"/>
          </w:tcPr>
          <w:p>
            <w:pPr>
              <w:jc w:val="right"/>
            </w:pPr>
            <w:r/>
            <w:r>
              <w:rPr>
                <w:rFonts w:ascii="Calibri" w:hAnsi="Calibri"/>
                <w:color w:val="1A1A1A"/>
                <w:sz w:val="20"/>
              </w:rPr>
              <w:t>125 m at 40 m/min</w:t>
            </w:r>
          </w:p>
        </w:tc>
        <w:tc>
          <w:tcPr>
            <w:tcW w:type="dxa" w:w="3685"/>
            <w:vAlign w:val="center"/>
          </w:tcPr>
          <w:p>
            <w:pPr>
              <w:jc w:val="right"/>
            </w:pPr>
            <w:r/>
            <w:r>
              <w:rPr>
                <w:rFonts w:ascii="Calibri" w:hAnsi="Calibri"/>
                <w:color w:val="1A1A1A"/>
                <w:sz w:val="20"/>
              </w:rPr>
              <w:t>Replaces previous "275 m at 40 m/min".</w:t>
            </w:r>
          </w:p>
        </w:tc>
      </w:tr>
      <w:tr>
        <w:tc>
          <w:tcPr>
            <w:tcW w:type="dxa" w:w="2835"/>
            <w:vAlign w:val="center"/>
          </w:tcPr>
          <w:p>
            <w:pPr>
              <w:jc w:val="left"/>
            </w:pPr>
            <w:r/>
            <w:r>
              <w:rPr>
                <w:rFonts w:ascii="Calibri" w:hAnsi="Calibri"/>
                <w:color w:val="1A1A1A"/>
                <w:sz w:val="20"/>
              </w:rPr>
              <w:t>Slide 3 — finale narrative</w:t>
            </w:r>
          </w:p>
        </w:tc>
        <w:tc>
          <w:tcPr>
            <w:tcW w:type="dxa" w:w="2551"/>
            <w:vAlign w:val="center"/>
          </w:tcPr>
          <w:p>
            <w:pPr>
              <w:jc w:val="right"/>
            </w:pPr>
            <w:r/>
            <w:r>
              <w:rPr>
                <w:rFonts w:ascii="Calibri" w:hAnsi="Calibri"/>
                <w:color w:val="1A1A1A"/>
                <w:sz w:val="20"/>
              </w:rPr>
              <w:t>Photo dwell on platform</w:t>
            </w:r>
          </w:p>
        </w:tc>
        <w:tc>
          <w:tcPr>
            <w:tcW w:type="dxa" w:w="3685"/>
            <w:vAlign w:val="center"/>
          </w:tcPr>
          <w:p>
            <w:pPr>
              <w:jc w:val="right"/>
            </w:pPr>
            <w:r/>
            <w:r>
              <w:rPr>
                <w:rFonts w:ascii="Calibri" w:hAnsi="Calibri"/>
                <w:color w:val="1A1A1A"/>
                <w:sz w:val="20"/>
              </w:rPr>
              <w:t>New beat: hallway-closed-during-show is operationally invisible because guests linger on the platform.</w:t>
            </w:r>
          </w:p>
        </w:tc>
      </w:tr>
      <w:tr>
        <w:tc>
          <w:tcPr>
            <w:tcW w:type="dxa" w:w="2835"/>
            <w:vAlign w:val="center"/>
          </w:tcPr>
          <w:p>
            <w:pPr>
              <w:jc w:val="left"/>
            </w:pPr>
            <w:r/>
            <w:r>
              <w:rPr>
                <w:rFonts w:ascii="Calibri" w:hAnsi="Calibri"/>
                <w:color w:val="1A1A1A"/>
                <w:sz w:val="20"/>
              </w:rPr>
              <w:t>Slide 6 — CAPEX (single-spec aluminum)</w:t>
            </w:r>
          </w:p>
        </w:tc>
        <w:tc>
          <w:tcPr>
            <w:tcW w:type="dxa" w:w="2551"/>
            <w:vAlign w:val="center"/>
          </w:tcPr>
          <w:p>
            <w:pPr>
              <w:jc w:val="right"/>
            </w:pPr>
            <w:r/>
            <w:r>
              <w:rPr>
                <w:rFonts w:ascii="Calibri" w:hAnsi="Calibri"/>
                <w:color w:val="1A1A1A"/>
                <w:sz w:val="20"/>
              </w:rPr>
              <w:t>AED 25.9 M</w:t>
            </w:r>
          </w:p>
        </w:tc>
        <w:tc>
          <w:tcPr>
            <w:tcW w:type="dxa" w:w="3685"/>
            <w:vAlign w:val="center"/>
          </w:tcPr>
          <w:p>
            <w:pPr>
              <w:jc w:val="right"/>
            </w:pPr>
            <w:r/>
            <w:r>
              <w:rPr>
                <w:rFonts w:ascii="Calibri" w:hAnsi="Calibri"/>
                <w:color w:val="1A1A1A"/>
                <w:sz w:val="20"/>
              </w:rPr>
              <w:t>Unchanged from blueprint.</w:t>
            </w:r>
          </w:p>
        </w:tc>
      </w:tr>
      <w:tr>
        <w:tc>
          <w:tcPr>
            <w:tcW w:type="dxa" w:w="2835"/>
            <w:vAlign w:val="center"/>
          </w:tcPr>
          <w:p>
            <w:pPr>
              <w:jc w:val="left"/>
            </w:pPr>
            <w:r/>
            <w:r>
              <w:rPr>
                <w:rFonts w:ascii="Calibri" w:hAnsi="Calibri"/>
                <w:color w:val="1A1A1A"/>
                <w:sz w:val="20"/>
              </w:rPr>
              <w:t>Slide 7 — annual revenue (Base)</w:t>
            </w:r>
          </w:p>
        </w:tc>
        <w:tc>
          <w:tcPr>
            <w:tcW w:type="dxa" w:w="2551"/>
            <w:vAlign w:val="center"/>
          </w:tcPr>
          <w:p>
            <w:pPr>
              <w:jc w:val="right"/>
            </w:pPr>
            <w:r/>
            <w:r>
              <w:rPr>
                <w:rFonts w:ascii="Calibri" w:hAnsi="Calibri"/>
                <w:color w:val="1A1A1A"/>
                <w:sz w:val="20"/>
              </w:rPr>
              <w:t>AED 22.2 M</w:t>
            </w:r>
          </w:p>
        </w:tc>
        <w:tc>
          <w:tcPr>
            <w:tcW w:type="dxa" w:w="3685"/>
            <w:vAlign w:val="center"/>
          </w:tcPr>
          <w:p>
            <w:pPr>
              <w:jc w:val="right"/>
            </w:pPr>
            <w:r/>
            <w:r>
              <w:rPr>
                <w:rFonts w:ascii="Calibri" w:hAnsi="Calibri"/>
                <w:color w:val="1A1A1A"/>
                <w:sz w:val="20"/>
              </w:rPr>
              <w:t>Replaces interim AED 19.6 M figure if still present.</w:t>
            </w:r>
          </w:p>
        </w:tc>
      </w:tr>
      <w:tr>
        <w:tc>
          <w:tcPr>
            <w:tcW w:type="dxa" w:w="2835"/>
            <w:vAlign w:val="center"/>
          </w:tcPr>
          <w:p>
            <w:pPr>
              <w:jc w:val="left"/>
            </w:pPr>
            <w:r/>
            <w:r>
              <w:rPr>
                <w:rFonts w:ascii="Calibri" w:hAnsi="Calibri"/>
                <w:color w:val="1A1A1A"/>
                <w:sz w:val="20"/>
              </w:rPr>
              <w:t>Slide 7 — EBITDA (Base)</w:t>
            </w:r>
          </w:p>
        </w:tc>
        <w:tc>
          <w:tcPr>
            <w:tcW w:type="dxa" w:w="2551"/>
            <w:vAlign w:val="center"/>
          </w:tcPr>
          <w:p>
            <w:pPr>
              <w:jc w:val="right"/>
            </w:pPr>
            <w:r/>
            <w:r>
              <w:rPr>
                <w:rFonts w:ascii="Calibri" w:hAnsi="Calibri"/>
                <w:color w:val="1A1A1A"/>
                <w:sz w:val="20"/>
              </w:rPr>
              <w:t>AED 12.4 M</w:t>
            </w:r>
          </w:p>
        </w:tc>
        <w:tc>
          <w:tcPr>
            <w:tcW w:type="dxa" w:w="3685"/>
            <w:vAlign w:val="center"/>
          </w:tcPr>
          <w:p>
            <w:pPr>
              <w:jc w:val="right"/>
            </w:pPr>
            <w:r/>
            <w:r>
              <w:rPr>
                <w:rFonts w:ascii="Calibri" w:hAnsi="Calibri"/>
                <w:color w:val="1A1A1A"/>
                <w:sz w:val="20"/>
              </w:rPr>
              <w:t>Replaces interim AED 9.8 M figure if still present.</w:t>
            </w:r>
          </w:p>
        </w:tc>
      </w:tr>
      <w:tr>
        <w:tc>
          <w:tcPr>
            <w:tcW w:type="dxa" w:w="2835"/>
            <w:vAlign w:val="center"/>
          </w:tcPr>
          <w:p>
            <w:pPr>
              <w:jc w:val="left"/>
            </w:pPr>
            <w:r/>
            <w:r>
              <w:rPr>
                <w:rFonts w:ascii="Calibri" w:hAnsi="Calibri"/>
                <w:color w:val="1A1A1A"/>
                <w:sz w:val="20"/>
              </w:rPr>
              <w:t>Slide 7 — 10-year IRR (Base)</w:t>
            </w:r>
          </w:p>
        </w:tc>
        <w:tc>
          <w:tcPr>
            <w:tcW w:type="dxa" w:w="2551"/>
            <w:vAlign w:val="center"/>
          </w:tcPr>
          <w:p>
            <w:pPr>
              <w:jc w:val="right"/>
            </w:pPr>
            <w:r/>
            <w:r>
              <w:rPr>
                <w:rFonts w:ascii="Calibri" w:hAnsi="Calibri"/>
                <w:color w:val="1A1A1A"/>
                <w:sz w:val="20"/>
              </w:rPr>
              <w:t>~35 %</w:t>
            </w:r>
          </w:p>
        </w:tc>
        <w:tc>
          <w:tcPr>
            <w:tcW w:type="dxa" w:w="3685"/>
            <w:vAlign w:val="center"/>
          </w:tcPr>
          <w:p>
            <w:pPr>
              <w:jc w:val="right"/>
            </w:pPr>
            <w:r/>
            <w:r>
              <w:rPr>
                <w:rFonts w:ascii="Calibri" w:hAnsi="Calibri"/>
                <w:color w:val="1A1A1A"/>
                <w:sz w:val="20"/>
              </w:rPr>
              <w:t>Replaces interim ~27 % figure if still present.</w:t>
            </w:r>
          </w:p>
        </w:tc>
      </w:tr>
      <w:tr>
        <w:tc>
          <w:tcPr>
            <w:tcW w:type="dxa" w:w="2835"/>
            <w:vAlign w:val="center"/>
          </w:tcPr>
          <w:p>
            <w:pPr>
              <w:jc w:val="left"/>
            </w:pPr>
            <w:r/>
            <w:r>
              <w:rPr>
                <w:rFonts w:ascii="Calibri" w:hAnsi="Calibri"/>
                <w:color w:val="1A1A1A"/>
                <w:sz w:val="20"/>
              </w:rPr>
              <w:t>Slide 7 — 10-year NPV at 8 %</w:t>
            </w:r>
          </w:p>
        </w:tc>
        <w:tc>
          <w:tcPr>
            <w:tcW w:type="dxa" w:w="2551"/>
            <w:vAlign w:val="center"/>
          </w:tcPr>
          <w:p>
            <w:pPr>
              <w:jc w:val="right"/>
            </w:pPr>
            <w:r/>
            <w:r>
              <w:rPr>
                <w:rFonts w:ascii="Calibri" w:hAnsi="Calibri"/>
                <w:color w:val="1A1A1A"/>
                <w:sz w:val="20"/>
              </w:rPr>
              <w:t>AED 51.4 M</w:t>
            </w:r>
          </w:p>
        </w:tc>
        <w:tc>
          <w:tcPr>
            <w:tcW w:type="dxa" w:w="3685"/>
            <w:vAlign w:val="center"/>
          </w:tcPr>
          <w:p>
            <w:pPr>
              <w:jc w:val="right"/>
            </w:pPr>
            <w:r/>
            <w:r>
              <w:rPr>
                <w:rFonts w:ascii="Calibri" w:hAnsi="Calibri"/>
                <w:color w:val="1A1A1A"/>
                <w:sz w:val="20"/>
              </w:rPr>
              <w:t>Replaces interim AED 34 M figure if still present.</w:t>
            </w:r>
          </w:p>
        </w:tc>
      </w:tr>
      <w:tr>
        <w:tc>
          <w:tcPr>
            <w:tcW w:type="dxa" w:w="2835"/>
            <w:vAlign w:val="center"/>
          </w:tcPr>
          <w:p>
            <w:pPr>
              <w:jc w:val="left"/>
            </w:pPr>
            <w:r/>
            <w:r>
              <w:rPr>
                <w:rFonts w:ascii="Calibri" w:hAnsi="Calibri"/>
                <w:color w:val="1A1A1A"/>
                <w:sz w:val="20"/>
              </w:rPr>
              <w:t>Slide 7 — 10-year MOIC</w:t>
            </w:r>
          </w:p>
        </w:tc>
        <w:tc>
          <w:tcPr>
            <w:tcW w:type="dxa" w:w="2551"/>
            <w:vAlign w:val="center"/>
          </w:tcPr>
          <w:p>
            <w:pPr>
              <w:jc w:val="right"/>
            </w:pPr>
            <w:r/>
            <w:r>
              <w:rPr>
                <w:rFonts w:ascii="Calibri" w:hAnsi="Calibri"/>
                <w:color w:val="1A1A1A"/>
                <w:sz w:val="20"/>
              </w:rPr>
              <w:t>4.7×</w:t>
            </w:r>
          </w:p>
        </w:tc>
        <w:tc>
          <w:tcPr>
            <w:tcW w:type="dxa" w:w="3685"/>
            <w:vAlign w:val="center"/>
          </w:tcPr>
          <w:p>
            <w:pPr>
              <w:jc w:val="right"/>
            </w:pPr>
            <w:r/>
            <w:r>
              <w:rPr>
                <w:rFonts w:ascii="Calibri" w:hAnsi="Calibri"/>
                <w:color w:val="1A1A1A"/>
                <w:sz w:val="20"/>
              </w:rPr>
              <w:t>Replaces interim 3.6× figure if still present.</w:t>
            </w:r>
          </w:p>
        </w:tc>
      </w:tr>
    </w:tbl>
    <w:p>
      <w:pPr>
        <w:spacing w:after="80"/>
      </w:pPr>
      <w:r>
        <w:rPr>
          <w:rFonts w:ascii="Calibri" w:hAnsi="Calibri"/>
          <w:b w:val="0"/>
          <w:i w:val="0"/>
          <w:color w:val="1A1A1A"/>
          <w:sz w:val="22"/>
        </w:rPr>
      </w:r>
    </w:p>
    <w:p>
      <w:pPr>
        <w:spacing w:after="80"/>
        <w:jc w:val="center"/>
      </w:pPr>
      <w:r>
        <w:rPr>
          <w:rFonts w:ascii="Calibri" w:hAnsi="Calibri"/>
          <w:b w:val="0"/>
          <w:i/>
          <w:color w:val="555555"/>
          <w:sz w:val="20"/>
        </w:rPr>
        <w:t>— end of memo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