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/>
          <w:b/>
          <w:i w:val="0"/>
          <w:color w:val="7A5A00"/>
          <w:sz w:val="20"/>
        </w:rPr>
        <w:t>CEO REVIEW MEMO</w:t>
      </w:r>
    </w:p>
    <w:p>
      <w:pPr>
        <w:spacing w:after="80"/>
      </w:pPr>
      <w:r>
        <w:rPr>
          <w:rFonts w:ascii="Calibri" w:hAnsi="Calibri"/>
          <w:b/>
          <w:color w:val="1E1E1E"/>
          <w:sz w:val="46"/>
        </w:rPr>
        <w:t>Canvas From The Sky - Financial Model Revision</w:t>
      </w:r>
    </w:p>
    <w:p>
      <w:pPr>
        <w:spacing w:before="0" w:after="240" w:line="264" w:lineRule="auto"/>
      </w:pPr>
      <w:r>
        <w:rPr>
          <w:rFonts w:ascii="Calibri" w:hAnsi="Calibri"/>
          <w:b w:val="0"/>
          <w:i w:val="0"/>
          <w:color w:val="5F5F5F"/>
          <w:sz w:val="26"/>
        </w:rPr>
        <w:t>150m planning height, 25-guest commercial cap, 20-minute night cycle, original ARPU main case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To: </w:t>
      </w:r>
      <w:r>
        <w:rPr>
          <w:rFonts w:ascii="Calibri" w:hAnsi="Calibri"/>
          <w:color w:val="1E1E1E"/>
          <w:sz w:val="21"/>
        </w:rPr>
        <w:t>CEO / Executive Review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Date: </w:t>
      </w:r>
      <w:r>
        <w:rPr>
          <w:rFonts w:ascii="Calibri" w:hAnsi="Calibri"/>
          <w:color w:val="1E1E1E"/>
          <w:sz w:val="21"/>
        </w:rPr>
        <w:t>15 May 2026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Status: </w:t>
      </w:r>
      <w:r>
        <w:rPr>
          <w:rFonts w:ascii="Calibri" w:hAnsi="Calibri"/>
          <w:color w:val="1E1E1E"/>
          <w:sz w:val="21"/>
        </w:rPr>
        <w:t>For approval before pitch deck HTML updates</w:t>
      </w:r>
    </w:p>
    <w:p>
      <w:pPr>
        <w:spacing w:before="0" w:after="40" w:line="264" w:lineRule="auto"/>
      </w:pPr>
      <w:r>
        <w:rPr>
          <w:rFonts w:ascii="Calibri" w:hAnsi="Calibri"/>
          <w:b/>
          <w:color w:val="1E1E1E"/>
          <w:sz w:val="21"/>
        </w:rPr>
        <w:t xml:space="preserve">Source: </w:t>
      </w:r>
      <w:r>
        <w:rPr>
          <w:rFonts w:ascii="Calibri" w:hAnsi="Calibri"/>
          <w:color w:val="1E1E1E"/>
          <w:sz w:val="21"/>
        </w:rPr>
        <w:t>financial-model-revision-150m.md and previous pitch-blueprint.md baseline</w:t>
      </w:r>
    </w:p>
    <w:p>
      <w:pPr>
        <w:spacing w:before="0" w:after="160" w:line="264" w:lineRule="auto"/>
      </w:pPr>
    </w:p>
    <w:tbl>
      <w:tblPr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4EC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7A5A00"/>
                <w:sz w:val="21"/>
              </w:rPr>
              <w:t>Decision focus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1E1E1E"/>
                <w:sz w:val="21"/>
              </w:rPr>
              <w:t>The revised model keeps the original ARPU because the attraction remains up-to-300m capable. The 150m assumption is used for wind-condition operating planning, while the reduced-ARPU case is retained only as a downside sensitivity.</w:t>
            </w:r>
          </w:p>
        </w:tc>
      </w:tr>
    </w:tbl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Previous Pitch Model vs Revised Main Case</w:t>
      </w:r>
    </w:p>
    <w:p>
      <w:pPr>
        <w:spacing w:after="120"/>
      </w:pPr>
      <w:r>
        <w:rPr>
          <w:rFonts w:ascii="Calibri" w:hAnsi="Calibri"/>
          <w:color w:val="1E1E1E"/>
          <w:sz w:val="21"/>
        </w:rPr>
        <w:t>This table isolates the financial movement from the previous investor pitch model to the revised CEO-review model.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750"/>
        <w:gridCol w:w="2200"/>
        <w:gridCol w:w="2200"/>
        <w:gridCol w:w="2210"/>
      </w:tblGrid>
      <w:tr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Metric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Previous Pitch Model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Revised Main Case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Change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Base annual revenue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AED 24.7M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-AED 2.5M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Base EBITDA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AED 14.9M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-AED 2.5M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EBITDA margin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60%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56%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-4 pts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Simple payback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~1.6 years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~2.1 years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+0.5 years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10-year IRR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~58%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-23 pts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NPV at 8%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AED 85M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51.4M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-AED 33.6M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MOIC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color w:val="1E1E1E"/>
                <w:sz w:val="18"/>
              </w:rPr>
              <w:t>~5.5x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~4.7x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-0.8x</w:t>
            </w:r>
          </w:p>
        </w:tc>
      </w:tr>
    </w:tbl>
    <w:p>
      <w:pPr>
        <w:spacing w:before="0" w:after="160" w:line="264" w:lineRule="auto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Comparison: Previous Pitch Model vs. Proposed Revision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650"/>
        <w:gridCol w:w="3355"/>
        <w:gridCol w:w="3355"/>
      </w:tblGrid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Metric / Assumption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Previous Pitch Model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Proposed revision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Max operating height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300m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Up to 300m; planning at 150m for wind conditions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Basket capacity used in model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30 guests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25 guests commercial cap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Operating days / nights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300 per year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250 per year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rides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rides/day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rides/day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operation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8 rides/night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20-min cycle; 16 batches/night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blended ARPU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blended ARPU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annual revenue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24.7M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EBITDA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14.9M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payback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~1.6 years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~2.1 years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IRR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~58%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NPV at 8%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85M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AED 51.4M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MOIC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~5.5x</w:t>
            </w:r>
          </w:p>
        </w:tc>
        <w:tc>
          <w:tcPr>
            <w:tcW w:type="dxa" w:w="3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~4.7x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Executive Summary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CEO suggestion lowers the planning altitude to 150m and uses a faster 20-minute night cycle. Because the attraction remains technically capable of 300m, the main case keeps original blended ARPU. The faster night cycle protects throughput despite the 25-guest commercial cap and higher weather cancellation allowance.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5200"/>
        <w:gridCol w:w="4160"/>
      </w:tblGrid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Metric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Base Case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Annual revenue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EBITDA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EBITDA margin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56%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Simple payback on AED 25.9M CAPEX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~2.1 years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IRR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NPV at 8%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~AED 51.4M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MOIC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~4.7x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Previous Model Baseline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earlier documented model in pitch-blueprint.md used the following baseline: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5200"/>
        <w:gridCol w:w="4160"/>
      </w:tblGrid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Assumption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Previous Pitch Model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Max balloon height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300m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Basket capacity used in model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30 guests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Operating days / nights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300 per year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rides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8 rides per night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blended ARPU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blended ARPU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annual revenue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24.7M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EBITDA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14.9M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Base simple payback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~1.6 years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Revised Operating Assumptions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Assumption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Model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Rationale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Max balloon height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Up to 300m; planning at 150m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Operational cap likely under wind/safety conditions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Basket commercial cap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25 guests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More conservative than full 30-pax physical capacity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Operating days / nights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250/year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Higher weather cancellation and downtime allowance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rides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6/day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Same day operating structure as previous model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cycle time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20 minutes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CEO suggested standard night experience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batches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16/night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3 batches/hour across ~5.5-hour night window, rounded down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All-Access usage factor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1.4 rides / unique guest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Same logic as previous model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Aluminum CAPEX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25.9M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Single-spec aluminum plate tile model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Capacity Impact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passenger cap reduces per-batch capacity, but the night cycle change increases nightly throughput.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500"/>
        <w:gridCol w:w="2500"/>
        <w:gridCol w:w="2500"/>
        <w:gridCol w:w="18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Capacity Line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Previous Pitch Model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Revised Model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Change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seat capacity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x 30 = 180/day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6 x 25 = 150/day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-16.7%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seat capacity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8 x 30 = 240/night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16 x 25 = 400/night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+66.7%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Pricing Assumption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main model keeps the previous ARPU because the attraction remains technically capable of 300m. The 150m operating level is a planning and wind-condition assumption, not a new lower-priced product tier.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700"/>
        <w:gridCol w:w="2400"/>
        <w:gridCol w:w="2400"/>
        <w:gridCol w:w="18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ARPU Line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Previous 300m Model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Main Case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Change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blended ARPU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170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0%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blended ARPU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361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0%</w:t>
            </w:r>
          </w:p>
        </w:tc>
      </w:tr>
    </w:tbl>
    <w:p>
      <w:pPr>
        <w:spacing w:before="0" w:after="120" w:line="264" w:lineRule="auto"/>
      </w:pPr>
    </w:p>
    <w:p>
      <w:pPr>
        <w:pStyle w:val="ListBullet"/>
        <w:spacing w:after="80" w:line="280" w:lineRule="auto"/>
      </w:pPr>
      <w:r>
        <w:rPr>
          <w:rFonts w:ascii="Calibri" w:hAnsi="Calibri"/>
          <w:color w:val="1E1E1E"/>
          <w:sz w:val="22"/>
        </w:rPr>
        <w:t>The product remains designed and marketed as an up-to-300m balloon attraction.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E1E1E"/>
          <w:sz w:val="22"/>
        </w:rPr>
        <w:t>Operational capping at 150m is driven by wind and safety conditions, not by a lower product promise.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E1E1E"/>
          <w:sz w:val="22"/>
        </w:rPr>
        <w:t>The reduced-ARPU case should be shown as downside sensitivity, not the headline model.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Revenue Calculation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Day ticket revenue:</w:t>
      </w:r>
    </w:p>
    <w:tbl>
      <w:tblPr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after="0"/>
            </w:pPr>
            <w:r>
              <w:rPr>
                <w:rFonts w:ascii="Courier New" w:hAnsi="Courier New"/>
                <w:color w:val="1E1E1E"/>
                <w:sz w:val="19"/>
              </w:rPr>
              <w:t>6 rides/day x 25 guests x load x 250 operating days x AED 170 ARPU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Night ticket revenue:</w:t>
      </w:r>
    </w:p>
    <w:tbl>
      <w:tblPr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after="0"/>
            </w:pPr>
            <w:r>
              <w:rPr>
                <w:rFonts w:ascii="Courier New" w:hAnsi="Courier New"/>
                <w:color w:val="1E1E1E"/>
                <w:sz w:val="19"/>
              </w:rPr>
              <w:t>16 batches/night x 25 guests x load x 250 operating nights</w:t>
            </w:r>
            <w:r>
              <w:br/>
            </w:r>
            <w:r>
              <w:rPr>
                <w:rFonts w:ascii="Courier New" w:hAnsi="Courier New"/>
                <w:color w:val="1E1E1E"/>
                <w:sz w:val="19"/>
              </w:rPr>
              <w:t>/ 1.4 rides per unique guest x AED 361 ARPU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Scenario Revenue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3600"/>
        <w:gridCol w:w="1920"/>
        <w:gridCol w:w="1920"/>
        <w:gridCol w:w="1920"/>
      </w:tblGrid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Revenue Stream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Conservative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Base Case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Strong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Day ticket revenue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2.0M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3.7M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4.7M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Night ticket revenue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8.3M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15.0M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18.8M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F&amp;B / retail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0.3M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0.7M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1.1M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Sponsorship - content + branding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0.7M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1.6M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2.2M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Museum partnership + cross-sell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0.1M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0.4M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0.5M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Private gondola + VIP events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0.4M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0.8M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1.0M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Total annual revenue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11.8M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28.3M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EBITDA and Payback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model keeps OpEx close to the previous documented structure: AED 9.5M conservative, AED 9.8M base, and AED 10.1M strong.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200"/>
        <w:gridCol w:w="1550"/>
        <w:gridCol w:w="1500"/>
        <w:gridCol w:w="1650"/>
        <w:gridCol w:w="1180"/>
        <w:gridCol w:w="128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Scenario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Revenue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OpEx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EBITDA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Margin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Payback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Conservative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11.8M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9.5M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2.3M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19%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~11.3 yrs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Base Case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9.8M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56%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~2.1 yrs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Strong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28.3M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10.1M</w:t>
            </w:r>
          </w:p>
        </w:tc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18.2M</w:t>
            </w:r>
          </w:p>
        </w:tc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64%</w:t>
            </w:r>
          </w:p>
        </w:tc>
        <w:tc>
          <w:tcPr>
            <w:tcW w:type="dxa" w:w="1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~1.4 yrs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10-Year Return Estimate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base case estimate assumes Year 1 resembles the conservative ramp-up case, Year 2 reaches 85% of base EBITDA, Year 3 reaches base EBITDA, Years 4-10 grow at 4% per year, and AED 2.5M balloon envelope replacement reserves occur in Years 5 and 10.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5200"/>
        <w:gridCol w:w="4160"/>
      </w:tblGrid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Metric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Revised Base Case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IRR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NPV at 8%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~AED 51.4M</w:t>
            </w:r>
          </w:p>
        </w:tc>
      </w:tr>
      <w:t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10-year MOIC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~4.7x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Downside Sensitivity: Reduced 150m ARPU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If the CEO or investor committee wants a more conservative pricing sensitivity, use the moderate 150m ARPU haircut below.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500"/>
        <w:gridCol w:w="1800"/>
        <w:gridCol w:w="1800"/>
        <w:gridCol w:w="1600"/>
        <w:gridCol w:w="16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Scenario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Revenue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EBITDA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Margin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Payback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Conservative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10.5M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1.0M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9%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~26.0 yrs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8"/>
              </w:rPr>
              <w:t>Base Case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19.8M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10.0M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51%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~2.6 yrs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Strong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25.3M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15.2M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60%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~1.7 yrs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5F5F5F"/>
          <w:sz w:val="22"/>
        </w:rPr>
        <w:t>Base-case 10-year returns under this downside pricing sensitivity are approximately 27.7% IRR, AED 35.3M NPV at 8%, and 3.7x MOIC.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Sensitivity: Night Operating Window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E1E1E"/>
          <w:sz w:val="22"/>
        </w:rPr>
        <w:t>The night cycle is the key driver. If the 20-minute cycle is approved but the nightly window is shorter, ROI changes materially.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450"/>
        <w:gridCol w:w="1800"/>
        <w:gridCol w:w="1800"/>
        <w:gridCol w:w="1550"/>
        <w:gridCol w:w="1760"/>
      </w:tblGrid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Night Batches / Night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Base Revenue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Base EBITDA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Payback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10-Year IRR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9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15.6M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5.8M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~4.5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~12.4%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12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18.4M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8.6M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~3.0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~23.1%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15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21.2M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AED 11.4M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~2.3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~32.2%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16 batches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22.2M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AED 12.4M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~2.1 yrs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8"/>
              </w:rPr>
              <w:t>~35.0%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Key Takeaways for CEO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150m operating assumption should be reflected through capacity and operating planning, not necessarily through pricing.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25-pax commercial cap makes the model more conservative and improves guest comfort.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20-minute night cycle is the main reason the revised model still works.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model is less aggressive than the previous AED 24.7M base / AED 39.7M strong case.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E1E1E"/>
          <w:sz w:val="22"/>
        </w:rPr>
        <w:t>The revised base case still supports a credible investment story: AED 22.2M revenue, AED 12.4M EBITDA, and ~2.1-year payback.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Approval Questions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700"/>
        <w:gridCol w:w="8660"/>
      </w:tblGrid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E1E1E"/>
                <w:sz w:val="19"/>
              </w:rPr>
              <w:t>#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E1E1E"/>
                <w:sz w:val="19"/>
              </w:rPr>
              <w:t>Approval question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1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investor model present the attraction as up-to-300m capable, with 150m used for conservative operating planning?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2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basket be presented as 25 guests per batch, even if the physical basket remains 30-pax capable?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3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night show be presented as a 20-minute cycle / 3 batches per hour?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4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Is the assumed night window of ~5.5 hours / 16 batches per night acceptable?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5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investor pitch keep original ARPU as the main case: AED 170 day blended ARPU and AED 361 night blended ARPU?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1E1E1E"/>
                <w:sz w:val="18"/>
              </w:rPr>
              <w:t>6</w:t>
            </w:r>
          </w:p>
        </w:tc>
        <w:tc>
          <w:tcPr>
            <w:tcW w:type="dxa" w:w="8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1E1E1E"/>
                <w:sz w:val="18"/>
              </w:rPr>
              <w:t>Should the reduced 150m ARPU case be retained only as a downside sensitivity?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5F5F"/>
        <w:sz w:val="18"/>
      </w:rPr>
      <w:t>CEO review draft - 18 May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color w:val="5F5F5F"/>
        <w:sz w:val="18"/>
      </w:rPr>
      <w:t>Canvas From The Sky - Financial Model Revision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