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7A5A00"/>
          <w:sz w:val="20"/>
        </w:rPr>
        <w:t>CEO REVIEW MEMO</w:t>
      </w:r>
    </w:p>
    <w:p>
      <w:pPr>
        <w:spacing w:after="80"/>
      </w:pPr>
      <w:r>
        <w:rPr>
          <w:rFonts w:ascii="Calibri" w:hAnsi="Calibri"/>
          <w:b/>
          <w:color w:val="1E1E1E"/>
          <w:sz w:val="46"/>
        </w:rPr>
        <w:t>Canvas From The Sky - Financial Model Revision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F5F5F"/>
          <w:sz w:val="26"/>
        </w:rPr>
        <w:t>150m operating height, 25-guest commercial cap, and 20-minute night cycle</w:t>
      </w:r>
    </w:p>
    <w:p>
      <w:pPr>
        <w:spacing w:before="0" w:after="40" w:line="264" w:lineRule="auto"/>
      </w:pPr>
      <w:r>
        <w:rPr>
          <w:rFonts w:ascii="Calibri" w:hAnsi="Calibri"/>
          <w:b/>
          <w:color w:val="1E1E1E"/>
          <w:sz w:val="21"/>
        </w:rPr>
        <w:t xml:space="preserve">To: </w:t>
      </w:r>
      <w:r>
        <w:rPr>
          <w:rFonts w:ascii="Calibri" w:hAnsi="Calibri"/>
          <w:color w:val="1E1E1E"/>
          <w:sz w:val="21"/>
        </w:rPr>
        <w:t>CEO / Executive Review</w:t>
      </w:r>
    </w:p>
    <w:p>
      <w:pPr>
        <w:spacing w:before="0" w:after="40" w:line="264" w:lineRule="auto"/>
      </w:pPr>
      <w:r>
        <w:rPr>
          <w:rFonts w:ascii="Calibri" w:hAnsi="Calibri"/>
          <w:b/>
          <w:color w:val="1E1E1E"/>
          <w:sz w:val="21"/>
        </w:rPr>
        <w:t xml:space="preserve">Date: </w:t>
      </w:r>
      <w:r>
        <w:rPr>
          <w:rFonts w:ascii="Calibri" w:hAnsi="Calibri"/>
          <w:color w:val="1E1E1E"/>
          <w:sz w:val="21"/>
        </w:rPr>
        <w:t>15 May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1E1E1E"/>
          <w:sz w:val="21"/>
        </w:rPr>
        <w:t xml:space="preserve">Status: </w:t>
      </w:r>
      <w:r>
        <w:rPr>
          <w:rFonts w:ascii="Calibri" w:hAnsi="Calibri"/>
          <w:color w:val="1E1E1E"/>
          <w:sz w:val="21"/>
        </w:rPr>
        <w:t>For approval before pitch deck HTML updates</w:t>
      </w:r>
    </w:p>
    <w:p>
      <w:pPr>
        <w:spacing w:before="0" w:after="40" w:line="264" w:lineRule="auto"/>
      </w:pPr>
      <w:r>
        <w:rPr>
          <w:rFonts w:ascii="Calibri" w:hAnsi="Calibri"/>
          <w:b/>
          <w:color w:val="1E1E1E"/>
          <w:sz w:val="21"/>
        </w:rPr>
        <w:t xml:space="preserve">Source: </w:t>
      </w:r>
      <w:r>
        <w:rPr>
          <w:rFonts w:ascii="Calibri" w:hAnsi="Calibri"/>
          <w:color w:val="1E1E1E"/>
          <w:sz w:val="21"/>
        </w:rPr>
        <w:t>financial-model-revision-150m.md and previous pitch-blueprint.md baseline</w:t>
      </w:r>
    </w:p>
    <w:p>
      <w:pPr>
        <w:spacing w:before="0" w:after="160" w:line="264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4E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7A5A00"/>
                <w:sz w:val="21"/>
              </w:rPr>
              <w:t>Decision focus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  <w:t>The revised model replaces the earlier 300m / 30-guest / 300-day forecast with a calculation-based 150m model. The commercial question is whether the faster 20-minute night cycle is sufficient to protect ROI after the lower altitude and 25-guest cap.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Comparison Before Today's Changes vs. Proposed Revision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50"/>
        <w:gridCol w:w="3355"/>
        <w:gridCol w:w="3355"/>
      </w:tblGrid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Metric / Assumption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Before today's changes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Proposed 150m revision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Max operating height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300m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150m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Basket capacity used in model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 guests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25 guests commercial cap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Operating days / nights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300 per year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250 per year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rides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 rides/day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 rides/day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operation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8 rides/night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20-min cycle; 16 batches/night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blended ARPU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170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140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blended ARPU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361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320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annual revenue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24.7M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8"/>
              </w:rPr>
              <w:t>AED 19.8M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EBITDA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14.9M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10.0M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payback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~1.6 years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~2.6 years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IRR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~58%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~27.7%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NPV at 8%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85M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35.3M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MOIC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~5.5x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~3.7x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150m height reduction should lower pricing power versus the earlier 300m experience. However, the new 20-minute night cycle materially improves throughput. Lower altitude reduces ARPU, but the faster night cycle protects the business model by increasing nightly batch capacity.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Metric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Revised Base Case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Annual revenue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19.8M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EBITDA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10.0M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EBITDA margin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51%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Simple payback on AED 25.9M CAPEX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~2.6 years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IRR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~27.7%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NPV at 8%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~AED 35.3M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MOIC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~3.7x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Previous Model Baseline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earlier documented model in pitch-blueprint.md used the following baseline: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Assumption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Previous Model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Max balloon height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300m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Basket capacity used in model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 guests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Operating days / nights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300 per year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rides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8 rides per night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blended ARPU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170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blended ARPU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361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annual revenue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24.7M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EBITDA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14.9M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Base simple payback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~1.6 years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5F5F5F"/>
          <w:sz w:val="22"/>
        </w:rPr>
        <w:t>The previous strong case reached AED 39.7M annual revenue, which is too aggressive for the revised operating concept.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Revised Operating Assumptions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Assumption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Revised Model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Rationale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Max balloon height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150m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Lower operating altitude; lower premium-view pricing power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Basket commercial cap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25 guests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More conservative than full 30-pax physical capacity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Operating days / nights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250/year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Higher weather cancellation and downtime allowance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rides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6/day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Same day operating structure as previous model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cycle time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20 minutes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New standard night experience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batches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16/night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 batches/hour across ~5.5-hour night window, rounded down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All-Access usage factor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1.4 rides / unique guest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Same logic as previous model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Aluminum CAPEX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25.9M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Single-spec aluminum plate tile model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Capacity Impact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passenger cap reduces per-batch capacity, but the night cycle change increases nightly throughput.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Capacity Line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Previous Model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Revised Model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Change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seat capacity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 x 30 = 180/day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 x 25 = 150/day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-16.7%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seat capacity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8 x 30 = 240/night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16 x 25 = 400/night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+66.7%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150m Pricing Assumption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Because the balloon height drops from 300m to 150m, the revised model applies a moderate ARPU haircut rather than keeping the earlier pricing unchanged.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2400"/>
        <w:gridCol w:w="18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ARPU Line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Previous 300m Model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Revised 150m Model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Change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blended ARPU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170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140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-18%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blended ARPU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361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320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-11%</w:t>
            </w:r>
          </w:p>
        </w:tc>
      </w:tr>
    </w:tbl>
    <w:p>
      <w:pPr>
        <w:spacing w:before="0" w:after="120" w:line="264" w:lineRule="auto"/>
      </w:pPr>
    </w:p>
    <w:p>
      <w:pPr>
        <w:pStyle w:val="ListBullet"/>
        <w:spacing w:after="80" w:line="280" w:lineRule="auto"/>
      </w:pPr>
      <w:r>
        <w:rPr>
          <w:rFonts w:ascii="Calibri" w:hAnsi="Calibri"/>
          <w:color w:val="1E1E1E"/>
          <w:sz w:val="22"/>
        </w:rPr>
        <w:t>Day sightseeing loses more pricing power because the altitude and view are simpler to compare.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E1E1E"/>
          <w:sz w:val="22"/>
        </w:rPr>
        <w:t>Night show pricing is more protected because the product includes LED content, show cycle, music, and the Saadiyat night destination.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E1E1E"/>
          <w:sz w:val="22"/>
        </w:rPr>
        <w:t>The All-Access concept remains valuable because the 20-minute cycle makes multi-theme viewing easier.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Revenue Calculation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Day ticket revenue: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after="0"/>
            </w:pPr>
            <w:r>
              <w:rPr>
                <w:rFonts w:ascii="Courier New" w:hAnsi="Courier New"/>
                <w:color w:val="1E1E1E"/>
                <w:sz w:val="19"/>
              </w:rPr>
              <w:t>6 rides/day x 25 guests x load x 250 operating days x AED 140 ARPU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Night ticket revenue: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after="0"/>
            </w:pPr>
            <w:r>
              <w:rPr>
                <w:rFonts w:ascii="Courier New" w:hAnsi="Courier New"/>
                <w:color w:val="1E1E1E"/>
                <w:sz w:val="19"/>
              </w:rPr>
              <w:t>16 batches/night x 25 guests x load x 250 operating nights</w:t>
            </w:r>
            <w:r>
              <w:br/>
            </w:r>
            <w:r>
              <w:rPr>
                <w:rFonts w:ascii="Courier New" w:hAnsi="Courier New"/>
                <w:color w:val="1E1E1E"/>
                <w:sz w:val="19"/>
              </w:rPr>
              <w:t>/ 1.4 rides per unique guest x AED 320 ARPU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Scenario Revenue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Revenue Stream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Conservative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Base Case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Strong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Day ticket revenue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1.7M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3.0M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3.8M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Night ticket revenue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7.3M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13.3M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16.7M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F&amp;B / retail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0.3M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0.7M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1.1M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Sponsorship - content + branding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0.7M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1.6M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2.2M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Museum partnership + cross-sell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0.1M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0.4M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0.5M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Private gondola + VIP events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0.4M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0.8M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1.0M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8"/>
              </w:rPr>
              <w:t>Total annual revenue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10.5M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19.8M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25.3M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EBITDA and Payback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model keeps OpEx close to the previous documented structure: AED 9.5M conservative, AED 9.8M base, and AED 10.1M strong.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1550"/>
        <w:gridCol w:w="1500"/>
        <w:gridCol w:w="1650"/>
        <w:gridCol w:w="1180"/>
        <w:gridCol w:w="128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Scenario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Revenue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OpEx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EBITDA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Margin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Payback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Conservative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10.5M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9.5M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1.0M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9%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~26.0 yrs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8"/>
              </w:rPr>
              <w:t>Base Case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19.8M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9.8M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10.0M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51%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~2.6 yrs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Strong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25.3M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10.1M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15.2M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60%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~1.7 yrs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10-Year Return Estimate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base case estimate assumes Year 1 resembles the conservative ramp-up case, Year 2 reaches 85% of base EBITDA, Year 3 reaches base EBITDA, Years 4-10 grow at 4% per year, and AED 2.5M balloon envelope replacement reserves occur in Years 5 and 10.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Metric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Revised Base Case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IRR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~27.7%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NPV at 8%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~AED 35.3M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10-year MOIC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~3.7x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Sensitivity: Night Operating Window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1E1E"/>
          <w:sz w:val="22"/>
        </w:rPr>
        <w:t>The night cycle is the key driver. If the 20-minute cycle is approved but the nightly window is shorter, ROI changes materially.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450"/>
        <w:gridCol w:w="1800"/>
        <w:gridCol w:w="1800"/>
        <w:gridCol w:w="1550"/>
        <w:gridCol w:w="176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Night Batches / Night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Base Revenue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Base EBITDA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Payback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10-Year IRR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9 batches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14.0M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4.2M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~6.2 yrs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~4.9%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12 batches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16.5M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6.7M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~3.9 yrs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~16.0%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15 batches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19.0M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9.2M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~2.8 yrs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~25.0%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16 batches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8"/>
              </w:rPr>
              <w:t>AED 19.8M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AED 10.0M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~2.6 yrs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~27.7%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Key Takeaways for CEO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E1E1E"/>
          <w:sz w:val="22"/>
        </w:rPr>
        <w:t>The 150m change should be reflected through pricing, not only load reduction.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E1E1E"/>
          <w:sz w:val="22"/>
        </w:rPr>
        <w:t>The 25-pax commercial cap makes the model more conservative and improves guest comfort.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E1E1E"/>
          <w:sz w:val="22"/>
        </w:rPr>
        <w:t>The 20-minute night cycle is the main reason the revised model still works.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E1E1E"/>
          <w:sz w:val="22"/>
        </w:rPr>
        <w:t>The model is less aggressive than the previous AED 24.7M base / AED 39.7M strong case.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E1E1E"/>
          <w:sz w:val="22"/>
        </w:rPr>
        <w:t>The revised base case still supports a credible investment story: AED 19.8M revenue, AED 10.0M EBITDA, and ~2.6-year payback.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Approval Questions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#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1E1E"/>
                <w:sz w:val="19"/>
              </w:rPr>
              <w:t>Approval question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Should the investor model use 150m maximum height as the new standard?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Should the basket be presented as 25 guests per batch, even if the physical basket remains 30-pax capable?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Should the night show be presented as a 20-minute cycle / 3 batches per hour?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Is the assumed night window of ~5.5 hours / 16 batches per night acceptable?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Should the investor pitch use the moderate 150m ARPU haircut: AED 140 day blended ARPU and AED 320 night blended ARPU?</w:t>
            </w:r>
          </w:p>
        </w:tc>
      </w:tr>
    </w:tbl>
    <w:p>
      <w:pPr>
        <w:spacing w:before="0" w:after="120" w:line="264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4E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7A5A00"/>
                <w:sz w:val="21"/>
              </w:rPr>
              <w:t>Deck update trigger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  <w:t>If approved, the pitch deck financial section should use AED 10.5M conservative revenue, AED 19.8M base revenue, AED 25.3M strong revenue, AED 10.0M base EBITDA, ~2.6-year base payback, ~27.7% IRR, ~AED 35.3M NPV, and ~3.7x MOIC.</w:t>
            </w:r>
          </w:p>
        </w:tc>
      </w:tr>
    </w:tbl>
    <w:p>
      <w:pPr>
        <w:spacing w:before="0" w:after="16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5F5F"/>
        <w:sz w:val="18"/>
      </w:rPr>
      <w:t>CEO review draft - 15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F5F5F"/>
        <w:sz w:val="18"/>
      </w:rPr>
      <w:t>Canvas From The Sky - Financial Model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