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Calibri" w:cs="Calibri" w:eastAsia="Calibri" w:hAnsi="Calibri"/>
          <w:b/>
          <w:bCs/>
          <w:color w:val="0B0B0B"/>
          <w:sz w:val="34"/>
          <w:szCs w:val="34"/>
        </w:rPr>
        <w:t xml:space="preserve">art frente a RAA (k = 0, 1, 2, 3): nodos y CPU por instancia</w:t>
      </w:r>
    </w:p>
    <w:p>
      <w:pPr>
        <w:spacing w:after="4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Eva Ponce Fernández · Juan Carlos Geraldo — guía: Dr. Ignacio Araya (PUCV) — 5 de octubre de 2026</w:t>
      </w:r>
    </w:p>
    <w:p>
      <w:pPr>
        <w:spacing w:after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Versión reducida del informe del 30 de septiembre, con solo la comparación pedida. Datos: etapas B y D de la Fase 3 (relajación art, límite 1800 s de CPU por corrida) más la corrida de k=2 del 5 de octubre con la misma configuración. Todo lo demás sigue en el informe completo y en raak/ del repo.</w:t>
      </w:r>
    </w:p>
    <w:p>
      <w:pPr>
        <w:pStyle w:val="Heading1"/>
        <w:keepNext/>
        <w:spacing w:after="100" w:before="280"/>
      </w:pPr>
      <w:r>
        <w:t xml:space="preserve">1. Qué se compara</w:t>
      </w:r>
    </w:p>
    <w:p>
      <w:pPr>
        <w:keepNext/>
        <w:spacing w:after="100" w:line="264" w:lineRule="auto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Las cuatro configuraciones corren el mismo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ibexopt-raak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con la relajación afín sola (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--lr=art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), mismos parámetros del B&amp;B (filtrado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acidhc4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bisección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lsmearmg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semilla 42) y límite de 1800 s de CPU. Solo cambia la aritmética afín con la que se construye la relajación:</w:t>
      </w:r>
    </w:p>
    <w:tbl>
      <w:tblPr>
        <w:tblW w:type="dxa" w:w="10240"/>
        <w:tblBorders>
          <w:top w:val="single" w:color="D9D7D1" w:sz="4"/>
          <w:left w:val="single" w:color="D9D7D1" w:sz="4"/>
          <w:bottom w:val="single" w:color="D9D7D1" w:sz="4"/>
          <w:right w:val="single" w:color="D9D7D1" w:sz="4"/>
          <w:insideH w:val="single" w:color="D9D7D1" w:sz="4"/>
          <w:insideV w:val="single" w:color="D9D7D1" w:sz="4"/>
        </w:tblBorders>
      </w:tblPr>
      <w:tblGrid>
        <w:gridCol w:w="1331"/>
        <w:gridCol w:w="5120"/>
        <w:gridCol w:w="2253"/>
        <w:gridCol w:w="1536"/>
      </w:tblGrid>
      <w:tr>
        <w:trPr>
          <w:cantSplit/>
          <w:tblHeader/>
        </w:trPr>
        <w:tc>
          <w:tcPr>
            <w:tcW w:type="dxa" w:w="1331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columna</w:t>
            </w:r>
          </w:p>
        </w:tc>
        <w:tc>
          <w:tcPr>
            <w:tcW w:type="dxa" w:w="5120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qué es</w:t>
            </w:r>
          </w:p>
        </w:tc>
        <w:tc>
          <w:tcPr>
            <w:tcW w:type="dxa" w:w="2253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flags</w:t>
            </w:r>
          </w:p>
        </w:tc>
        <w:tc>
          <w:tcPr>
            <w:tcW w:type="dxa" w:w="1536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art (AF2)</w:t>
            </w:r>
          </w:p>
        </w:tc>
        <w:tc>
          <w:tcPr>
            <w:tcW w:type="dxa" w:w="5120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La aritmética del plugin tal cual (fAF2). Es la base.</w:t>
            </w:r>
          </w:p>
        </w:tc>
        <w:tc>
          <w:tcPr>
            <w:tcW w:type="dxa" w:w="225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--arith=af2 --knomial_k=0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corrida</w:t>
            </w:r>
          </w:p>
        </w:tc>
      </w:tr>
      <w:tr>
        <w:trPr>
          <w:cantSplit/>
          <w:tblHeader w:val="off"/>
        </w:trPr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k=0</w:t>
            </w:r>
          </w:p>
        </w:tc>
        <w:tc>
          <w:tcPr>
            <w:tcW w:type="dxa" w:w="5120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AF2 + parte cuadrática de la RAA: forma simétrica, cuadrados de Chebyshev, corner test. Sin bloques k-nomiales.</w:t>
            </w:r>
          </w:p>
        </w:tc>
        <w:tc>
          <w:tcPr>
            <w:tcW w:type="dxa" w:w="225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--arith=raa --knomial_k=0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corrida</w:t>
            </w:r>
          </w:p>
        </w:tc>
      </w:tr>
      <w:tr>
        <w:trPr>
          <w:cantSplit/>
          <w:tblHeader w:val="off"/>
        </w:trPr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k=1</w:t>
            </w:r>
          </w:p>
        </w:tc>
        <w:tc>
          <w:tcPr>
            <w:tcW w:type="dxa" w:w="5120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Idéntica a k=0: la reescritura k-nomial necesita cliques de al menos 2 variables, así que con k=1 no extrae nada y el código sigue exactamente el camino de k=0. Equivale al antiguo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raak_k=1</w:t>
            </w: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 del prototipo.</w:t>
            </w:r>
          </w:p>
        </w:tc>
        <w:tc>
          <w:tcPr>
            <w:tcW w:type="dxa" w:w="225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--knomial_k=1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= k=0, no se repite</w:t>
            </w:r>
          </w:p>
        </w:tc>
      </w:tr>
      <w:tr>
        <w:trPr>
          <w:cantSplit/>
          <w:tblHeader w:val="off"/>
        </w:trPr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k=2</w:t>
            </w:r>
          </w:p>
        </w:tc>
        <w:tc>
          <w:tcPr>
            <w:tcW w:type="dxa" w:w="5120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+ bloques de hasta 2 variables (binomios).</w:t>
            </w:r>
          </w:p>
        </w:tc>
        <w:tc>
          <w:tcPr>
            <w:tcW w:type="dxa" w:w="225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--arith=raa --knomial_k=2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corrida (5 de octubre, ver §6)</w:t>
            </w:r>
          </w:p>
        </w:tc>
      </w:tr>
      <w:tr>
        <w:trPr>
          <w:cantSplit/>
          <w:tblHeader w:val="off"/>
        </w:trPr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k=3</w:t>
            </w:r>
          </w:p>
        </w:tc>
        <w:tc>
          <w:tcPr>
            <w:tcW w:type="dxa" w:w="5120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+ bloques de hasta 3 variables.</w:t>
            </w:r>
          </w:p>
        </w:tc>
        <w:tc>
          <w:tcPr>
            <w:tcW w:type="dxa" w:w="225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--arith=raa --knomial_k=3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corrida</w:t>
            </w:r>
          </w:p>
        </w:tc>
      </w:tr>
    </w:tbl>
    <w:p>
      <w:pPr>
        <w:spacing w:after="100"/>
      </w:pPr>
    </w:p>
    <w:p>
      <w:pPr>
        <w:spacing w:after="100" w:line="264" w:lineRule="auto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Instancias: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las 147 de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benchs/optim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en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easy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(101),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medium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(31),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hard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(7) y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others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(8).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Métricas: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celdas = nodos procesados por el B&amp;B; CPU = tiempo medido por el optimizador; en todas las instancias resueltas las cuatro configuraciones dan el mismo intervalo de óptimo. 11 instancias no se resuelven con ninguna (2 agotan el tiempo, 6 no acotadas, 1 infactible, 2 sin punto factible): van en la tabla con su estado.</w:t>
      </w:r>
    </w:p>
    <w:p>
      <w:pPr>
        <w:pStyle w:val="Heading1"/>
        <w:keepNext/>
        <w:spacing w:after="100" w:before="280"/>
      </w:pPr>
      <w:r>
        <w:t xml:space="preserve">2. Resumen</w:t>
      </w:r>
    </w:p>
    <w:tbl>
      <w:tblPr>
        <w:tblW w:type="dxa" w:w="10240"/>
        <w:tblBorders>
          <w:top w:val="single" w:color="D9D7D1" w:sz="4"/>
          <w:left w:val="single" w:color="D9D7D1" w:sz="4"/>
          <w:bottom w:val="single" w:color="D9D7D1" w:sz="4"/>
          <w:right w:val="single" w:color="D9D7D1" w:sz="4"/>
          <w:insideH w:val="single" w:color="D9D7D1" w:sz="4"/>
          <w:insideV w:val="single" w:color="D9D7D1" w:sz="4"/>
        </w:tblBorders>
      </w:tblPr>
      <w:tblGrid>
        <w:gridCol w:w="2048"/>
        <w:gridCol w:w="1126"/>
        <w:gridCol w:w="1434"/>
        <w:gridCol w:w="1638"/>
        <w:gridCol w:w="1331"/>
        <w:gridCol w:w="1638"/>
        <w:gridCol w:w="1024"/>
      </w:tblGrid>
      <w:tr>
        <w:trPr>
          <w:cantSplit/>
          <w:tblHeader/>
        </w:trPr>
        <w:tc>
          <w:tcPr>
            <w:tcW w:type="dxa" w:w="2048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1126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resueltas</w:t>
            </w:r>
          </w:p>
        </w:tc>
        <w:tc>
          <w:tcPr>
            <w:tcW w:type="dxa" w:w="1434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celdas: media geom. vs art</w:t>
            </w:r>
          </w:p>
        </w:tc>
        <w:tc>
          <w:tcPr>
            <w:tcW w:type="dxa" w:w="1638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celdas: gana / empata / pierde</w:t>
            </w:r>
          </w:p>
        </w:tc>
        <w:tc>
          <w:tcPr>
            <w:tcW w:type="dxa" w:w="1331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CPU: media geom. vs art</w:t>
            </w:r>
          </w:p>
        </w:tc>
        <w:tc>
          <w:tcPr>
            <w:tcW w:type="dxa" w:w="1638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CPU: gana / empata / pierde</w:t>
            </w:r>
          </w:p>
        </w:tc>
        <w:tc>
          <w:tcPr>
            <w:tcW w:type="dxa" w:w="1024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CPU total (s)</w:t>
            </w:r>
          </w:p>
        </w:tc>
      </w:tr>
      <w:tr>
        <w:trPr>
          <w:cantSplit/>
          <w:tblHeader w:val="off"/>
        </w:trPr>
        <w:tc>
          <w:tcPr>
            <w:tcW w:type="dxa" w:w="2048"/>
            <w:gridSpan w:val="1"/>
            <w:shd w:fill="F4F3E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easy + medium (132 instancias)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art (AF2), base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125 / 132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1.000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 / 122 / 0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1.000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 / 125 / 0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589.9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k=0 (= k=1)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125 / 132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0.979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5 / 113 / 4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0.972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26 / 79 / 20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434.8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k=2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125 / 132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0.989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 / 113 / 5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0.994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26 / 69 / 30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412.7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k=3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125 / 132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0.984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 / 113 / 5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0.989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29 / 67 / 29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439.1</w:t>
            </w:r>
          </w:p>
        </w:tc>
      </w:tr>
      <w:tr>
        <w:trPr>
          <w:cantSplit/>
          <w:tblHeader w:val="off"/>
        </w:trPr>
        <w:tc>
          <w:tcPr>
            <w:tcW w:type="dxa" w:w="2048"/>
            <w:gridSpan w:val="1"/>
            <w:shd w:fill="F4F3E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hard + others (15 instancias)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art (AF2), base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11 / 15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1.000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 / 11 / 0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1.000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 / 11 / 0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1375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k=0 (= k=1)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11 / 15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0.802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 / 10 / 0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0.824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 / 10 / 0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1328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k=2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11 / 15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0.801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 / 10 / 0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0.795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6 / 3 / 2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1159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k=3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11 / 15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0.800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 / 10 / 0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0.807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 / 8 / 0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1322</w:t>
            </w:r>
          </w:p>
        </w:tc>
      </w:tr>
      <w:tr>
        <w:trPr>
          <w:cantSplit/>
          <w:tblHeader w:val="off"/>
        </w:trPr>
        <w:tc>
          <w:tcPr>
            <w:tcW w:type="dxa" w:w="2048"/>
            <w:gridSpan w:val="1"/>
            <w:shd w:fill="F4F3E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todas (147 instancias)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art (AF2), base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136 / 147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1.000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 / 133 / 0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1.000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 / 136 / 0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1965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k=0 (= k=1)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136 / 147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0.963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6 / 123 / 4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0.959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27 / 89 / 20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1763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k=2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136 / 147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0.971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5 / 123 / 5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0.976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32 / 72 / 32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1572</w:t>
            </w:r>
          </w:p>
        </w:tc>
      </w:tr>
      <w:tr>
        <w:trPr>
          <w:cantSplit/>
          <w:tblHeader w:val="off"/>
        </w:trPr>
        <w:tc>
          <w:tcPr>
            <w:tcW w:type="dxa" w:w="204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RAA k=3</w:t>
            </w:r>
          </w:p>
        </w:tc>
        <w:tc>
          <w:tcPr>
            <w:tcW w:type="dxa" w:w="112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136 / 147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0.967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5 / 123 / 5</w:t>
            </w:r>
          </w:p>
        </w:tc>
        <w:tc>
          <w:tcPr>
            <w:tcW w:type="dxa" w:w="1331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0.973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32 / 75 / 29</w:t>
            </w:r>
          </w:p>
        </w:tc>
        <w:tc>
          <w:tcPr>
            <w:tcW w:type="dxa" w:w="102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1762</w:t>
            </w:r>
          </w:p>
        </w:tc>
      </w:tr>
    </w:tbl>
    <w:p>
      <w:pPr>
        <w:spacing w:after="100" w:line="264" w:lineRule="auto"/>
      </w:pPr>
      <w:r>
        <w:rPr>
          <w:rFonts w:ascii="Calibri" w:cs="Calibri" w:eastAsia="Calibri" w:hAnsi="Calibri"/>
          <w:color w:val="52514E"/>
          <w:sz w:val="18"/>
          <w:szCs w:val="18"/>
        </w:rPr>
        <w:t xml:space="preserve">Media geométrica del cociente configuración / art sobre las instancias resueltas por ambas (1 = igual; menor es mejor). Gana = cociente &lt; 0.95, pierde = &gt; 1.05. CPU total = suma sobre las instancias resueltas.</w:t>
      </w:r>
    </w:p>
    <w:p>
      <w:pPr>
        <w:spacing w:after="100" w:line="264" w:lineRule="auto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Efecto de k dentro de RAA (136 instancias resueltas):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frente a k=0, k=2 da media geométrica de celdas 1.009 y de CPU 1.017 (2 instancias mejoran más de 5 %, 4 empeoran, 126 con exactamente las mismas celdas); k=3 da 1.004 y 1.014 (3 mejoran, 3 empeoran, 126 idénticas). Entre k=2 y k=3: 132 de 136 idénticas. Los bloques k-nomiales solo llegan a extraerse en la familia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ex14_2_*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; en el resto de las instancias ningún producto tiene dos factores que compartan símbolos, así que k no cambia nada.</w:t>
      </w:r>
    </w:p>
    <w:p>
      <w:pPr>
        <w:pStyle w:val="Heading2"/>
        <w:keepNext/>
        <w:spacing w:after="80" w:before="200"/>
      </w:pPr>
      <w:r>
        <w:t xml:space="preserve">Instancias donde RAA cambia más (RAA k=0 frente a art)</w:t>
      </w:r>
    </w:p>
    <w:tbl>
      <w:tblPr>
        <w:tblW w:type="dxa" w:w="10240"/>
        <w:tblBorders>
          <w:top w:val="single" w:color="D9D7D1" w:sz="4"/>
          <w:left w:val="single" w:color="D9D7D1" w:sz="4"/>
          <w:bottom w:val="single" w:color="D9D7D1" w:sz="4"/>
          <w:right w:val="single" w:color="D9D7D1" w:sz="4"/>
          <w:insideH w:val="single" w:color="D9D7D1" w:sz="4"/>
          <w:insideV w:val="single" w:color="D9D7D1" w:sz="4"/>
        </w:tblBorders>
      </w:tblPr>
      <w:tblGrid>
        <w:gridCol w:w="2662"/>
        <w:gridCol w:w="1536"/>
        <w:gridCol w:w="1434"/>
        <w:gridCol w:w="1638"/>
        <w:gridCol w:w="1536"/>
        <w:gridCol w:w="1434"/>
      </w:tblGrid>
      <w:tr>
        <w:trPr>
          <w:cantSplit/>
          <w:tblHeader/>
        </w:trPr>
        <w:tc>
          <w:tcPr>
            <w:tcW w:type="dxa" w:w="2662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instancia</w:t>
            </w:r>
          </w:p>
        </w:tc>
        <w:tc>
          <w:tcPr>
            <w:tcW w:type="dxa" w:w="1536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art: celdas</w:t>
            </w:r>
          </w:p>
        </w:tc>
        <w:tc>
          <w:tcPr>
            <w:tcW w:type="dxa" w:w="1434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art: CPU (s)</w:t>
            </w:r>
          </w:p>
        </w:tc>
        <w:tc>
          <w:tcPr>
            <w:tcW w:type="dxa" w:w="1638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RAA k=0: celdas</w:t>
            </w:r>
          </w:p>
        </w:tc>
        <w:tc>
          <w:tcPr>
            <w:tcW w:type="dxa" w:w="1536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RAA k=0: CPU (s)</w:t>
            </w:r>
          </w:p>
        </w:tc>
        <w:tc>
          <w:tcPr>
            <w:tcW w:type="dxa" w:w="1434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celdas RAA / art</w:t>
            </w:r>
          </w:p>
        </w:tc>
      </w:tr>
      <w:tr>
        <w:trPr>
          <w:cantSplit/>
          <w:tblHeader w:val="off"/>
        </w:trPr>
        <w:tc>
          <w:tcPr>
            <w:tcW w:type="dxa" w:w="266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medium/ex8_4_4bis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120 168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122.0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10 294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12.4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0.086</w:t>
            </w:r>
          </w:p>
        </w:tc>
      </w:tr>
      <w:tr>
        <w:trPr>
          <w:cantSplit/>
          <w:tblHeader w:val="off"/>
        </w:trPr>
        <w:tc>
          <w:tcPr>
            <w:tcW w:type="dxa" w:w="266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others/ex8_4_5bis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85 942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54.8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7 600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6.23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0.088</w:t>
            </w:r>
          </w:p>
        </w:tc>
      </w:tr>
      <w:tr>
        <w:trPr>
          <w:cantSplit/>
          <w:tblHeader w:val="off"/>
        </w:trPr>
        <w:tc>
          <w:tcPr>
            <w:tcW w:type="dxa" w:w="266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medium/bearing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45 894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157.3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29 528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114.6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0.643</w:t>
            </w:r>
          </w:p>
        </w:tc>
      </w:tr>
      <w:tr>
        <w:trPr>
          <w:cantSplit/>
          <w:tblHeader w:val="off"/>
        </w:trPr>
        <w:tc>
          <w:tcPr>
            <w:tcW w:type="dxa" w:w="266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medium/ex14_2_7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4 774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12.8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3 962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10.6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0.830</w:t>
            </w:r>
          </w:p>
        </w:tc>
      </w:tr>
      <w:tr>
        <w:trPr>
          <w:cantSplit/>
          <w:tblHeader w:val="off"/>
        </w:trPr>
        <w:tc>
          <w:tcPr>
            <w:tcW w:type="dxa" w:w="266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easy/ex14_2_9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50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0.10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42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0.081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0.840</w:t>
            </w:r>
          </w:p>
        </w:tc>
      </w:tr>
      <w:tr>
        <w:trPr>
          <w:cantSplit/>
          <w:tblHeader w:val="off"/>
        </w:trPr>
        <w:tc>
          <w:tcPr>
            <w:tcW w:type="dxa" w:w="266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easy/m4wd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354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0.48</w:t>
            </w:r>
          </w:p>
        </w:tc>
        <w:tc>
          <w:tcPr>
            <w:tcW w:type="dxa" w:w="163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314</w:t>
            </w:r>
          </w:p>
        </w:tc>
        <w:tc>
          <w:tcPr>
            <w:tcW w:type="dxa" w:w="153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0.42</w:t>
            </w:r>
          </w:p>
        </w:tc>
        <w:tc>
          <w:tcPr>
            <w:tcW w:type="dxa" w:w="1434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0.887</w:t>
            </w:r>
          </w:p>
        </w:tc>
      </w:tr>
    </w:tbl>
    <w:p>
      <w:pPr>
        <w:spacing w:after="100" w:line="264" w:lineRule="auto"/>
      </w:pPr>
      <w:r>
        <w:rPr>
          <w:rFonts w:ascii="Calibri" w:cs="Calibri" w:eastAsia="Calibri" w:hAnsi="Calibri"/>
          <w:color w:val="52514E"/>
          <w:sz w:val="18"/>
          <w:szCs w:val="18"/>
        </w:rPr>
        <w:t xml:space="preserve">Las tres primeras vienen del cuadrado de Chebyshev de la RAA (acota </w:t>
      </w:r>
      <w:r>
        <w:rPr>
          <w:rFonts w:ascii="Consolas" w:cs="Consolas" w:eastAsia="Consolas" w:hAnsi="Consolas"/>
          <w:color w:val="52514E"/>
          <w:sz w:val="16"/>
          <w:szCs w:val="16"/>
        </w:rPr>
        <w:t xml:space="preserve">sqr</w:t>
      </w:r>
      <w:r>
        <w:rPr>
          <w:rFonts w:ascii="Calibri" w:cs="Calibri" w:eastAsia="Calibri" w:hAnsi="Calibri"/>
          <w:color w:val="52514E"/>
          <w:sz w:val="18"/>
          <w:szCs w:val="18"/>
        </w:rPr>
        <w:t xml:space="preserve"> de una forma compuesta por su rango exacto); las demás son diferencias pequeñas. Las 4 a 5 instancias donde RAA pierde más de 5 % son todas de pocas celdas (entre 14 y 400) y la diferencia es de un puñado de nodos.</w:t>
      </w:r>
    </w:p>
    <w:p>
      <w:pPr>
        <w:pStyle w:val="Heading1"/>
        <w:keepNext/>
        <w:spacing w:after="100" w:before="280"/>
      </w:pPr>
      <w:r>
        <w:t xml:space="preserve">3. Gráficos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848350" cy="31242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Figura 1. Cada punto es una instancia: en x lo que necesitó art, en y lo que necesitó RAA (k=0 círculos, k=2 signos más, k=3 cruces). Sobre la diagonal, iguales; debajo, RAA mejor. Escala log en ambos ejes.</w:t>
      </w:r>
    </w:p>
    <w:p>
      <w:pPr>
        <w:spacing w:after="100" w:line="264" w:lineRule="auto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Casi todos los puntos están sobre la diagonal: en la gran mayoría de las instancias las cuatro configuraciones recorren exactamente los mismos nodos. Los dos puntos muy por debajo son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ex8_4_4bis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ex8_4_5bis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(celdas ÷ 11, CPU ÷ 9), y el tercero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bearing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(celdas × 0.64). Círculos, signos más y cruces coinciden: ni k=2 ni k=3 se separan de k=0.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848350" cy="24003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Figura 2. Perfiles de desempeño. Para cada instancia, celdas (o CPU) divididas por las de la mejor configuración; la curva dice qué fracción de instancias queda dentro de un factor X de la mejor. Más arriba, mejor.</w:t>
      </w:r>
    </w:p>
    <w:p>
      <w:pPr>
        <w:spacing w:after="100" w:line="264" w:lineRule="auto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Las cuatro curvas van superpuestas: en celdas, art parte del 88 % y las RAA del 90 % en x = 1, y la diferencia visible es la cola de art hacia la derecha (las tres instancias de arriba). En CPU, RAA k=0 va ligeramente por encima en todo el rango (media geométrica 0.959).</w:t>
      </w:r>
    </w:p>
    <w:p>
      <w:pPr>
        <w:pStyle w:val="Heading1"/>
        <w:keepNext/>
        <w:pageBreakBefore/>
        <w:spacing w:after="100" w:before="280"/>
      </w:pPr>
      <w:r>
        <w:t xml:space="preserve">4. Tabla completa por instancia</w:t>
      </w:r>
    </w:p>
    <w:p>
      <w:pPr>
        <w:spacing w:after="100" w:line="264" w:lineRule="auto"/>
      </w:pPr>
      <w:r>
        <w:rPr>
          <w:rFonts w:ascii="Calibri" w:cs="Calibri" w:eastAsia="Calibri" w:hAnsi="Calibri"/>
          <w:color w:val="52514E"/>
          <w:sz w:val="18"/>
          <w:szCs w:val="18"/>
        </w:rPr>
        <w:t xml:space="preserve">Celdas = nodos del B&amp;B; CPU en segundos. Donde la instancia no se resuelve, la última columna dice por qué (es el mismo estado en las cuatro configuraciones) y las celdas y la CPU son las alcanzadas hasta ese momento.</w:t>
      </w:r>
    </w:p>
    <w:tbl>
      <w:tblPr>
        <w:tblW w:type="dxa" w:w="10240"/>
        <w:tblBorders>
          <w:top w:val="single" w:color="D9D7D1" w:sz="4"/>
          <w:left w:val="single" w:color="D9D7D1" w:sz="4"/>
          <w:bottom w:val="single" w:color="D9D7D1" w:sz="4"/>
          <w:right w:val="single" w:color="D9D7D1" w:sz="4"/>
          <w:insideH w:val="single" w:color="D9D7D1" w:sz="4"/>
          <w:insideV w:val="single" w:color="D9D7D1" w:sz="4"/>
        </w:tblBorders>
      </w:tblPr>
      <w:tblGrid>
        <w:gridCol w:w="1642"/>
        <w:gridCol w:w="966"/>
        <w:gridCol w:w="869"/>
        <w:gridCol w:w="1063"/>
        <w:gridCol w:w="869"/>
        <w:gridCol w:w="966"/>
        <w:gridCol w:w="869"/>
        <w:gridCol w:w="966"/>
        <w:gridCol w:w="869"/>
        <w:gridCol w:w="1159"/>
      </w:tblGrid>
      <w:tr>
        <w:trPr>
          <w:cantSplit/>
          <w:tblHeader/>
        </w:trPr>
        <w:tc>
          <w:tcPr>
            <w:tcW w:type="dxa" w:w="1642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instancia</w:t>
            </w:r>
          </w:p>
        </w:tc>
        <w:tc>
          <w:tcPr>
            <w:tcW w:type="dxa" w:w="966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art: celdas</w:t>
            </w:r>
          </w:p>
        </w:tc>
        <w:tc>
          <w:tcPr>
            <w:tcW w:type="dxa" w:w="869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art: CPU</w:t>
            </w:r>
          </w:p>
        </w:tc>
        <w:tc>
          <w:tcPr>
            <w:tcW w:type="dxa" w:w="1063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RAA k=0 (=k=1): celdas</w:t>
            </w:r>
          </w:p>
        </w:tc>
        <w:tc>
          <w:tcPr>
            <w:tcW w:type="dxa" w:w="869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RAA k=0: CPU</w:t>
            </w:r>
          </w:p>
        </w:tc>
        <w:tc>
          <w:tcPr>
            <w:tcW w:type="dxa" w:w="966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RAA k=2: celdas</w:t>
            </w:r>
          </w:p>
        </w:tc>
        <w:tc>
          <w:tcPr>
            <w:tcW w:type="dxa" w:w="869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RAA k=2: CPU</w:t>
            </w:r>
          </w:p>
        </w:tc>
        <w:tc>
          <w:tcPr>
            <w:tcW w:type="dxa" w:w="966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RAA k=3: celdas</w:t>
            </w:r>
          </w:p>
        </w:tc>
        <w:tc>
          <w:tcPr>
            <w:tcW w:type="dxa" w:w="869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RAA k=3: CPU</w:t>
            </w:r>
          </w:p>
        </w:tc>
        <w:tc>
          <w:tcPr>
            <w:tcW w:type="dxa" w:w="1159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1642"/>
            <w:gridSpan w:val="1"/>
            <w:shd w:fill="F4F3E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easy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ackley_5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chance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ex14_1_1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ex14_1_2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ex14_1_3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ex14_1_4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0.015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ex14_1_5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0.045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ex14_1_8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ex14_1_9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ex14_2_1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ex14_2_2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ex14_2_4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2 620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3.18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3 528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4.23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5 446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6.94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3 208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3.98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ex14_2_5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ex14_2_6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210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ex14_2_8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0.054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0.051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ex14_2_9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0.081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ex2_1_10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0.024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ex2_1_5bis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ex3_1_1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756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1.48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756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1.47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756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1.47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756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1.47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ex3_1_2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ex3_1_3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0.004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ex3_1_3bis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0.004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ex3_1_4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ex4_1_5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0.072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0.072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0.072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0.071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ex4_1_8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ex4_1_9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ex5_2_2_case1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ex5_2_2_case2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ex5_2_4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ex5_4_2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ex5_4_2bis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ex5_4_3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ex6_1_2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0.059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0.058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0.060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0.061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ex7_2_1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ex7_2_10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ex7_2_1bis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0.089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0.094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0.096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0.090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ex7_2_2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0.14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ex7_2_3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18 270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15.7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18 270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15.4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18 270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15.1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18 270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15.3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ex7_2_3bis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1.09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1.11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1.11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1.07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ex7_2_5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ex7_2_6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0.063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0.060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0.057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0.058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ex7_2_7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ex7_3_1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0.089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0.089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0.090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0.089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ex7_3_2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0.081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0.077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0.078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0.082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ex7_3_3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ex7_3_6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infactible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ex8_1_1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ex8_1_2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ex8_1_4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ex8_1_5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0.061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0.054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0.057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0.062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ex8_1_6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ex8_1_6bis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190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0.056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190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0.058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190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190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0.050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ex8_1_7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292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298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298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298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ex8_1_8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0.098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ex8_1_8bis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ex8_4inf-1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no acotada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ex8_5_3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0.35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ex8_5_3-1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ex8_5_4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0.60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ex8_5_5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ex8_5_5-1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ex8_5_6-1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no acotada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ex9_1_1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ex9_1_10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ex9_1_2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ex9_1_4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ex9_1_5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ex9_1_8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ex9_2_1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ex9_2_2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ex9_2_3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ex9_2_4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ex9_2_5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ex9_2_6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0.022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ex9_2_7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ex9_2_8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exbaron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exinfinity2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0.005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exinfinity3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exp40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f1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griewank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himmel11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0.078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0.065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0.077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0.072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house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0.94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0.97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0.97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0.94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hs071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250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250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250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250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m4wd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354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pressure-vessel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rastrigin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rosenbrock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rosenbrock10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252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252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252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252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0.27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schaffer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ship-1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131 936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132.1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131 936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129.6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131 936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117.0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131 936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130.8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test_infinity1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no acotada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test_infinity2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wall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0.031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gridSpan w:val="1"/>
            <w:shd w:fill="F4F3E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alkyl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1 578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3.03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1 578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2.96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1 578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3.06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1 578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3.06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alkylbis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9 708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19.2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9 708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19.2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9 708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19.1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9 708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19.4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bearing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45 894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157.3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29 528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114.6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29 528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103.7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29 528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115.8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ex14_2_3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0.79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0.78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0.82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0.78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ex14_2_7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4 774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12.8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3 962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10.6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4 852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13.0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4 852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13.7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10 876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17.5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10 876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17.6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10 876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16.6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10 876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17.4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ex2_1_9fact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10 884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17.1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10 884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17.2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10 884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16.5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10 884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16.8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ex5_2_2_case3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0.046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ex5_3_2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1.91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1.86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1.87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1.83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ex6_1_3bis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3 146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3.74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3 130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3.71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3 130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3.82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3 130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3.68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ex6_1_4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260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0.41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ex6_2_11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12 182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8.32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12 182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8.29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11 830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8.28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11 578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8.08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ex6_2_12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3 962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3.82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3 962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3.81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3 914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3.68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3 914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3.76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ex6_2_14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554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554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554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554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ex6_2_6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3 784 270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1800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3 757 826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4 107 362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3 732 368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1800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límite 1800 s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ex6_2_8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18 014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13.4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18 014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13.5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17 030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12.7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16 360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12.7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ex6_2_9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10 010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9.07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10 010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9.30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9 786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8.91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9 786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9.00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ex7_3_4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1.85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1.82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1.84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474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1.85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ex7_3_4bis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1 098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1.43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1 098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1.45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1 098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1.46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1 098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1.49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ex7_3_5bis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5 680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4.15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5 680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4.18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5 680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3.95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5 680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4.21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ex8_4_4bis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120 168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122.0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10 294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12.4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10 294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12.1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10 294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12.7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ex8_5_2_1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4 432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6.76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4 432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6.83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4 432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6.95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4 432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6.75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haverly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0.38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himmel16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4 186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16.7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4 058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17.2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4 058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16.8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4 058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17.7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launch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158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2.99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158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158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2.95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158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3.01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like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0.57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418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sin punto factible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like-1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0.63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0.64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0.55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0.64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no acotada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schwefel5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1 280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1.20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1 280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1.23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1 280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1.20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1 280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1.20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schwefel5-abs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1 246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1.12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1 246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1.16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1 246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1.17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1 246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1.16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gridSpan w:val="1"/>
            <w:shd w:fill="F4F3E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hard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chem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112 836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330.4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112 836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331.5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112 836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279.2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112 836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331.2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chem-1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112 836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332.0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112 836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330.1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112 836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277.0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112 836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332.2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chembis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58 306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163.1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58 306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161.9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58 306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148.2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58 306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163.5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ex6_1_3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7 304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32.2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7 304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32.4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7 304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32.5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7 304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32.3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ex6_2_10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144 436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192.5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144 436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194.9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141 626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171.3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140 514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190.4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ex8_5_1bis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1 376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2.93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1 376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2.97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1 376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3.21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1 376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2.91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sambal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53 162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212.1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53 162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212.5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53 162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184.3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53 162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210.5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gridSpan w:val="1"/>
            <w:shd w:fill="F4F3E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others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dualc1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1 546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31.0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1 546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31.0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1 546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32.0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1 546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29.2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ex14_1_6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0.16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0.16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0.18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0.14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ex8_4_5-1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3 658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24.3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3 658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24.2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3 658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25.3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3 658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24.1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ex8_4_5bis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85 942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54.8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7 600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6.23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7 600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6.37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7 600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6.15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polygon25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30 080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1800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30 022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33 624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1800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29 550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1800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límite 1800 s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ship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0.35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726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0.34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sin punto factible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test_infinity3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100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0.003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no acotada</w:t>
            </w:r>
          </w:p>
        </w:tc>
      </w:tr>
      <w:tr>
        <w:trPr>
          <w:cantSplit/>
          <w:tblHeader w:val="off"/>
        </w:trPr>
        <w:tc>
          <w:tcPr>
            <w:tcW w:type="dxa" w:w="164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test_infinity4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0.013</w:t>
            </w:r>
          </w:p>
        </w:tc>
        <w:tc>
          <w:tcPr>
            <w:tcW w:type="dxa" w:w="1063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0.014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966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206</w:t>
            </w:r>
          </w:p>
        </w:tc>
        <w:tc>
          <w:tcPr>
            <w:tcW w:type="dxa" w:w="86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0.009</w:t>
            </w:r>
          </w:p>
        </w:tc>
        <w:tc>
          <w:tcPr>
            <w:tcW w:type="dxa" w:w="1159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5"/>
                <w:szCs w:val="15"/>
              </w:rPr>
              <w:t xml:space="preserve">no acotada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100" w:before="280"/>
      </w:pPr>
      <w:r>
        <w:t xml:space="preserve">5. Conclusiones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RAA frente a art.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RAA nunca resuelve menos: 136 de 147 en ambas. En celdas es igual o mejor en todo salvo ruido (6 gana / 4 pierde más de 5 %; media 0.963), y en CPU baja un 4 % en promedio (27 gana / 20 pierde). Su costo por evaluación es nulo en la práctica. La ganancia se concentra en instancias con cuadrados de expresiones compuestas: ahí divide los nodos por 11.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k = 0, 1, 2, 3.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k=1 es k=0 por construcción. k=2 y k=3 frente a k=0 son neutros: 126 y 126 de 136 instancias con exactamente las mismas celdas, medias 1.009 y 1.004. La reescritura k-nomial solo encuentra material en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ex14_2_*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porque en el producto de dos formas afines la matriz es de rango 2 y casi nunca hay dos símbolos compartidos; donde actúa, el efecto en celdas va en los dos sentidos y es del tamaño del ruido del B&amp;B.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Qué usar hoy con `art`.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RAA k=0. Lo que la RAA aporta al solver en estas instancias es su parte cuadrática (cuadrados de Chebyshev), no los bloques k-nomiales.</w:t>
      </w:r>
    </w:p>
    <w:p>
      <w:pPr>
        <w:pStyle w:val="Heading1"/>
        <w:keepNext/>
        <w:spacing w:after="100" w:before="280"/>
      </w:pPr>
      <w:r>
        <w:t xml:space="preserve">6. Nota sobre la corrida de k = 2</w:t>
      </w:r>
    </w:p>
    <w:p>
      <w:pPr>
        <w:spacing w:after="100" w:line="264" w:lineRule="auto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Las etapas B y D de septiembre solo tenían k=0 y k=3. La columna k=2 se corrió el 5 de octubre con el mismo binario, parches, parámetros y límite (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scripts/wsl_fase3_k2_launch.sh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reutiliza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wsl_fase3_sweep.sh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con la variante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--lr=art --arith=raa --knomial_k=2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), sobre las mismas 147 instancias, 12 procesos en paralelo. Las filas están en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results/07-fase3-nivel2-solver/fase3-k2-20261005/art_raa_k2/runs.csv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y en WSL en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~/ibex-local/results/fase3-k2-20261005/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. La tabla por instancia y este documento se generan con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art_vs_raa.py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0B0B0B"/>
          <w:sz w:val="19"/>
          <w:szCs w:val="19"/>
        </w:rPr>
        <w:t xml:space="preserve">informe_corto.js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también en la carpeta.</w:t>
      </w:r>
    </w:p>
    <w:p>
      <w:pPr>
        <w:pStyle w:val="Heading1"/>
        <w:keepNext/>
        <w:spacing w:after="100" w:before="280"/>
      </w:pPr>
      <w:r>
        <w:t xml:space="preserve">Dónde está todo</w:t>
      </w:r>
    </w:p>
    <w:tbl>
      <w:tblPr>
        <w:tblW w:type="dxa" w:w="10240"/>
        <w:tblBorders>
          <w:top w:val="single" w:color="D9D7D1" w:sz="4"/>
          <w:left w:val="single" w:color="D9D7D1" w:sz="4"/>
          <w:bottom w:val="single" w:color="D9D7D1" w:sz="4"/>
          <w:right w:val="single" w:color="D9D7D1" w:sz="4"/>
          <w:insideH w:val="single" w:color="D9D7D1" w:sz="4"/>
          <w:insideV w:val="single" w:color="D9D7D1" w:sz="4"/>
        </w:tblBorders>
      </w:tblPr>
      <w:tblGrid>
        <w:gridCol w:w="3072"/>
        <w:gridCol w:w="7168"/>
      </w:tblGrid>
      <w:tr>
        <w:trPr>
          <w:cantSplit/>
          <w:tblHeader/>
        </w:trPr>
        <w:tc>
          <w:tcPr>
            <w:tcW w:type="dxa" w:w="3072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qué</w:t>
            </w:r>
          </w:p>
        </w:tc>
        <w:tc>
          <w:tcPr>
            <w:tcW w:type="dxa" w:w="7168"/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ruta</w:t>
            </w:r>
          </w:p>
        </w:tc>
      </w:tr>
      <w:tr>
        <w:trPr>
          <w:cantSplit/>
          <w:tblHeader w:val="off"/>
        </w:trPr>
        <w:tc>
          <w:tcPr>
            <w:tcW w:type="dxa" w:w="307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Datos de este documento</w:t>
            </w:r>
          </w:p>
        </w:tc>
        <w:tc>
          <w:tcPr>
            <w:tcW w:type="dxa" w:w="716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raak/results/07-fase3-nivel2-solver/fase3-20260921/B_easy_medium_art/runs.csv</w:t>
            </w: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D_hard_others_art/runs.csv</w:t>
            </w: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; k=2: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raak/results/07-fase3-nivel2-solver/fase3-k2-20261005/art_raa_k2/runs.csv</w:t>
            </w:r>
          </w:p>
        </w:tc>
      </w:tr>
      <w:tr>
        <w:trPr>
          <w:cantSplit/>
          <w:tblHeader w:val="off"/>
        </w:trPr>
        <w:tc>
          <w:tcPr>
            <w:tcW w:type="dxa" w:w="307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Tabla por instancia en CSV, figuras y resumen</w:t>
            </w:r>
          </w:p>
        </w:tc>
        <w:tc>
          <w:tcPr>
            <w:tcW w:type="dxa" w:w="716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raak/results/09-informes/</w:t>
            </w:r>
          </w:p>
        </w:tc>
      </w:tr>
      <w:tr>
        <w:trPr>
          <w:cantSplit/>
          <w:tblHeader w:val="off"/>
        </w:trPr>
        <w:tc>
          <w:tcPr>
            <w:tcW w:type="dxa" w:w="307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Informe completo del 30 de septiembre</w:t>
            </w:r>
          </w:p>
        </w:tc>
        <w:tc>
          <w:tcPr>
            <w:tcW w:type="dxa" w:w="716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raak/results/09-informes/Informe_RAAK_comparacion_aritmeticas_2026-09-30.pdf</w:t>
            </w:r>
          </w:p>
        </w:tc>
      </w:tr>
      <w:tr>
        <w:trPr>
          <w:cantSplit/>
          <w:tblHeader w:val="off"/>
        </w:trPr>
        <w:tc>
          <w:tcPr>
            <w:tcW w:type="dxa" w:w="3072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Resultados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compo</w:t>
            </w: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 y con la AA tradicional</w:t>
            </w:r>
          </w:p>
        </w:tc>
        <w:tc>
          <w:tcPr>
            <w:tcW w:type="dxa" w:w="7168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0B0B"/>
                <w:sz w:val="16"/>
                <w:szCs w:val="16"/>
              </w:rPr>
              <w:t xml:space="preserve">raak/results/07-fase3-nivel2-solver/fase3-20260921/RESUMEN.md</w:t>
            </w:r>
          </w:p>
        </w:tc>
      </w:tr>
    </w:tbl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14E"/>
        <w:sz w:val="16"/>
        <w:szCs w:val="16"/>
      </w:rPr>
      <w:t xml:space="preserve">art frente a RAA · página </w:t>
    </w:r>
    <w:r>
      <w:rPr>
        <w:rFonts w:ascii="Calibri" w:cs="Calibri" w:eastAsia="Calibri" w:hAnsi="Calibri"/>
        <w:color w:val="52514E"/>
        <w:sz w:val="16"/>
        <w:szCs w:val="16"/>
      </w:rPr>
      <w:fldChar w:fldCharType="begin"/>
    </w:r>
    <w:r>
      <w:rPr>
        <w:rFonts w:ascii="Calibri" w:cs="Calibri" w:eastAsia="Calibri" w:hAnsi="Calibri"/>
        <w:color w:val="52514E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2514E"/>
        <w:sz w:val="16"/>
        <w:szCs w:val="16"/>
      </w:rPr>
      <w:fldChar w:fldCharType="separate"/>
    </w:r>
    <w:r>
      <w:rPr>
        <w:rFonts w:ascii="Calibri" w:cs="Calibri" w:eastAsia="Calibri" w:hAnsi="Calibri"/>
        <w:color w:val="52514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f97ef75eb75543420ca5ec86b92b1d2f7ab8006.png"/><Relationship Id="rId9" Type="http://schemas.openxmlformats.org/officeDocument/2006/relationships/image" Target="media/372668690738fa5a41bdc33aff685d64edf3dc9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 frente a RAA (k = 0, 1, 2, 3): nodos y CPU por instancia</dc:title>
  <dc:creator>Eva Ponce Fernández</dc:creator>
  <cp:lastModifiedBy>Un-named</cp:lastModifiedBy>
  <cp:revision>1</cp:revision>
  <dcterms:created xsi:type="dcterms:W3CDTF">2026-10-19T23:34:05.246Z</dcterms:created>
  <dcterms:modified xsi:type="dcterms:W3CDTF">2026-10-19T23:34:05.246Z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