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7FD" w:rsidRPr="000B3BAC" w:rsidRDefault="006477FD" w:rsidP="006477FD">
      <w:pPr>
        <w:rPr>
          <w:b/>
        </w:rPr>
      </w:pPr>
      <w:r w:rsidRPr="000B3BAC">
        <w:rPr>
          <w:b/>
        </w:rPr>
        <w:t>Model of multiplication in direction selective ganglion cells</w:t>
      </w:r>
    </w:p>
    <w:p w:rsidR="004171A9" w:rsidRDefault="004171A9" w:rsidP="000B3BAC">
      <w:bookmarkStart w:id="0" w:name="_GoBack"/>
      <w:bookmarkEnd w:id="0"/>
    </w:p>
    <w:p w:rsidR="000B3BAC" w:rsidRPr="000B3BAC" w:rsidRDefault="000B3BAC" w:rsidP="000B3BAC">
      <w:hyperlink r:id="rId6" w:history="1">
        <w:r w:rsidRPr="000B3BAC">
          <w:t>NMDA Receptors Multiplicatively Scale Visual Signals and Enhance Directional Motion Discrimination in Retinal Ganglion Cells.</w:t>
        </w:r>
      </w:hyperlink>
      <w:r>
        <w:t xml:space="preserve"> </w:t>
      </w:r>
      <w:proofErr w:type="gramStart"/>
      <w:r w:rsidRPr="000B3BAC">
        <w:t>Poleg-Polsky A, Diamond JS.</w:t>
      </w:r>
      <w:proofErr w:type="gramEnd"/>
      <w:r>
        <w:t xml:space="preserve"> </w:t>
      </w:r>
      <w:proofErr w:type="gramStart"/>
      <w:r w:rsidRPr="000B3BAC">
        <w:t>Neuron.</w:t>
      </w:r>
      <w:proofErr w:type="gramEnd"/>
      <w:r w:rsidRPr="000B3BAC">
        <w:t xml:space="preserve"> 2016 Mar 16</w:t>
      </w:r>
      <w:proofErr w:type="gramStart"/>
      <w:r w:rsidRPr="000B3BAC">
        <w:t>;89</w:t>
      </w:r>
      <w:proofErr w:type="gramEnd"/>
      <w:r w:rsidRPr="000B3BAC">
        <w:t xml:space="preserve">(6):1277-90. </w:t>
      </w:r>
      <w:proofErr w:type="spellStart"/>
      <w:proofErr w:type="gramStart"/>
      <w:r w:rsidRPr="000B3BAC">
        <w:t>doi</w:t>
      </w:r>
      <w:proofErr w:type="spellEnd"/>
      <w:proofErr w:type="gramEnd"/>
      <w:r w:rsidRPr="000B3BAC">
        <w:t xml:space="preserve">: 10.1016/j.neuron.2016.02.013. </w:t>
      </w:r>
      <w:proofErr w:type="spellStart"/>
      <w:r w:rsidRPr="000B3BAC">
        <w:t>Epub</w:t>
      </w:r>
      <w:proofErr w:type="spellEnd"/>
      <w:r w:rsidRPr="000B3BAC">
        <w:t xml:space="preserve"> 2016 Mar 3.</w:t>
      </w:r>
      <w:r>
        <w:t xml:space="preserve"> </w:t>
      </w:r>
      <w:r w:rsidRPr="000B3BAC">
        <w:t>PMID</w:t>
      </w:r>
      <w:proofErr w:type="gramStart"/>
      <w:r w:rsidRPr="000B3BAC">
        <w:t>:26948896</w:t>
      </w:r>
      <w:proofErr w:type="gramEnd"/>
    </w:p>
    <w:p w:rsidR="004171A9" w:rsidRDefault="004171A9" w:rsidP="006477FD"/>
    <w:p w:rsidR="004171A9" w:rsidRDefault="004171A9" w:rsidP="006477FD"/>
    <w:p w:rsidR="00C01F6C" w:rsidRDefault="006477FD" w:rsidP="006477FD">
      <w:r>
        <w:t>The simulation models synaptic integration in a multi-compartmental direction selective ganglion cell</w:t>
      </w:r>
      <w:r w:rsidR="00C01F6C" w:rsidRPr="006477FD">
        <w:t xml:space="preserve"> </w:t>
      </w:r>
      <w:r>
        <w:t>(DSGC).</w:t>
      </w:r>
    </w:p>
    <w:p w:rsidR="006477FD" w:rsidRDefault="006477FD" w:rsidP="006477FD">
      <w:r>
        <w:t xml:space="preserve">The simulated DSGC receives 3 types of </w:t>
      </w:r>
      <w:proofErr w:type="gramStart"/>
      <w:r>
        <w:t>synaptic  inputs</w:t>
      </w:r>
      <w:proofErr w:type="gramEnd"/>
      <w:r>
        <w:t xml:space="preserve">: </w:t>
      </w:r>
    </w:p>
    <w:p w:rsidR="006477FD" w:rsidRDefault="006477FD" w:rsidP="006477FD">
      <w:pPr>
        <w:pStyle w:val="ListParagraph"/>
        <w:numPr>
          <w:ilvl w:val="0"/>
          <w:numId w:val="1"/>
        </w:numPr>
      </w:pPr>
      <w:r>
        <w:t>Glutamatergic drive, mediated by AMPA and NMDA receptors</w:t>
      </w:r>
    </w:p>
    <w:p w:rsidR="006477FD" w:rsidRDefault="006477FD" w:rsidP="006477FD">
      <w:pPr>
        <w:pStyle w:val="ListParagraph"/>
        <w:numPr>
          <w:ilvl w:val="0"/>
          <w:numId w:val="1"/>
        </w:numPr>
      </w:pPr>
      <w:r>
        <w:t>Cholinergic drive, mediated by nicotinic receptors</w:t>
      </w:r>
    </w:p>
    <w:p w:rsidR="006477FD" w:rsidRDefault="006477FD" w:rsidP="006477FD">
      <w:pPr>
        <w:pStyle w:val="ListParagraph"/>
        <w:numPr>
          <w:ilvl w:val="0"/>
          <w:numId w:val="1"/>
        </w:numPr>
      </w:pPr>
      <w:r>
        <w:t>GABAergic drive, mediated by GABAA receptors</w:t>
      </w:r>
    </w:p>
    <w:p w:rsidR="006477FD" w:rsidRDefault="006477FD" w:rsidP="006477FD">
      <w:r>
        <w:t xml:space="preserve">The drives are activated in a spatial sequence, to imitate a moving stimulus. Preferred direction (PD) and null direction (ND) are different in the intensity of the synaptic drives. For tuned inhibition, the inhibitory drive is 300% larger in the ND. For tuned excitation, the cholinergic drive is larger by 300% in the PD. </w:t>
      </w:r>
      <w:r w:rsidR="000D3C00">
        <w:t>In all simulations the number of active glutamatergic synapses is similar between directions.</w:t>
      </w:r>
    </w:p>
    <w:p w:rsidR="006477FD" w:rsidRDefault="006477FD" w:rsidP="006477FD">
      <w:r>
        <w:t>Three conditions are explored:</w:t>
      </w:r>
    </w:p>
    <w:p w:rsidR="006477FD" w:rsidRDefault="006477FD" w:rsidP="006477FD">
      <w:pPr>
        <w:pStyle w:val="ListParagraph"/>
        <w:numPr>
          <w:ilvl w:val="0"/>
          <w:numId w:val="2"/>
        </w:numPr>
      </w:pPr>
      <w:r>
        <w:t>Control simulation, with tuned inhibition and voltage dependent NMDAR behavior</w:t>
      </w:r>
    </w:p>
    <w:p w:rsidR="006477FD" w:rsidRDefault="006477FD" w:rsidP="006477FD">
      <w:pPr>
        <w:pStyle w:val="ListParagraph"/>
        <w:numPr>
          <w:ilvl w:val="0"/>
          <w:numId w:val="2"/>
        </w:numPr>
      </w:pPr>
      <w:r>
        <w:t>Zero Mg++ simulation, with tuned inhibition and voltage insensitive NDMARs</w:t>
      </w:r>
    </w:p>
    <w:p w:rsidR="006477FD" w:rsidRDefault="006477FD" w:rsidP="006477FD">
      <w:pPr>
        <w:pStyle w:val="ListParagraph"/>
        <w:numPr>
          <w:ilvl w:val="0"/>
          <w:numId w:val="2"/>
        </w:numPr>
      </w:pPr>
      <w:r>
        <w:t xml:space="preserve">Tuned excitation simulation, with </w:t>
      </w:r>
      <w:r>
        <w:t>voltage dependent NMDAR behavior</w:t>
      </w:r>
    </w:p>
    <w:p w:rsidR="006477FD" w:rsidRDefault="006477FD" w:rsidP="006477FD">
      <w:r>
        <w:t>In each condition clicking on the corresponding button with run either the PD or ND simulations.</w:t>
      </w:r>
    </w:p>
    <w:p w:rsidR="006477FD" w:rsidRDefault="006477FD" w:rsidP="006477FD">
      <w:r>
        <w:t>NMDARs and voltage gated channels can be ‘blocked’ by unchecking the corresponding check boxes.</w:t>
      </w:r>
    </w:p>
    <w:p w:rsidR="006477FD" w:rsidRDefault="006477FD" w:rsidP="006477FD">
      <w:r>
        <w:t>Figure 1:</w:t>
      </w:r>
      <w:r w:rsidRPr="006477FD">
        <w:t xml:space="preserve"> </w:t>
      </w:r>
      <w:r>
        <w:t>Control condition, PD activation w/ (black) an w/</w:t>
      </w:r>
      <w:proofErr w:type="gramStart"/>
      <w:r>
        <w:t>o  (</w:t>
      </w:r>
      <w:proofErr w:type="gramEnd"/>
      <w:r>
        <w:t>gray) NMDARs (spikes blocked</w:t>
      </w:r>
      <w:r w:rsidR="000D3C00">
        <w:t>)</w:t>
      </w:r>
    </w:p>
    <w:p w:rsidR="006477FD" w:rsidRDefault="006477FD" w:rsidP="006477FD">
      <w:r>
        <w:rPr>
          <w:noProof/>
        </w:rPr>
        <w:lastRenderedPageBreak/>
        <w:drawing>
          <wp:inline distT="0" distB="0" distL="0" distR="0" wp14:anchorId="7B11B313" wp14:editId="06607CCD">
            <wp:extent cx="39624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FD" w:rsidRDefault="006477FD" w:rsidP="006477FD">
      <w:r>
        <w:t xml:space="preserve">Figure </w:t>
      </w:r>
      <w:r>
        <w:t>2</w:t>
      </w:r>
      <w:r>
        <w:t>:</w:t>
      </w:r>
      <w:r w:rsidRPr="006477FD">
        <w:t xml:space="preserve"> </w:t>
      </w:r>
      <w:r>
        <w:t xml:space="preserve">Control condition, </w:t>
      </w:r>
      <w:r>
        <w:t>N</w:t>
      </w:r>
      <w:r>
        <w:t>D activation w/</w:t>
      </w:r>
      <w:r>
        <w:t xml:space="preserve"> (black) an </w:t>
      </w:r>
      <w:r>
        <w:t>w/</w:t>
      </w:r>
      <w:proofErr w:type="gramStart"/>
      <w:r>
        <w:t xml:space="preserve">o </w:t>
      </w:r>
      <w:r>
        <w:t xml:space="preserve"> (</w:t>
      </w:r>
      <w:proofErr w:type="gramEnd"/>
      <w:r>
        <w:t xml:space="preserve">gray) </w:t>
      </w:r>
      <w:r>
        <w:t>NMDARs (spikes blocked)</w:t>
      </w:r>
    </w:p>
    <w:p w:rsidR="006477FD" w:rsidRDefault="006477FD" w:rsidP="006477FD">
      <w:r>
        <w:rPr>
          <w:noProof/>
        </w:rPr>
        <w:drawing>
          <wp:inline distT="0" distB="0" distL="0" distR="0" wp14:anchorId="5A6D58C4" wp14:editId="1F82269C">
            <wp:extent cx="3962400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00" w:rsidRDefault="000D3C00" w:rsidP="006477FD"/>
    <w:p w:rsidR="000D3C00" w:rsidRDefault="000D3C00" w:rsidP="006477FD">
      <w:r>
        <w:t>In the control case NMDARs amplify the response by about 100%, indicative of multiplication.</w:t>
      </w:r>
    </w:p>
    <w:p w:rsidR="000D3C00" w:rsidRDefault="000D3C00" w:rsidP="006477FD"/>
    <w:p w:rsidR="000D3C00" w:rsidRDefault="000D3C00" w:rsidP="006477FD">
      <w:r>
        <w:lastRenderedPageBreak/>
        <w:t>Voltage independent NMDARs amplify both PD (Figure 3) and ND (Figure 4) responses. The contribution of NMDARs becomes similar between PD and ND, indicative of additive scaling.</w:t>
      </w:r>
    </w:p>
    <w:p w:rsidR="000D3C00" w:rsidRDefault="000D3C00" w:rsidP="000D3C00">
      <w:r>
        <w:t xml:space="preserve">Figure </w:t>
      </w:r>
      <w:r>
        <w:t>3</w:t>
      </w:r>
      <w:r>
        <w:t>:</w:t>
      </w:r>
      <w:r w:rsidRPr="006477FD">
        <w:t xml:space="preserve"> </w:t>
      </w:r>
      <w:r>
        <w:t xml:space="preserve">Voltage independent NMDARs, PD activation w/ (black) an </w:t>
      </w:r>
      <w:r>
        <w:t>w/o</w:t>
      </w:r>
      <w:r>
        <w:t xml:space="preserve"> (gray) NMDARs (spikes blocked</w:t>
      </w:r>
      <w:r>
        <w:t>)</w:t>
      </w:r>
    </w:p>
    <w:p w:rsidR="000D3C00" w:rsidRDefault="000D3C00" w:rsidP="006477FD"/>
    <w:p w:rsidR="000D3C00" w:rsidRDefault="000D3C00" w:rsidP="006477FD">
      <w:r>
        <w:rPr>
          <w:noProof/>
        </w:rPr>
        <w:drawing>
          <wp:inline distT="0" distB="0" distL="0" distR="0" wp14:anchorId="2D996C74" wp14:editId="142817A4">
            <wp:extent cx="3962400" cy="3305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00" w:rsidRDefault="000D3C00" w:rsidP="000D3C00">
      <w:r>
        <w:t xml:space="preserve">Figure </w:t>
      </w:r>
      <w:r>
        <w:t>4</w:t>
      </w:r>
      <w:r>
        <w:t>:</w:t>
      </w:r>
      <w:r w:rsidRPr="006477FD">
        <w:t xml:space="preserve"> </w:t>
      </w:r>
      <w:r>
        <w:t xml:space="preserve">Voltage independent NMDARs, </w:t>
      </w:r>
      <w:r>
        <w:t>N</w:t>
      </w:r>
      <w:r>
        <w:t>D activation w/ (black) an w/o (gray) NMDARs (spikes blocked)</w:t>
      </w:r>
    </w:p>
    <w:p w:rsidR="000D3C00" w:rsidRDefault="000D3C00" w:rsidP="006477FD">
      <w:r>
        <w:rPr>
          <w:noProof/>
        </w:rPr>
        <w:lastRenderedPageBreak/>
        <w:drawing>
          <wp:inline distT="0" distB="0" distL="0" distR="0" wp14:anchorId="4652D77F" wp14:editId="795D5B37">
            <wp:extent cx="3962400" cy="3305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00" w:rsidRDefault="000D3C00" w:rsidP="006477FD"/>
    <w:p w:rsidR="000D3C00" w:rsidRDefault="000D3C00" w:rsidP="006477FD">
      <w:r>
        <w:t>Similar additive scaling is observed with tuned excitation:</w:t>
      </w:r>
    </w:p>
    <w:p w:rsidR="000D3C00" w:rsidRDefault="000D3C00" w:rsidP="000D3C00">
      <w:r>
        <w:t xml:space="preserve">Figure </w:t>
      </w:r>
      <w:r>
        <w:t>5</w:t>
      </w:r>
      <w:r>
        <w:t>:</w:t>
      </w:r>
      <w:r w:rsidRPr="006477FD">
        <w:t xml:space="preserve"> </w:t>
      </w:r>
      <w:r>
        <w:t>Tuned excitation</w:t>
      </w:r>
      <w:r>
        <w:t>, PD activation w/ (black) an w/o (gray) native NMDARs (spikes blocked)</w:t>
      </w:r>
    </w:p>
    <w:p w:rsidR="000D3C00" w:rsidRDefault="000D3C00" w:rsidP="006477FD">
      <w:r>
        <w:rPr>
          <w:noProof/>
        </w:rPr>
        <w:drawing>
          <wp:inline distT="0" distB="0" distL="0" distR="0" wp14:anchorId="3B891340" wp14:editId="63EC6FD0">
            <wp:extent cx="3962400" cy="3305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D3C00" w:rsidRDefault="000D3C00" w:rsidP="000D3C00">
      <w:r>
        <w:t xml:space="preserve">Figure </w:t>
      </w:r>
      <w:r>
        <w:t>6</w:t>
      </w:r>
      <w:r>
        <w:t>:</w:t>
      </w:r>
      <w:r w:rsidRPr="006477FD">
        <w:t xml:space="preserve"> </w:t>
      </w:r>
      <w:r>
        <w:t xml:space="preserve">Tuned excitation, </w:t>
      </w:r>
      <w:r>
        <w:t>N</w:t>
      </w:r>
      <w:r>
        <w:t>D activation w/ (black) an w/o (gray) native NMDARs (spikes blocked)</w:t>
      </w:r>
    </w:p>
    <w:p w:rsidR="000D3C00" w:rsidRDefault="000D3C00" w:rsidP="000D3C00">
      <w:r>
        <w:rPr>
          <w:noProof/>
        </w:rPr>
        <w:lastRenderedPageBreak/>
        <w:drawing>
          <wp:inline distT="0" distB="0" distL="0" distR="0" wp14:anchorId="28B0FADD" wp14:editId="6D159693">
            <wp:extent cx="3962400" cy="3305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00" w:rsidRPr="006477FD" w:rsidRDefault="000D3C00" w:rsidP="006477FD"/>
    <w:sectPr w:rsidR="000D3C00" w:rsidRPr="00647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848E0"/>
    <w:multiLevelType w:val="hybridMultilevel"/>
    <w:tmpl w:val="63BED60A"/>
    <w:lvl w:ilvl="0" w:tplc="86BC6A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902DE"/>
    <w:multiLevelType w:val="hybridMultilevel"/>
    <w:tmpl w:val="41D29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F6C"/>
    <w:rsid w:val="000B3BAC"/>
    <w:rsid w:val="000D3C00"/>
    <w:rsid w:val="004171A9"/>
    <w:rsid w:val="006477FD"/>
    <w:rsid w:val="007E2949"/>
    <w:rsid w:val="00C0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7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FD"/>
    <w:rPr>
      <w:rFonts w:ascii="Tahoma" w:hAnsi="Tahoma" w:cs="Tahoma"/>
      <w:sz w:val="16"/>
      <w:szCs w:val="16"/>
    </w:rPr>
  </w:style>
  <w:style w:type="paragraph" w:customStyle="1" w:styleId="title">
    <w:name w:val="title"/>
    <w:basedOn w:val="Normal"/>
    <w:rsid w:val="000B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3BAC"/>
    <w:rPr>
      <w:color w:val="0000FF"/>
      <w:u w:val="single"/>
    </w:rPr>
  </w:style>
  <w:style w:type="paragraph" w:customStyle="1" w:styleId="desc">
    <w:name w:val="desc"/>
    <w:basedOn w:val="Normal"/>
    <w:rsid w:val="000B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3BAC"/>
  </w:style>
  <w:style w:type="paragraph" w:customStyle="1" w:styleId="details">
    <w:name w:val="details"/>
    <w:basedOn w:val="Normal"/>
    <w:rsid w:val="000B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rnl">
    <w:name w:val="jrnl"/>
    <w:basedOn w:val="DefaultParagraphFont"/>
    <w:rsid w:val="000B3B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7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FD"/>
    <w:rPr>
      <w:rFonts w:ascii="Tahoma" w:hAnsi="Tahoma" w:cs="Tahoma"/>
      <w:sz w:val="16"/>
      <w:szCs w:val="16"/>
    </w:rPr>
  </w:style>
  <w:style w:type="paragraph" w:customStyle="1" w:styleId="title">
    <w:name w:val="title"/>
    <w:basedOn w:val="Normal"/>
    <w:rsid w:val="000B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3BAC"/>
    <w:rPr>
      <w:color w:val="0000FF"/>
      <w:u w:val="single"/>
    </w:rPr>
  </w:style>
  <w:style w:type="paragraph" w:customStyle="1" w:styleId="desc">
    <w:name w:val="desc"/>
    <w:basedOn w:val="Normal"/>
    <w:rsid w:val="000B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3BAC"/>
  </w:style>
  <w:style w:type="paragraph" w:customStyle="1" w:styleId="details">
    <w:name w:val="details"/>
    <w:basedOn w:val="Normal"/>
    <w:rsid w:val="000B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rnl">
    <w:name w:val="jrnl"/>
    <w:basedOn w:val="DefaultParagraphFont"/>
    <w:rsid w:val="000B3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3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9293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bi.nlm.nih.gov/pubmed/26948896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3354</TotalTime>
  <Pages>5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NIH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Poleg-Polsky, Alon (NIH/NINDS) [F]</dc:creator>
  <cp:lastModifiedBy>Poleg-Polsky, Alon (NIH/NINDS) [F]</cp:lastModifiedBy>
  <cp:revision>3</cp:revision>
  <dcterms:created xsi:type="dcterms:W3CDTF">2016-05-18T11:03:00Z</dcterms:created>
  <dcterms:modified xsi:type="dcterms:W3CDTF">2016-05-20T18:57:00Z</dcterms:modified>
</cp:coreProperties>
</file>