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>
        <w:rPr>
          <w:rFonts w:asciiTheme="minorHAnsi" w:hAnsiTheme="minorHAnsi" w:cstheme="minorHAnsi"/>
          <w:sz w:val="22"/>
          <w:szCs w:val="22"/>
        </w:rPr>
        <w:t>Model files in the NEURON simulation environment (v8.0) from the paper</w:t>
      </w:r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</w:p>
    <w:p w:rsidR="00000000" w:rsidRDefault="006129BB">
      <w:pPr>
        <w:pStyle w:val="Testonormale"/>
        <w:rPr>
          <w:rFonts w:asciiTheme="minorHAnsi" w:hAnsiTheme="minorHAnsi" w:cstheme="minorHAnsi"/>
          <w:b/>
          <w:sz w:val="22"/>
          <w:szCs w:val="22"/>
        </w:rPr>
      </w:pPr>
      <w:proofErr w:type="gramStart"/>
      <w:r>
        <w:rPr>
          <w:rFonts w:asciiTheme="minorHAnsi" w:hAnsiTheme="minorHAnsi" w:cstheme="minorHAnsi"/>
          <w:b/>
          <w:sz w:val="22"/>
          <w:szCs w:val="22"/>
        </w:rPr>
        <w:t>" Circadian</w:t>
      </w:r>
      <w:proofErr w:type="gramEnd"/>
      <w:r>
        <w:rPr>
          <w:rFonts w:asciiTheme="minorHAnsi" w:hAnsiTheme="minorHAnsi" w:cstheme="minorHAnsi"/>
          <w:b/>
          <w:sz w:val="22"/>
          <w:szCs w:val="22"/>
        </w:rPr>
        <w:t xml:space="preserve"> modulation of neurons and astrocytes controls synaptic plasticity in hippocampal area CA1"</w:t>
      </w:r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by John P. McCauley, Maurice A. </w:t>
      </w:r>
      <w:proofErr w:type="spellStart"/>
      <w:r>
        <w:rPr>
          <w:rFonts w:asciiTheme="minorHAnsi" w:hAnsiTheme="minorHAnsi" w:cstheme="minorHAnsi"/>
          <w:sz w:val="22"/>
          <w:szCs w:val="22"/>
        </w:rPr>
        <w:t>Petroccione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Lianna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Y. </w:t>
      </w:r>
      <w:proofErr w:type="spellStart"/>
      <w:r>
        <w:rPr>
          <w:rFonts w:asciiTheme="minorHAnsi" w:hAnsiTheme="minorHAnsi" w:cstheme="minorHAnsi"/>
          <w:sz w:val="22"/>
          <w:szCs w:val="22"/>
        </w:rPr>
        <w:t>D’Brant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Gabrielle </w:t>
      </w:r>
      <w:r>
        <w:rPr>
          <w:rFonts w:asciiTheme="minorHAnsi" w:hAnsiTheme="minorHAnsi" w:cstheme="minorHAnsi"/>
          <w:sz w:val="22"/>
          <w:szCs w:val="22"/>
        </w:rPr>
        <w:t xml:space="preserve">C. Todd, </w:t>
      </w:r>
      <w:proofErr w:type="spellStart"/>
      <w:r>
        <w:rPr>
          <w:rFonts w:asciiTheme="minorHAnsi" w:hAnsiTheme="minorHAnsi" w:cstheme="minorHAnsi"/>
          <w:sz w:val="22"/>
          <w:szCs w:val="22"/>
        </w:rPr>
        <w:t>Nurat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Affinnih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Justin J. </w:t>
      </w:r>
      <w:proofErr w:type="spellStart"/>
      <w:r>
        <w:rPr>
          <w:rFonts w:asciiTheme="minorHAnsi" w:hAnsiTheme="minorHAnsi" w:cstheme="minorHAnsi"/>
          <w:sz w:val="22"/>
          <w:szCs w:val="22"/>
        </w:rPr>
        <w:t>Wisnoski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Shergil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Zahid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Swasti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Shree, </w:t>
      </w:r>
      <w:proofErr w:type="spellStart"/>
      <w:r>
        <w:rPr>
          <w:rFonts w:asciiTheme="minorHAnsi" w:hAnsiTheme="minorHAnsi" w:cstheme="minorHAnsi"/>
          <w:sz w:val="22"/>
          <w:szCs w:val="22"/>
        </w:rPr>
        <w:t>Alioscka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A. Sousa, Rose M. De Guzman, Rosanna </w:t>
      </w:r>
      <w:proofErr w:type="spellStart"/>
      <w:r>
        <w:rPr>
          <w:rFonts w:asciiTheme="minorHAnsi" w:hAnsiTheme="minorHAnsi" w:cstheme="minorHAnsi"/>
          <w:sz w:val="22"/>
          <w:szCs w:val="22"/>
        </w:rPr>
        <w:t>Migliore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Alexey </w:t>
      </w:r>
      <w:proofErr w:type="spellStart"/>
      <w:r>
        <w:rPr>
          <w:rFonts w:asciiTheme="minorHAnsi" w:hAnsiTheme="minorHAnsi" w:cstheme="minorHAnsi"/>
          <w:sz w:val="22"/>
          <w:szCs w:val="22"/>
        </w:rPr>
        <w:t>Brazhe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Richard D. </w:t>
      </w:r>
      <w:proofErr w:type="spellStart"/>
      <w:r>
        <w:rPr>
          <w:rFonts w:asciiTheme="minorHAnsi" w:hAnsiTheme="minorHAnsi" w:cstheme="minorHAnsi"/>
          <w:sz w:val="22"/>
          <w:szCs w:val="22"/>
        </w:rPr>
        <w:t>Leapman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Alexander </w:t>
      </w:r>
      <w:proofErr w:type="spellStart"/>
      <w:r>
        <w:rPr>
          <w:rFonts w:asciiTheme="minorHAnsi" w:hAnsiTheme="minorHAnsi" w:cstheme="minorHAnsi"/>
          <w:sz w:val="22"/>
          <w:szCs w:val="22"/>
        </w:rPr>
        <w:t>Khmaladze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Alexey </w:t>
      </w:r>
      <w:proofErr w:type="spellStart"/>
      <w:r>
        <w:rPr>
          <w:rFonts w:asciiTheme="minorHAnsi" w:hAnsiTheme="minorHAnsi" w:cstheme="minorHAnsi"/>
          <w:sz w:val="22"/>
          <w:szCs w:val="22"/>
        </w:rPr>
        <w:t>Semyanov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Damian G. </w:t>
      </w:r>
      <w:proofErr w:type="spellStart"/>
      <w:r>
        <w:rPr>
          <w:rFonts w:asciiTheme="minorHAnsi" w:hAnsiTheme="minorHAnsi" w:cstheme="minorHAnsi"/>
          <w:sz w:val="22"/>
          <w:szCs w:val="22"/>
        </w:rPr>
        <w:t>Zuloaga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Michele </w:t>
      </w:r>
      <w:proofErr w:type="spellStart"/>
      <w:r>
        <w:rPr>
          <w:rFonts w:asciiTheme="minorHAnsi" w:hAnsiTheme="minorHAnsi" w:cstheme="minorHAnsi"/>
          <w:sz w:val="22"/>
          <w:szCs w:val="22"/>
        </w:rPr>
        <w:t>Migliore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and Annalisa </w:t>
      </w:r>
      <w:proofErr w:type="spellStart"/>
      <w:r>
        <w:rPr>
          <w:rFonts w:asciiTheme="minorHAnsi" w:hAnsiTheme="minorHAnsi" w:cstheme="minorHAnsi"/>
          <w:sz w:val="22"/>
          <w:szCs w:val="22"/>
        </w:rPr>
        <w:t>Scim</w:t>
      </w:r>
      <w:r>
        <w:rPr>
          <w:rFonts w:asciiTheme="minorHAnsi" w:hAnsiTheme="minorHAnsi" w:cstheme="minorHAnsi"/>
          <w:sz w:val="22"/>
          <w:szCs w:val="22"/>
        </w:rPr>
        <w:t>emi</w:t>
      </w:r>
      <w:proofErr w:type="spellEnd"/>
      <w:r>
        <w:rPr>
          <w:rFonts w:asciiTheme="minorHAnsi" w:hAnsiTheme="minorHAnsi" w:cstheme="minorHAnsi"/>
          <w:sz w:val="22"/>
          <w:szCs w:val="22"/>
        </w:rPr>
        <w:t>. </w:t>
      </w:r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Cell Reports 2020</w:t>
      </w:r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Usage:</w:t>
      </w:r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Auto-launch from </w:t>
      </w:r>
      <w:proofErr w:type="spellStart"/>
      <w:r>
        <w:rPr>
          <w:rFonts w:asciiTheme="minorHAnsi" w:hAnsiTheme="minorHAnsi" w:cstheme="minorHAnsi"/>
          <w:sz w:val="22"/>
          <w:szCs w:val="22"/>
        </w:rPr>
        <w:t>ModelDB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or:</w:t>
      </w:r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Compile the mod files with </w:t>
      </w:r>
      <w:proofErr w:type="spellStart"/>
      <w:r>
        <w:rPr>
          <w:rFonts w:asciiTheme="minorHAnsi" w:hAnsiTheme="minorHAnsi" w:cstheme="minorHAnsi"/>
          <w:sz w:val="22"/>
          <w:szCs w:val="22"/>
        </w:rPr>
        <w:t>mknrndll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mswin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or graphical mac) or</w:t>
      </w:r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nrnivmodl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unix</w:t>
      </w:r>
      <w:proofErr w:type="spellEnd"/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sz w:val="22"/>
          <w:szCs w:val="22"/>
        </w:rPr>
        <w:t>linux</w:t>
      </w:r>
      <w:proofErr w:type="spellEnd"/>
      <w:r>
        <w:rPr>
          <w:rFonts w:asciiTheme="minorHAnsi" w:hAnsiTheme="minorHAnsi" w:cstheme="minorHAnsi"/>
          <w:sz w:val="22"/>
          <w:szCs w:val="22"/>
        </w:rPr>
        <w:t>)). Start the simulation by (</w:t>
      </w:r>
      <w:proofErr w:type="spellStart"/>
      <w:r>
        <w:rPr>
          <w:rFonts w:asciiTheme="minorHAnsi" w:hAnsiTheme="minorHAnsi" w:cstheme="minorHAnsi"/>
          <w:sz w:val="22"/>
          <w:szCs w:val="22"/>
        </w:rPr>
        <w:t>unix</w:t>
      </w:r>
      <w:proofErr w:type="spellEnd"/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>
        <w:rPr>
          <w:rFonts w:asciiTheme="minorHAnsi" w:hAnsiTheme="minorHAnsi" w:cstheme="minorHAnsi"/>
          <w:sz w:val="22"/>
          <w:szCs w:val="22"/>
        </w:rPr>
        <w:t>linux</w:t>
      </w:r>
      <w:proofErr w:type="spellEnd"/>
      <w:r>
        <w:rPr>
          <w:rFonts w:asciiTheme="minorHAnsi" w:hAnsiTheme="minorHAnsi" w:cstheme="minorHAnsi"/>
          <w:sz w:val="22"/>
          <w:szCs w:val="22"/>
        </w:rPr>
        <w:t>) typing</w:t>
      </w:r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on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command line:</w:t>
      </w:r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nrngui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mosinit.hoc</w:t>
      </w:r>
      <w:proofErr w:type="spellEnd"/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 </w:t>
      </w:r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or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(mac </w:t>
      </w:r>
      <w:proofErr w:type="spellStart"/>
      <w:r>
        <w:rPr>
          <w:rFonts w:asciiTheme="minorHAnsi" w:hAnsiTheme="minorHAnsi" w:cstheme="minorHAnsi"/>
          <w:sz w:val="22"/>
          <w:szCs w:val="22"/>
        </w:rPr>
        <w:t>os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x) drag a</w:t>
      </w:r>
      <w:r>
        <w:rPr>
          <w:rFonts w:asciiTheme="minorHAnsi" w:hAnsiTheme="minorHAnsi" w:cstheme="minorHAnsi"/>
          <w:sz w:val="22"/>
          <w:szCs w:val="22"/>
        </w:rPr>
        <w:t xml:space="preserve">nd dropping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mosinit.hoc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file on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nrngui</w:t>
      </w:r>
      <w:proofErr w:type="spellEnd"/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icon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or (</w:t>
      </w:r>
      <w:proofErr w:type="spellStart"/>
      <w:r>
        <w:rPr>
          <w:rFonts w:asciiTheme="minorHAnsi" w:hAnsiTheme="minorHAnsi" w:cstheme="minorHAnsi"/>
          <w:sz w:val="22"/>
          <w:szCs w:val="22"/>
        </w:rPr>
        <w:t>mswin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) double clicking on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mosinit.hoc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file.</w:t>
      </w:r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 </w:t>
      </w:r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After selecting the option corresponding to the modulation of the NMDA and AMPA receptor properties, simulation will reproduce the temporal summation </w:t>
      </w:r>
      <w:r>
        <w:rPr>
          <w:rFonts w:asciiTheme="minorHAnsi" w:hAnsiTheme="minorHAnsi" w:cstheme="minorHAnsi"/>
          <w:sz w:val="22"/>
          <w:szCs w:val="22"/>
        </w:rPr>
        <w:t>of composite glutamatergic EPSPs at the stimulation frequency of 10 Hz (as in fig. 6C of the paper).</w:t>
      </w:r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Example: clicking on run “</w:t>
      </w:r>
      <w:proofErr w:type="spellStart"/>
      <w:r>
        <w:rPr>
          <w:rFonts w:asciiTheme="minorHAnsi" w:hAnsiTheme="minorHAnsi" w:cstheme="minorHAnsi"/>
          <w:sz w:val="22"/>
          <w:szCs w:val="22"/>
        </w:rPr>
        <w:t>Astrocites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only” on the initial window should produce the following graph:</w:t>
      </w:r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</w:p>
    <w:p w:rsidR="00000000" w:rsidRDefault="006129BB">
      <w:pPr>
        <w:pStyle w:val="Testonormale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568950" cy="2933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Questions on how to use this model </w:t>
      </w:r>
      <w:proofErr w:type="gramStart"/>
      <w:r>
        <w:rPr>
          <w:rFonts w:asciiTheme="minorHAnsi" w:hAnsiTheme="minorHAnsi" w:cstheme="minorHAnsi"/>
          <w:sz w:val="22"/>
          <w:szCs w:val="22"/>
        </w:rPr>
        <w:t>should be dir</w:t>
      </w:r>
      <w:r>
        <w:rPr>
          <w:rFonts w:asciiTheme="minorHAnsi" w:hAnsiTheme="minorHAnsi" w:cstheme="minorHAnsi"/>
          <w:sz w:val="22"/>
          <w:szCs w:val="22"/>
        </w:rPr>
        <w:t>ected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to rosanna.migliore@cnr.it</w:t>
      </w:r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morphology </w:t>
      </w:r>
      <w:proofErr w:type="gramStart"/>
      <w:r>
        <w:rPr>
          <w:rFonts w:asciiTheme="minorHAnsi" w:hAnsiTheme="minorHAnsi" w:cstheme="minorHAnsi"/>
          <w:sz w:val="22"/>
          <w:szCs w:val="22"/>
        </w:rPr>
        <w:t>is uploaded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to the neuromorpho.org database (</w:t>
      </w:r>
      <w:hyperlink r:id="rId5" w:history="1">
        <w:r>
          <w:rPr>
            <w:rStyle w:val="Collegamentoipertestuale"/>
            <w:rFonts w:asciiTheme="minorHAnsi" w:hAnsiTheme="minorHAnsi" w:cstheme="minorHAnsi"/>
            <w:sz w:val="22"/>
            <w:szCs w:val="22"/>
          </w:rPr>
          <w:t>www.neuromorpho.org</w:t>
        </w:r>
      </w:hyperlink>
      <w:r>
        <w:rPr>
          <w:rFonts w:asciiTheme="minorHAnsi" w:hAnsiTheme="minorHAnsi" w:cstheme="minorHAnsi"/>
          <w:sz w:val="22"/>
          <w:szCs w:val="22"/>
        </w:rPr>
        <w:t>).</w:t>
      </w:r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 interactive “live paper” page is available in the Brain Simulation </w:t>
      </w:r>
      <w:r>
        <w:rPr>
          <w:rFonts w:asciiTheme="minorHAnsi" w:hAnsiTheme="minorHAnsi" w:cstheme="minorHAnsi"/>
          <w:sz w:val="22"/>
          <w:szCs w:val="22"/>
        </w:rPr>
        <w:t>Platform of the Human Brain Project (https://humanbrainproject.github.io/hbp-bsp-live-papers/</w:t>
      </w:r>
      <w:proofErr w:type="gramStart"/>
      <w:r>
        <w:rPr>
          <w:rFonts w:asciiTheme="minorHAnsi" w:hAnsiTheme="minorHAnsi" w:cstheme="minorHAnsi"/>
          <w:sz w:val="22"/>
          <w:szCs w:val="22"/>
        </w:rPr>
        <w:t>index.htm )</w:t>
      </w:r>
      <w:proofErr w:type="gramEnd"/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Access to this resource requires free user registration at https://www.humanbrainproject.eu/en/hbp-platforms/getting-access/ </w:t>
      </w:r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</w:p>
    <w:p w:rsidR="00000000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All datasets generated d</w:t>
      </w:r>
      <w:r>
        <w:rPr>
          <w:rFonts w:asciiTheme="minorHAnsi" w:hAnsiTheme="minorHAnsi" w:cstheme="minorHAnsi"/>
          <w:sz w:val="22"/>
          <w:szCs w:val="22"/>
        </w:rPr>
        <w:t>uring and/or analyzed during the current study are also available on Open Science Framework (https://bit.ly/3jsJXrO).</w:t>
      </w:r>
    </w:p>
    <w:p w:rsidR="006129BB" w:rsidRDefault="006129BB">
      <w:pPr>
        <w:pStyle w:val="Testonormale"/>
        <w:rPr>
          <w:rFonts w:asciiTheme="minorHAnsi" w:hAnsiTheme="minorHAnsi" w:cstheme="minorHAnsi"/>
          <w:sz w:val="22"/>
          <w:szCs w:val="22"/>
        </w:rPr>
      </w:pPr>
    </w:p>
    <w:sectPr w:rsidR="006129BB">
      <w:pgSz w:w="12240" w:h="15840"/>
      <w:pgMar w:top="1417" w:right="1502" w:bottom="1134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2C"/>
    <w:rsid w:val="00034D2C"/>
    <w:rsid w:val="0061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7A1A3-F318-4972-B930-3F9D49C5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locked/>
    <w:rPr>
      <w:rFonts w:ascii="Consolas" w:hAnsi="Consolas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euromorpho.org" TargetMode="Externa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2020-09-02T13:09:00Z</dcterms:created>
  <dcterms:modified xsi:type="dcterms:W3CDTF">2020-09-02T13:09:00Z</dcterms:modified>
</cp:coreProperties>
</file>