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Subject: Re: Vetalyx contracts — After your comments — Framework Agreement v4 and Articles of Association</w:t>
      </w:r>
    </w:p>
    <w:p>
      <w:pPr>
        <w:pStyle w:val="BodyText"/>
      </w:pPr>
      <w:r>
        <w:t xml:space="preserve">Dear Li Yan, dear all,</w:t>
      </w:r>
    </w:p>
    <w:p>
      <w:pPr>
        <w:pStyle w:val="BodyText"/>
      </w:pPr>
      <w:r>
        <w:t xml:space="preserve">Thank you for your reply of 28 October and for the revised Framework Agreement (v4) and the R&amp;D progress report. We have carefully reviewed them with our legal counsel, and we are pleased that our positions are converging. Please find our response below, point by point.</w:t>
      </w:r>
    </w:p>
    <w:p>
      <w:pPr>
        <w:pStyle w:val="BodyText"/>
      </w:pPr>
      <w:r>
        <w:rPr>
          <w:b/>
          <w:bCs/>
        </w:rPr>
        <w:t xml:space="preserve">A. Framework agreement</w:t>
      </w:r>
    </w:p>
    <w:p>
      <w:pPr>
        <w:pStyle w:val="BodyText"/>
      </w:pPr>
      <w:r>
        <w:rPr>
          <w:b/>
          <w:bCs/>
        </w:rPr>
        <w:t xml:space="preserve">A.1 Governing language and governing law (Articles 16, 17 and 19)</w:t>
      </w:r>
    </w:p>
    <w:p>
      <w:pPr>
        <w:pStyle w:val="BodyText"/>
      </w:pPr>
      <w:r>
        <w:t xml:space="preserve">We maintain that</w:t>
      </w:r>
      <w:r>
        <w:t xml:space="preserve"> </w:t>
      </w:r>
      <w:r>
        <w:rPr>
          <w:b/>
          <w:bCs/>
        </w:rPr>
        <w:t xml:space="preserve">English</w:t>
      </w:r>
      <w:r>
        <w:t xml:space="preserve"> </w:t>
      </w:r>
      <w:r>
        <w:t xml:space="preserve">should be the official language of the Framework Agreement; Chinese and French remain working versions. This prevents misunderstandings and protects both parties.</w:t>
      </w:r>
    </w:p>
    <w:p>
      <w:pPr>
        <w:pStyle w:val="BodyText"/>
      </w:pPr>
      <w:r>
        <w:t xml:space="preserve">On governing law, we understand and accept that the related-party transactions between VETALYX and DIAHO must comply with the</w:t>
      </w:r>
      <w:r>
        <w:t xml:space="preserve"> </w:t>
      </w:r>
      <w:r>
        <w:rPr>
          <w:b/>
          <w:bCs/>
        </w:rPr>
        <w:t xml:space="preserve">Company Law of the People’s Republic of China</w:t>
      </w:r>
      <w:r>
        <w:t xml:space="preserve"> </w:t>
      </w:r>
      <w:r>
        <w:t xml:space="preserve">— this is a legal requirement for DIAHO, and we fully respect it. We therefore propose:</w:t>
      </w:r>
    </w:p>
    <w:p>
      <w:pPr>
        <w:pStyle w:val="Compact"/>
        <w:numPr>
          <w:ilvl w:val="0"/>
          <w:numId w:val="1001"/>
        </w:numPr>
      </w:pPr>
      <w:r>
        <w:rPr>
          <w:b/>
          <w:bCs/>
        </w:rPr>
        <w:t xml:space="preserve">Belgian law governs the Framework Agreement and its performance</w:t>
      </w:r>
      <w:r>
        <w:t xml:space="preserve"> </w:t>
      </w:r>
      <w:r>
        <w:t xml:space="preserve">(distribution, exclusivity, intellectual property, execution);</w:t>
      </w:r>
    </w:p>
    <w:p>
      <w:pPr>
        <w:pStyle w:val="Compact"/>
        <w:numPr>
          <w:ilvl w:val="0"/>
          <w:numId w:val="1001"/>
        </w:numPr>
      </w:pPr>
      <w:r>
        <w:rPr>
          <w:b/>
          <w:bCs/>
        </w:rPr>
        <w:t xml:space="preserve">PRC Company Law applies to the related-party transactions</w:t>
      </w:r>
      <w:r>
        <w:t xml:space="preserve"> </w:t>
      </w:r>
      <w:r>
        <w:t xml:space="preserve">between VETALYX and DIAHO, to the extent required for DIAHO’s compliance.</w:t>
      </w:r>
    </w:p>
    <w:p>
      <w:pPr>
        <w:pStyle w:val="FirstParagraph"/>
      </w:pPr>
      <w:r>
        <w:t xml:space="preserve">This avoids a situation in which two laws govern the entire agreement at once, without stating which law resolves a conflict concerning liability, termination or interpretation. Articles 16 and 17 and preamble F must be aligned accordingly. The introductory statement on languages must also be made consistent with Article 19.</w:t>
      </w:r>
    </w:p>
    <w:p>
      <w:pPr>
        <w:pStyle w:val="BodyText"/>
      </w:pPr>
      <w:r>
        <w:rPr>
          <w:b/>
          <w:bCs/>
        </w:rPr>
        <w:t xml:space="preserve">A.2 Dispute resolution (Article 18)</w:t>
      </w:r>
    </w:p>
    <w:p>
      <w:pPr>
        <w:pStyle w:val="BodyText"/>
      </w:pPr>
      <w:r>
        <w:t xml:space="preserve">We are unable to accept arbitration administered by CIETAC (Hangzhou), and we would like to be transparent about the reasons, as this point is essential for us.</w:t>
      </w:r>
    </w:p>
    <w:p>
      <w:pPr>
        <w:pStyle w:val="BodyText"/>
      </w:pPr>
      <w:r>
        <w:t xml:space="preserve">VETALYX is a newly incorporated company whose resources are entirely dedicated to launching its operations in Europe. It does not have the financial capacity to bear the cost of conducting an arbitration in a venue geographically distant from its centre of activity. A dispute that would require arbitration in such a distant location would, in practice, be commercially untenable.</w:t>
      </w:r>
    </w:p>
    <w:p>
      <w:pPr>
        <w:pStyle w:val="BodyText"/>
      </w:pPr>
      <w:r>
        <w:t xml:space="preserve">We therefore require a geographically neutral seat. We propose ICC arbitration under the ICC Rules of Arbitration, with its seat in Geneva (Switzerland), conducted in English (and Chinese where necessary). This is a standard, neutral solution that protects both parties equally, and it is a condition for us to proceed. Article 18 must also preserve each party’s right to seek interim, conservatory or urgent measures in any competent court, including outside China, without waiving arbitration. The sixty-day amicable settlement period must not prevent such urgent measures.</w:t>
      </w:r>
    </w:p>
    <w:p>
      <w:pPr>
        <w:pStyle w:val="BodyText"/>
      </w:pPr>
      <w:r>
        <w:rPr>
          <w:b/>
          <w:bCs/>
        </w:rPr>
        <w:t xml:space="preserve">A.3 Contracting party and guarantee (preamble D, Articles 12 and 14, deleted Article 21 and Annex 10)</w:t>
      </w:r>
    </w:p>
    <w:p>
      <w:pPr>
        <w:pStyle w:val="BodyText"/>
      </w:pPr>
      <w:r>
        <w:t xml:space="preserve">We understand and accept that</w:t>
      </w:r>
      <w:r>
        <w:t xml:space="preserve"> </w:t>
      </w:r>
      <w:r>
        <w:rPr>
          <w:b/>
          <w:bCs/>
        </w:rPr>
        <w:t xml:space="preserve">DIAHO alone</w:t>
      </w:r>
      <w:r>
        <w:t xml:space="preserve"> </w:t>
      </w:r>
      <w:r>
        <w:t xml:space="preserve">is the contracting party, and that no third party should complicate the main agreement. We agree with this in principle.</w:t>
      </w:r>
    </w:p>
    <w:p>
      <w:pPr>
        <w:pStyle w:val="BodyText"/>
      </w:pPr>
      <w:r>
        <w:t xml:space="preserve">However, because the Products are manufactured by DIAHO’s partners — in particular Zheda Dixun — and because DIAHO brings together and coordinates those partners, we require, as a condition for us to proceed:</w:t>
      </w:r>
    </w:p>
    <w:p>
      <w:pPr>
        <w:pStyle w:val="Compact"/>
        <w:numPr>
          <w:ilvl w:val="0"/>
          <w:numId w:val="1002"/>
        </w:numPr>
      </w:pPr>
      <w:r>
        <w:t xml:space="preserve">a</w:t>
      </w:r>
      <w:r>
        <w:t xml:space="preserve"> </w:t>
      </w:r>
      <w:r>
        <w:rPr>
          <w:b/>
          <w:bCs/>
        </w:rPr>
        <w:t xml:space="preserve">guarantee by Zheda Dixun</w:t>
      </w:r>
      <w:r>
        <w:t xml:space="preserve"> </w:t>
      </w:r>
      <w:r>
        <w:t xml:space="preserve">of DIAHO’s obligations under the agreement (as an annex, without making Dixun a party to the main agreement); and</w:t>
      </w:r>
    </w:p>
    <w:p>
      <w:pPr>
        <w:pStyle w:val="Compact"/>
        <w:numPr>
          <w:ilvl w:val="0"/>
          <w:numId w:val="1002"/>
        </w:numPr>
      </w:pPr>
      <w:r>
        <w:t xml:space="preserve">a</w:t>
      </w:r>
      <w:r>
        <w:t xml:space="preserve"> </w:t>
      </w:r>
      <w:r>
        <w:rPr>
          <w:b/>
          <w:bCs/>
        </w:rPr>
        <w:t xml:space="preserve">back-to-back agreement between DIAHO and Zheda Dixun</w:t>
      </w:r>
      <w:r>
        <w:t xml:space="preserve">, provided to us before signature, evidencing DIAHO’s ability to perform.</w:t>
      </w:r>
    </w:p>
    <w:p>
      <w:pPr>
        <w:pStyle w:val="FirstParagraph"/>
      </w:pPr>
      <w:r>
        <w:t xml:space="preserve">This gives both parties direct confidence in the supply chain and protects the commercial relationship.</w:t>
      </w:r>
    </w:p>
    <w:p>
      <w:pPr>
        <w:pStyle w:val="BodyText"/>
      </w:pPr>
      <w:r>
        <w:rPr>
          <w:b/>
          <w:bCs/>
        </w:rPr>
        <w:t xml:space="preserve">A.4 Regulatory representation (Articles 1, 2, 8 and 20; Annex 6)</w:t>
      </w:r>
    </w:p>
    <w:p>
      <w:pPr>
        <w:pStyle w:val="BodyText"/>
      </w:pPr>
      <w:r>
        <w:t xml:space="preserve">We can accept deletion of the definition</w:t>
      </w:r>
      <w:r>
        <w:t xml:space="preserve"> </w:t>
      </w:r>
      <w:r>
        <w:t xml:space="preserve">“EU Authorised Representative”</w:t>
      </w:r>
      <w:r>
        <w:t xml:space="preserve">, provided that Annex 6 remains expressly applicable and that the remaining references to the role are made consistent.</w:t>
      </w:r>
    </w:p>
    <w:p>
      <w:pPr>
        <w:pStyle w:val="BodyText"/>
      </w:pPr>
      <w:r>
        <w:t xml:space="preserve">The new prior-consent requirement in Article 8 must expressly exclude mandatory notifications, safety measures, urgent recalls and responses to competent authorities where required by applicable law. VETALYX must be able to comply with its legal obligations without awaiting DIAHO’s approval, while informing DIAHO promptly.</w:t>
      </w:r>
    </w:p>
    <w:p>
      <w:pPr>
        <w:pStyle w:val="BodyText"/>
      </w:pPr>
      <w:r>
        <w:rPr>
          <w:b/>
          <w:bCs/>
        </w:rPr>
        <w:t xml:space="preserve">A.5 Audits (Articles 9 and 13; Annex 3)</w:t>
      </w:r>
    </w:p>
    <w:p>
      <w:pPr>
        <w:pStyle w:val="BodyText"/>
      </w:pPr>
      <w:r>
        <w:t xml:space="preserve">We propose a prior written notice period of fifteen (15) days in both Articles 9 and 13.</w:t>
      </w:r>
    </w:p>
    <w:p>
      <w:pPr>
        <w:pStyle w:val="BodyText"/>
      </w:pPr>
      <w:r>
        <w:rPr>
          <w:b/>
          <w:bCs/>
        </w:rPr>
        <w:t xml:space="preserve">A.6 Confidentiality and non-circumvention (Article 12; Annex 9)</w:t>
      </w:r>
    </w:p>
    <w:p>
      <w:pPr>
        <w:pStyle w:val="BodyText"/>
      </w:pPr>
      <w:r>
        <w:t xml:space="preserve">The reference to Annex 9 has been deleted from Article 12 although the annex remains in the document. We request an express reference confirming that Annex 9 remains applicable, with any references to the deleted Article 21 updated.</w:t>
      </w:r>
    </w:p>
    <w:p>
      <w:pPr>
        <w:pStyle w:val="BodyText"/>
      </w:pPr>
      <w:r>
        <w:rPr>
          <w:b/>
          <w:bCs/>
        </w:rPr>
        <w:t xml:space="preserve">A.7 Industrial localisation (Article 15; Annex 7; deleted Article 21.8)</w:t>
      </w:r>
    </w:p>
    <w:p>
      <w:pPr>
        <w:pStyle w:val="BodyText"/>
      </w:pPr>
      <w:r>
        <w:t xml:space="preserve">The reference to Annex 7 has been deleted from Article 15, but Annex 7 remains and still refers to the deleted Article 21.8. It also retains the board-decision mechanism and the eight-month period, whereas the revised Article 15 requires a prior written agreement on all commercial terms.</w:t>
      </w:r>
    </w:p>
    <w:p>
      <w:pPr>
        <w:pStyle w:val="BodyText"/>
      </w:pPr>
      <w:r>
        <w:rPr>
          <w:b/>
          <w:bCs/>
        </w:rPr>
        <w:t xml:space="preserve">A.8 Commercial terms before signature (Articles 6.4 and 10; Annex 5)</w:t>
      </w:r>
    </w:p>
    <w:p>
      <w:pPr>
        <w:pStyle w:val="BodyText"/>
      </w:pPr>
      <w:r>
        <w:t xml:space="preserve">Annex 5 must be completed and agreed before signature, including product prices, payment terms, the Incoterm and named place, delivery lead times, warranty and replacement conditions, and the handling of expired Products.</w:t>
      </w:r>
    </w:p>
    <w:p>
      <w:pPr>
        <w:pStyle w:val="BodyText"/>
      </w:pPr>
      <w:r>
        <w:rPr>
          <w:b/>
          <w:bCs/>
        </w:rPr>
        <w:t xml:space="preserve">B. Articles of association</w:t>
      </w:r>
    </w:p>
    <w:p>
      <w:pPr>
        <w:pStyle w:val="BodyText"/>
      </w:pPr>
      <w:r>
        <w:rPr>
          <w:b/>
          <w:bCs/>
        </w:rPr>
        <w:t xml:space="preserve">B.1 Voting rights and board</w:t>
      </w:r>
    </w:p>
    <w:p>
      <w:pPr>
        <w:pStyle w:val="BodyText"/>
      </w:pPr>
      <w:r>
        <w:t xml:space="preserve">We confirm: DIAHO, holding</w:t>
      </w:r>
      <w:r>
        <w:t xml:space="preserve"> </w:t>
      </w:r>
      <w:r>
        <w:rPr>
          <w:b/>
          <w:bCs/>
        </w:rPr>
        <w:t xml:space="preserve">40% of the share capital</w:t>
      </w:r>
      <w:r>
        <w:t xml:space="preserve">, holds</w:t>
      </w:r>
      <w:r>
        <w:t xml:space="preserve"> </w:t>
      </w:r>
      <w:r>
        <w:rPr>
          <w:b/>
          <w:bCs/>
        </w:rPr>
        <w:t xml:space="preserve">40% of the voting rights</w:t>
      </w:r>
      <w:r>
        <w:t xml:space="preserve">, and is entitled to designate</w:t>
      </w:r>
      <w:r>
        <w:t xml:space="preserve"> </w:t>
      </w:r>
      <w:r>
        <w:rPr>
          <w:b/>
          <w:bCs/>
        </w:rPr>
        <w:t xml:space="preserve">one (1) director</w:t>
      </w:r>
      <w:r>
        <w:t xml:space="preserve"> </w:t>
      </w:r>
      <w:r>
        <w:t xml:space="preserve">on a board of</w:t>
      </w:r>
      <w:r>
        <w:t xml:space="preserve"> </w:t>
      </w:r>
      <w:r>
        <w:rPr>
          <w:b/>
          <w:bCs/>
        </w:rPr>
        <w:t xml:space="preserve">three (3) directors</w:t>
      </w:r>
      <w:r>
        <w:t xml:space="preserve"> </w:t>
      </w:r>
      <w:r>
        <w:t xml:space="preserve">(the two remaining directors being designated by the European founders), as set out in the Articles of Association and the shareholders’ agreement. This is consistent with your understanding.</w:t>
      </w:r>
    </w:p>
    <w:p>
      <w:pPr>
        <w:pStyle w:val="BodyText"/>
      </w:pPr>
      <w:r>
        <w:rPr>
          <w:b/>
          <w:bCs/>
        </w:rPr>
        <w:t xml:space="preserve">B.2 Business scope</w:t>
      </w:r>
    </w:p>
    <w:p>
      <w:pPr>
        <w:pStyle w:val="BodyText"/>
      </w:pPr>
      <w:r>
        <w:t xml:space="preserve">We are open to extending the business scope as you suggest (pet-housing (habitat) supplies, food products, and trade mark registration in Class 31). Our only condition is that this extension must not create delays in the registration and screening process with the Belgian authorities. We will verify this point with our notary and get back to you promptly.</w:t>
      </w:r>
    </w:p>
    <w:p>
      <w:pPr>
        <w:pStyle w:val="BodyText"/>
      </w:pPr>
      <w:r>
        <w:rPr>
          <w:b/>
          <w:bCs/>
        </w:rPr>
        <w:t xml:space="preserve">C. R&amp;D progress</w:t>
      </w:r>
    </w:p>
    <w:p>
      <w:pPr>
        <w:pStyle w:val="BodyText"/>
      </w:pPr>
      <w:r>
        <w:t xml:space="preserve">Thank you for the detailed R&amp;D progress on the international pet allergy kit. We note the overall completion of approximately 40% and the open point regarding positive samples for the flea and mosquito projects. Our scientific advisor will review the document and return with any questions.</w:t>
      </w:r>
    </w:p>
    <w:p>
      <w:pPr>
        <w:pStyle w:val="BodyText"/>
      </w:pPr>
      <w:r>
        <w:rPr>
          <w:b/>
          <w:bCs/>
        </w:rPr>
        <w:t xml:space="preserve">Next steps</w:t>
      </w:r>
    </w:p>
    <w:p>
      <w:pPr>
        <w:pStyle w:val="BodyText"/>
      </w:pPr>
      <w:r>
        <w:t xml:space="preserve">We believe we are close to finalising the Framework Agreement. Once you have reviewed the above, we propose to schedule a call to align on the remaining open points (the Chinese name of DIAHO and the pricing review mechanism).</w:t>
      </w:r>
    </w:p>
    <w:p>
      <w:pPr>
        <w:pStyle w:val="BodyText"/>
      </w:pPr>
      <w:r>
        <w:t xml:space="preserve">This message is sent for discussion purposes only and without prejudice to either party’s position. Nothing herein constitutes a binding commitment until a signed agreement.</w:t>
      </w:r>
    </w:p>
    <w:p>
      <w:pPr>
        <w:pStyle w:val="BodyText"/>
      </w:pPr>
      <w:r>
        <w:t xml:space="preserve">With best regards,</w:t>
      </w:r>
    </w:p>
    <w:p>
      <w:pPr>
        <w:pStyle w:val="BodyText"/>
      </w:pPr>
      <w:r>
        <w:t xml:space="preserve">Alain Bosseloir, Jean-Claude Havaux, Jacques Noury, Peiwen Qi</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2026-10-29T19:35:01Z</dcterms:created>
  <dcterms:modified xsi:type="dcterms:W3CDTF">2026-10-29T19:35:01Z</dcterms:modified>
</cp:coreProperties>
</file>

<file path=docProps/custom.xml><?xml version="1.0" encoding="utf-8"?>
<Properties xmlns="http://schemas.openxmlformats.org/officeDocument/2006/custom-properties" xmlns:vt="http://schemas.openxmlformats.org/officeDocument/2006/docPropsVTypes"/>
</file>