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a4547eb137e1030d9392a08ce5ee2dcd0ea62ec"/>
    <w:p>
      <w:pPr>
        <w:pStyle w:val="Heading1"/>
      </w:pPr>
      <w:r>
        <w:t xml:space="preserve">STRATEGIC PARTNERSHIP FRAMEWORK AGREEMENT</w:t>
      </w:r>
    </w:p>
    <w:bookmarkStart w:id="9" w:name="X508f850564e3c427af4cb221688ba0930bd89e7"/>
    <w:p>
      <w:pPr>
        <w:pStyle w:val="Heading2"/>
      </w:pPr>
      <w:r>
        <w:t xml:space="preserve">Exclusive Distribution, Regulatory Representation, Industrial Localisation and Strategic Preparation Assignment for European Market Entry</w:t>
      </w:r>
    </w:p>
    <w:p>
      <w:pPr>
        <w:pStyle w:val="BlockText"/>
      </w:pPr>
      <w:r>
        <w:rPr>
          <w:b/>
          <w:bCs/>
        </w:rPr>
        <w:t xml:space="preserve">v4 — official English version.</w:t>
      </w:r>
      <w:r>
        <w:t xml:space="preserve"> </w:t>
      </w:r>
      <w:r>
        <w:t xml:space="preserve">This English text is the binding version of the Agreement pursuant to Article 19. The French v4 (</w:t>
      </w:r>
      <w:r>
        <w:rPr>
          <w:rStyle w:val="VerbatimChar"/>
        </w:rPr>
        <w:t xml:space="preserve">..._v4-consolidee.md</w:t>
      </w:r>
      <w:r>
        <w:t xml:space="preserve">) is the working source; any divergence shall be resolved in favour of this English version.</w:t>
      </w:r>
      <w:r>
        <w:t xml:space="preserve"> </w:t>
      </w:r>
      <w:r>
        <w:rPr>
          <w:b/>
          <w:bCs/>
        </w:rPr>
        <w:t xml:space="preserve">Translated by:</w:t>
      </w:r>
      <w:r>
        <w:t xml:space="preserve"> </w:t>
      </w:r>
      <w:r>
        <w:t xml:space="preserve">Jade 🦩 |</w:t>
      </w:r>
      <w:r>
        <w:t xml:space="preserve"> </w:t>
      </w:r>
      <w:r>
        <w:rPr>
          <w:b/>
          <w:bCs/>
        </w:rPr>
        <w:t xml:space="preserve">Orchestrated by:</w:t>
      </w:r>
      <w:r>
        <w:t xml:space="preserve"> </w:t>
      </w:r>
      <w:r>
        <w:t xml:space="preserve">Dobby 🦉 |</w:t>
      </w:r>
      <w:r>
        <w:t xml:space="preserve"> </w:t>
      </w:r>
      <w:r>
        <w:rPr>
          <w:b/>
          <w:bCs/>
        </w:rPr>
        <w:t xml:space="preserve">Direction:</w:t>
      </w:r>
      <w:r>
        <w:t xml:space="preserve"> </w:t>
      </w:r>
      <w:r>
        <w:t xml:space="preserve">FR → EN</w:t>
      </w:r>
      <w:r>
        <w:t xml:space="preserve"> </w:t>
      </w:r>
      <w:r>
        <w:rPr>
          <w:b/>
          <w:bCs/>
        </w:rPr>
        <w:t xml:space="preserve">Status:</w:t>
      </w:r>
      <w:r>
        <w:t xml:space="preserve"> </w:t>
      </w:r>
      <w:r>
        <w:t xml:space="preserve">official — for final validation by Alain Bosseloir before transmission to DIAHO.</w:t>
      </w:r>
      <w:r>
        <w:t xml:space="preserve"> </w:t>
      </w:r>
      <w:r>
        <w:rPr>
          <w:b/>
          <w:bCs/>
        </w:rPr>
        <w:t xml:space="preserve">Date:</w:t>
      </w:r>
      <w:r>
        <w:t xml:space="preserve"> </w:t>
      </w:r>
      <w:r>
        <w:t xml:space="preserve">2026-10-05</w:t>
      </w:r>
    </w:p>
    <w:p>
      <w:r>
        <w:pict>
          <v:rect style="width:0;height:1.5pt" o:hralign="center" o:hrstd="t" o:hr="t"/>
        </w:pict>
      </w:r>
    </w:p>
    <w:bookmarkEnd w:id="9"/>
    <w:bookmarkStart w:id="10" w:name="between-the-undersigned"/>
    <w:p>
      <w:pPr>
        <w:pStyle w:val="Heading2"/>
      </w:pPr>
      <w:r>
        <w:t xml:space="preserve">BETWEEN THE UNDERSIGNED</w:t>
      </w:r>
    </w:p>
    <w:p>
      <w:pPr>
        <w:pStyle w:val="FirstParagraph"/>
      </w:pPr>
      <w:r>
        <w:rPr>
          <w:b/>
          <w:bCs/>
        </w:rPr>
        <w:t xml:space="preserve">VETALYX</w:t>
      </w:r>
      <w:r>
        <w:t xml:space="preserve">, a private limited liability company (SRL/BV) incorporated under Belgian law, whose registered office will be established at [ADDRESS], registered under number [BCE NUMBER], represented by Jean-Christophe HAVAUX, Founder, duly authorised for the purposes hereof,</w:t>
      </w:r>
    </w:p>
    <w:p>
      <w:pPr>
        <w:pStyle w:val="BodyText"/>
      </w:pPr>
      <w:r>
        <w:t xml:space="preserve">Hereinafter referred to as</w:t>
      </w:r>
      <w:r>
        <w:t xml:space="preserve"> </w:t>
      </w:r>
      <w:r>
        <w:t xml:space="preserve">“</w:t>
      </w:r>
      <w:r>
        <w:rPr>
          <w:b/>
          <w:bCs/>
        </w:rPr>
        <w:t xml:space="preserve">VETALYX</w:t>
      </w:r>
      <w:r>
        <w:t xml:space="preserve">”</w:t>
      </w:r>
      <w:r>
        <w:t xml:space="preserve"> </w:t>
      </w:r>
      <w:r>
        <w:t xml:space="preserve">or the</w:t>
      </w:r>
      <w:r>
        <w:t xml:space="preserve"> </w:t>
      </w:r>
      <w:r>
        <w:t xml:space="preserve">“</w:t>
      </w:r>
      <w:r>
        <w:rPr>
          <w:b/>
          <w:bCs/>
        </w:rPr>
        <w:t xml:space="preserve">Strategic Operator</w:t>
      </w:r>
      <w:r>
        <w:t xml:space="preserve">”</w:t>
      </w:r>
      <w:r>
        <w:t xml:space="preserve">,</w:t>
      </w:r>
    </w:p>
    <w:p>
      <w:pPr>
        <w:pStyle w:val="BodyText"/>
      </w:pPr>
      <w:r>
        <w:rPr>
          <w:b/>
          <w:bCs/>
        </w:rPr>
        <w:t xml:space="preserve">ON THE ONE HAND,</w:t>
      </w:r>
    </w:p>
    <w:p>
      <w:pPr>
        <w:pStyle w:val="BodyText"/>
      </w:pPr>
      <w:r>
        <w:rPr>
          <w:b/>
          <w:bCs/>
        </w:rPr>
        <w:t xml:space="preserve">AND</w:t>
      </w:r>
    </w:p>
    <w:p>
      <w:pPr>
        <w:pStyle w:val="BodyText"/>
      </w:pPr>
      <w:r>
        <w:rPr>
          <w:b/>
          <w:bCs/>
        </w:rPr>
        <w:t xml:space="preserve">DIAHO</w:t>
      </w:r>
      <w:r>
        <w:t xml:space="preserve">, a company incorporated under the laws of the People’s Republic of China [X], whose registered office is at [X], registered under number </w:t>
      </w:r>
      <w:r>
        <w:rPr>
          <w:rFonts w:hint="eastAsia"/>
        </w:rPr>
        <w:t xml:space="preserve">[统一社会信用代码],</w:t>
      </w:r>
      <w:r>
        <w:t xml:space="preserve"> represented by [X], in his/her capacity as [X], duly authorised for the purposes hereof,</w:t>
      </w:r>
    </w:p>
    <w:p>
      <w:pPr>
        <w:pStyle w:val="BodyText"/>
      </w:pPr>
      <w:r>
        <w:t xml:space="preserve">Hereinafter referred to as</w:t>
      </w:r>
      <w:r>
        <w:t xml:space="preserve"> </w:t>
      </w:r>
      <w:r>
        <w:t xml:space="preserve">“</w:t>
      </w:r>
      <w:r>
        <w:rPr>
          <w:b/>
          <w:bCs/>
        </w:rPr>
        <w:t xml:space="preserve">DIAHO</w:t>
      </w:r>
      <w:r>
        <w:t xml:space="preserve">”</w:t>
      </w:r>
      <w:r>
        <w:t xml:space="preserve"> </w:t>
      </w:r>
      <w:r>
        <w:t xml:space="preserve">or the</w:t>
      </w:r>
      <w:r>
        <w:t xml:space="preserve"> </w:t>
      </w:r>
      <w:r>
        <w:t xml:space="preserve">“</w:t>
      </w:r>
      <w:r>
        <w:rPr>
          <w:b/>
          <w:bCs/>
        </w:rPr>
        <w:t xml:space="preserve">Chinese Industrial Partner</w:t>
      </w:r>
      <w:r>
        <w:t xml:space="preserve">”</w:t>
      </w:r>
      <w:r>
        <w:t xml:space="preserve">,</w:t>
      </w:r>
    </w:p>
    <w:p>
      <w:pPr>
        <w:pStyle w:val="BodyText"/>
      </w:pPr>
      <w:r>
        <w:rPr>
          <w:b/>
          <w:bCs/>
        </w:rPr>
        <w:t xml:space="preserve">ON THE OTHER HAND,</w:t>
      </w:r>
    </w:p>
    <w:p>
      <w:pPr>
        <w:pStyle w:val="BodyText"/>
      </w:pPr>
      <w:r>
        <w:t xml:space="preserve">VETALYX and DIAHO being hereinafter referred to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lockText"/>
      </w:pPr>
      <w:r>
        <w:rPr>
          <w:b/>
          <w:bCs/>
        </w:rPr>
        <w:t xml:space="preserve">Signatory — specific undertakings:</w:t>
      </w:r>
      <w:r>
        <w:t xml:space="preserve"> </w:t>
      </w:r>
      <w:r>
        <w:rPr>
          <w:b/>
          <w:bCs/>
        </w:rPr>
        <w:t xml:space="preserve">ZHEDA DIXUN</w:t>
      </w:r>
      <w:r>
        <w:t xml:space="preserve">, a Chinese company, shareholder of DIAHO and</w:t>
      </w:r>
      <w:r>
        <w:t xml:space="preserve"> </w:t>
      </w:r>
      <w:r>
        <w:rPr>
          <w:b/>
          <w:bCs/>
        </w:rPr>
        <w:t xml:space="preserve">actual Manufacturer</w:t>
      </w:r>
      <w:r>
        <w:t xml:space="preserve"> </w:t>
      </w:r>
      <w:r>
        <w:t xml:space="preserve">of the Products, signs this Agreement in order to assume directly, towards VETALYX and DIAHO, the undertakings set out in</w:t>
      </w:r>
      <w:r>
        <w:t xml:space="preserve"> </w:t>
      </w:r>
      <w:r>
        <w:rPr>
          <w:b/>
          <w:bCs/>
        </w:rPr>
        <w:t xml:space="preserve">Article 21</w:t>
      </w:r>
      <w:r>
        <w:t xml:space="preserve">.</w:t>
      </w:r>
    </w:p>
    <w:p>
      <w:r>
        <w:pict>
          <v:rect style="width:0;height:1.5pt" o:hralign="center" o:hrstd="t" o:hr="t"/>
        </w:pict>
      </w:r>
    </w:p>
    <w:bookmarkEnd w:id="10"/>
    <w:bookmarkStart w:id="11" w:name="preamble"/>
    <w:p>
      <w:pPr>
        <w:pStyle w:val="Heading2"/>
      </w:pPr>
      <w:r>
        <w:t xml:space="preserve">PREAMBLE</w:t>
      </w:r>
    </w:p>
    <w:p>
      <w:pPr>
        <w:pStyle w:val="FirstParagraph"/>
      </w:pPr>
      <w:r>
        <w:rPr>
          <w:b/>
          <w:bCs/>
        </w:rPr>
        <w:t xml:space="preserve">A.</w:t>
      </w:r>
      <w:r>
        <w:t xml:space="preserve"> </w:t>
      </w:r>
      <w:r>
        <w:t xml:space="preserve">DIAHO is a Chinese company that federates, coordinates and represents the products of four Chinese industrial partners — Zheda Dixun (principal partner), Hangzhou Darui (DX-Reader), Gangzhu and Zhunxin — in the field of veterinary diagnostics, in particular rapid tests for the detection of allergies in dogs and cats.</w:t>
      </w:r>
    </w:p>
    <w:p>
      <w:pPr>
        <w:pStyle w:val="BodyText"/>
      </w:pPr>
      <w:r>
        <w:rPr>
          <w:b/>
          <w:bCs/>
        </w:rPr>
        <w:t xml:space="preserve">B.</w:t>
      </w:r>
      <w:r>
        <w:t xml:space="preserve"> </w:t>
      </w:r>
      <w:r>
        <w:t xml:space="preserve">VETALYX holds commercial, scientific, regulatory and strategic expertise in the field of diagnostics and wishes to develop on the European market a network for the distribution, regulatory representation, registration, promotion and, where applicable, industrial localisation of the products federated by DIAHO.</w:t>
      </w:r>
    </w:p>
    <w:p>
      <w:pPr>
        <w:pStyle w:val="BodyText"/>
      </w:pPr>
      <w:r>
        <w:rPr>
          <w:b/>
          <w:bCs/>
        </w:rPr>
        <w:t xml:space="preserve">C.</w:t>
      </w:r>
      <w:r>
        <w:t xml:space="preserve"> </w:t>
      </w:r>
      <w:r>
        <w:rPr>
          <w:b/>
          <w:bCs/>
        </w:rPr>
        <w:t xml:space="preserve">Strategic Preparation Assignment.</w:t>
      </w:r>
      <w:r>
        <w:t xml:space="preserve"> </w:t>
      </w:r>
      <w:r>
        <w:t xml:space="preserve">At DIAHO’s request, VETALYX carries out a strategic preparation assignment relating to the establishment in Europe of the technical and commercial activities of Chinese companies in the diagnostics field, focusing primarily on DIAHO and its partners, but also open to other candidate Chinese companies. This Assignment is separate from the distribution relationship and is subject to specific remuneration (Article 6).</w:t>
      </w:r>
    </w:p>
    <w:p>
      <w:pPr>
        <w:pStyle w:val="BodyText"/>
      </w:pPr>
      <w:r>
        <w:rPr>
          <w:b/>
          <w:bCs/>
        </w:rPr>
        <w:t xml:space="preserve">D.</w:t>
      </w:r>
      <w:r>
        <w:t xml:space="preserve"> </w:t>
      </w:r>
      <w:r>
        <w:t xml:space="preserve">DIAHO warrants that it holds the rights, authorisations, licences and mandates necessary from its four Chinese partners to grant VETALYX the territorial exclusivity and the distribution, regulatory representation and industrial localisation rights provided for in this Agreement. DIAHO shall be solely liable towards VETALYX for any breach by a Chinese partner of its obligations, without prejudice to the direct undertakings of Zheda Dixun under Article 21.</w:t>
      </w:r>
    </w:p>
    <w:p>
      <w:pPr>
        <w:pStyle w:val="BodyText"/>
      </w:pPr>
      <w:r>
        <w:rPr>
          <w:b/>
          <w:bCs/>
        </w:rPr>
        <w:t xml:space="preserve">E.</w:t>
      </w:r>
      <w:r>
        <w:t xml:space="preserve"> </w:t>
      </w:r>
      <w:r>
        <w:rPr>
          <w:b/>
          <w:bCs/>
        </w:rPr>
        <w:t xml:space="preserve">DIAHO’s participation in the share capital.</w:t>
      </w:r>
      <w:r>
        <w:t xml:space="preserve"> </w:t>
      </w:r>
      <w:r>
        <w:t xml:space="preserve">The Parties agree that DIAHO shall join the share capital of VETALYX as a</w:t>
      </w:r>
      <w:r>
        <w:t xml:space="preserve"> </w:t>
      </w:r>
      <w:r>
        <w:rPr>
          <w:b/>
          <w:bCs/>
        </w:rPr>
        <w:t xml:space="preserve">founding shareholder holding forty percent (40%) upon incorporation</w:t>
      </w:r>
      <w:r>
        <w:t xml:space="preserve"> </w:t>
      </w:r>
      <w:r>
        <w:t xml:space="preserve">of the company, in return for a</w:t>
      </w:r>
      <w:r>
        <w:t xml:space="preserve"> </w:t>
      </w:r>
      <w:r>
        <w:rPr>
          <w:b/>
          <w:bCs/>
        </w:rPr>
        <w:t xml:space="preserve">cash contribution of one thousand six hundred euros (EUR 1,600)</w:t>
      </w:r>
      <w:r>
        <w:t xml:space="preserve"> </w:t>
      </w:r>
      <w:r>
        <w:t xml:space="preserve">against a subscribed share capital of ten thousand euros (EUR 10,000), of which four thousand euros (EUR 4,000) paid up at incorporation. The governance, anti-dilution, exit and balance payment terms shall be set out in a separate</w:t>
      </w:r>
      <w:r>
        <w:t xml:space="preserve"> </w:t>
      </w:r>
      <w:r>
        <w:rPr>
          <w:b/>
          <w:bCs/>
        </w:rPr>
        <w:t xml:space="preserve">Shareholders’ Agreement</w:t>
      </w:r>
      <w:r>
        <w:t xml:space="preserve">, which shall prevail for all share-capital matters.</w:t>
      </w:r>
    </w:p>
    <w:p>
      <w:pPr>
        <w:pStyle w:val="BodyText"/>
      </w:pPr>
      <w:r>
        <w:rPr>
          <w:b/>
          <w:bCs/>
        </w:rPr>
        <w:t xml:space="preserve">F.</w:t>
      </w:r>
      <w:r>
        <w:t xml:space="preserve"> </w:t>
      </w:r>
      <w:r>
        <w:rPr>
          <w:b/>
          <w:bCs/>
        </w:rPr>
        <w:t xml:space="preserve">Characterisation of the relationships.</w:t>
      </w:r>
      <w:r>
        <w:t xml:space="preserve"> </w:t>
      </w:r>
      <w:r>
        <w:t xml:space="preserve">The Parties expressly acknowledge that DIAHO is at the same time (i) client of the Strategic Preparation Assignment, (ii) supplier of the Products and (iii) founding shareholder of VETALYX. This threefold relationship falls within the Belgian regime of</w:t>
      </w:r>
      <w:r>
        <w:t xml:space="preserve"> </w:t>
      </w:r>
      <w:r>
        <w:rPr>
          <w:b/>
          <w:bCs/>
        </w:rPr>
        <w:t xml:space="preserve">conflicts of interest</w:t>
      </w:r>
      <w:r>
        <w:t xml:space="preserve"> </w:t>
      </w:r>
      <w:r>
        <w:t xml:space="preserve">(Article 5:76 et seq. of the CSA) and requires compliance with the arm’s length principle (Article 16).</w:t>
      </w:r>
    </w:p>
    <w:p>
      <w:pPr>
        <w:pStyle w:val="BodyText"/>
      </w:pPr>
      <w:r>
        <w:t xml:space="preserve">It is hereby agreed as follows.</w:t>
      </w:r>
    </w:p>
    <w:p>
      <w:r>
        <w:pict>
          <v:rect style="width:0;height:1.5pt" o:hralign="center" o:hrstd="t" o:hr="t"/>
        </w:pict>
      </w:r>
    </w:p>
    <w:bookmarkEnd w:id="11"/>
    <w:bookmarkStart w:id="12" w:name="article-1-definitions"/>
    <w:p>
      <w:pPr>
        <w:pStyle w:val="Heading2"/>
      </w:pPr>
      <w:r>
        <w:t xml:space="preserve">Article 1 — Definitions</w:t>
      </w:r>
    </w:p>
    <w:p>
      <w:pPr>
        <w:pStyle w:val="Compact"/>
        <w:numPr>
          <w:ilvl w:val="0"/>
          <w:numId w:val="1001"/>
        </w:numPr>
      </w:pPr>
      <w:r>
        <w:rPr>
          <w:b/>
          <w:bCs/>
        </w:rPr>
        <w:t xml:space="preserve">“Products”</w:t>
      </w:r>
      <w:r>
        <w:t xml:space="preserve"> </w:t>
      </w:r>
      <w:r>
        <w:t xml:space="preserve">: the veterinary diagnostic products federated by DIAHO, in particular rapid tests for the detection of allergies in dogs and cats (Annex 1).</w:t>
      </w:r>
    </w:p>
    <w:p>
      <w:pPr>
        <w:pStyle w:val="Compact"/>
        <w:numPr>
          <w:ilvl w:val="0"/>
          <w:numId w:val="1001"/>
        </w:numPr>
      </w:pPr>
      <w:r>
        <w:rPr>
          <w:b/>
          <w:bCs/>
        </w:rPr>
        <w:t xml:space="preserve">“Initial Products”</w:t>
      </w:r>
      <w:r>
        <w:t xml:space="preserve"> </w:t>
      </w:r>
      <w:r>
        <w:t xml:space="preserve">: the first products described in Annex 1.</w:t>
      </w:r>
    </w:p>
    <w:p>
      <w:pPr>
        <w:pStyle w:val="Compact"/>
        <w:numPr>
          <w:ilvl w:val="0"/>
          <w:numId w:val="1001"/>
        </w:numPr>
      </w:pPr>
      <w:r>
        <w:rPr>
          <w:b/>
          <w:bCs/>
        </w:rPr>
        <w:t xml:space="preserve">“Future Products”</w:t>
      </w:r>
      <w:r>
        <w:t xml:space="preserve"> </w:t>
      </w:r>
      <w:r>
        <w:t xml:space="preserve">: any new or improved veterinary diagnostic product developed by DIAHO, its Affiliates or its Chinese partners after the date of signature of this Agreement, falling within VETALYX’s right of first refusal (Annex 8).</w:t>
      </w:r>
    </w:p>
    <w:p>
      <w:pPr>
        <w:pStyle w:val="Compact"/>
        <w:numPr>
          <w:ilvl w:val="0"/>
          <w:numId w:val="1001"/>
        </w:numPr>
      </w:pPr>
      <w:r>
        <w:rPr>
          <w:b/>
          <w:bCs/>
        </w:rPr>
        <w:t xml:space="preserve">“Territory”</w:t>
      </w:r>
      <w:r>
        <w:t xml:space="preserve"> </w:t>
      </w:r>
      <w:r>
        <w:t xml:space="preserve">: the European continent, including the European Union and the other European countries (Annex 4).</w:t>
      </w:r>
    </w:p>
    <w:p>
      <w:pPr>
        <w:pStyle w:val="Compact"/>
        <w:numPr>
          <w:ilvl w:val="0"/>
          <w:numId w:val="1001"/>
        </w:numPr>
      </w:pPr>
      <w:r>
        <w:rPr>
          <w:b/>
          <w:bCs/>
        </w:rPr>
        <w:t xml:space="preserve">“Regulatory Files”</w:t>
      </w:r>
      <w:r>
        <w:t xml:space="preserve"> </w:t>
      </w:r>
      <w:r>
        <w:t xml:space="preserve">: all files, registrations and authorisations established by VETALYX.</w:t>
      </w:r>
    </w:p>
    <w:p>
      <w:pPr>
        <w:pStyle w:val="Compact"/>
        <w:numPr>
          <w:ilvl w:val="0"/>
          <w:numId w:val="1001"/>
        </w:numPr>
      </w:pPr>
      <w:r>
        <w:rPr>
          <w:b/>
          <w:bCs/>
        </w:rPr>
        <w:t xml:space="preserve">“Know-How”</w:t>
      </w:r>
      <w:r>
        <w:t xml:space="preserve"> </w:t>
      </w:r>
      <w:r>
        <w:t xml:space="preserve">: all technical, industrial and regulatory knowledge relating to the Products.</w:t>
      </w:r>
    </w:p>
    <w:p>
      <w:pPr>
        <w:pStyle w:val="Compact"/>
        <w:numPr>
          <w:ilvl w:val="0"/>
          <w:numId w:val="1001"/>
        </w:numPr>
      </w:pPr>
      <w:r>
        <w:rPr>
          <w:b/>
          <w:bCs/>
        </w:rPr>
        <w:t xml:space="preserve">“Quality Agreement”</w:t>
      </w:r>
      <w:r>
        <w:t xml:space="preserve"> </w:t>
      </w:r>
      <w:r>
        <w:t xml:space="preserve">: the quality agreement entered into between the Parties (Annex 3), detailing quality responsibilities, batch release, traceability and change control.</w:t>
      </w:r>
    </w:p>
    <w:p>
      <w:pPr>
        <w:pStyle w:val="Compact"/>
        <w:numPr>
          <w:ilvl w:val="0"/>
          <w:numId w:val="1001"/>
        </w:numPr>
      </w:pPr>
      <w:r>
        <w:rPr>
          <w:b/>
          <w:bCs/>
        </w:rPr>
        <w:t xml:space="preserve">“Assignment”</w:t>
      </w:r>
      <w:r>
        <w:t xml:space="preserve"> </w:t>
      </w:r>
      <w:r>
        <w:t xml:space="preserve">: the strategic preparation assignment defined in Article 6.</w:t>
      </w:r>
    </w:p>
    <w:p>
      <w:pPr>
        <w:pStyle w:val="Compact"/>
        <w:numPr>
          <w:ilvl w:val="0"/>
          <w:numId w:val="1001"/>
        </w:numPr>
      </w:pPr>
      <w:r>
        <w:rPr>
          <w:b/>
          <w:bCs/>
        </w:rPr>
        <w:t xml:space="preserve">“Affiliate(s)”</w:t>
      </w:r>
      <w:r>
        <w:t xml:space="preserve"> </w:t>
      </w:r>
      <w:r>
        <w:t xml:space="preserve">: any company controlling, controlled by, or under common control with a Party, as well as the manufacturers and industrial partners federated by DIAHO — in particular</w:t>
      </w:r>
      <w:r>
        <w:t xml:space="preserve"> </w:t>
      </w:r>
      <w:r>
        <w:rPr>
          <w:b/>
          <w:bCs/>
        </w:rPr>
        <w:t xml:space="preserve">Zheda Dixun</w:t>
      </w:r>
      <w:r>
        <w:t xml:space="preserve">, shareholder of DIAHO.</w:t>
      </w:r>
    </w:p>
    <w:p>
      <w:pPr>
        <w:pStyle w:val="Compact"/>
        <w:numPr>
          <w:ilvl w:val="0"/>
          <w:numId w:val="1001"/>
        </w:numPr>
      </w:pPr>
      <w:r>
        <w:rPr>
          <w:b/>
          <w:bCs/>
        </w:rPr>
        <w:t xml:space="preserve">“Manufacturer”</w:t>
      </w:r>
      <w:r>
        <w:t xml:space="preserve"> </w:t>
      </w:r>
      <w:r>
        <w:t xml:space="preserve">: the actual manufacturer of the Products, namely</w:t>
      </w:r>
      <w:r>
        <w:t xml:space="preserve"> </w:t>
      </w:r>
      <w:r>
        <w:rPr>
          <w:b/>
          <w:bCs/>
        </w:rPr>
        <w:t xml:space="preserve">Zheda Dixun</w:t>
      </w:r>
      <w:r>
        <w:t xml:space="preserve"> </w:t>
      </w:r>
      <w:r>
        <w:t xml:space="preserve">for the Initial Products (or any manufacturer substituted or added with VETALYX’s written consent), bound by the undertakings of Article 21.</w:t>
      </w:r>
    </w:p>
    <w:p>
      <w:pPr>
        <w:pStyle w:val="Compact"/>
        <w:numPr>
          <w:ilvl w:val="0"/>
          <w:numId w:val="1001"/>
        </w:numPr>
      </w:pPr>
      <w:r>
        <w:rPr>
          <w:b/>
          <w:bCs/>
        </w:rPr>
        <w:t xml:space="preserve">“EU Authorised Representative”</w:t>
      </w:r>
      <w:r>
        <w:t xml:space="preserve"> </w:t>
      </w:r>
      <w:r>
        <w:t xml:space="preserve">: the legal person established in the European Union mandated by the manufacturer to carry out the tasks imposed by the applicable regulations, a mandate assumed by VETALYX (Article 8, Annex 6).</w:t>
      </w:r>
    </w:p>
    <w:p>
      <w:pPr>
        <w:pStyle w:val="Compact"/>
        <w:numPr>
          <w:ilvl w:val="0"/>
          <w:numId w:val="1001"/>
        </w:numPr>
      </w:pPr>
      <w:r>
        <w:rPr>
          <w:b/>
          <w:bCs/>
        </w:rPr>
        <w:t xml:space="preserve">“Customer”</w:t>
      </w:r>
      <w:r>
        <w:t xml:space="preserve"> </w:t>
      </w:r>
      <w:r>
        <w:t xml:space="preserve">: any end user (veterinary clinic, laboratory, distributor) established in the Territory, in a commercial relationship with VETALYX for the Products.</w:t>
      </w:r>
    </w:p>
    <w:p>
      <w:pPr>
        <w:pStyle w:val="Compact"/>
        <w:numPr>
          <w:ilvl w:val="0"/>
          <w:numId w:val="1001"/>
        </w:numPr>
      </w:pPr>
      <w:r>
        <w:rPr>
          <w:b/>
          <w:bCs/>
        </w:rPr>
        <w:t xml:space="preserve">“Agreement”</w:t>
      </w:r>
      <w:r>
        <w:t xml:space="preserve"> </w:t>
      </w:r>
      <w:r>
        <w:t xml:space="preserve">: this framework agreement and all its annexes.</w:t>
      </w:r>
    </w:p>
    <w:p>
      <w:r>
        <w:pict>
          <v:rect style="width:0;height:1.5pt" o:hralign="center" o:hrstd="t" o:hr="t"/>
        </w:pict>
      </w:r>
    </w:p>
    <w:bookmarkEnd w:id="12"/>
    <w:bookmarkStart w:id="13" w:name="article-2-purpose"/>
    <w:p>
      <w:pPr>
        <w:pStyle w:val="Heading2"/>
      </w:pPr>
      <w:r>
        <w:t xml:space="preserve">Article 2 — Purpose</w:t>
      </w:r>
    </w:p>
    <w:p>
      <w:pPr>
        <w:pStyle w:val="FirstParagraph"/>
      </w:pPr>
      <w:r>
        <w:t xml:space="preserve">The purpose of this Agreement is to define:</w:t>
      </w:r>
    </w:p>
    <w:p>
      <w:pPr>
        <w:pStyle w:val="Compact"/>
        <w:numPr>
          <w:ilvl w:val="0"/>
          <w:numId w:val="1002"/>
        </w:numPr>
      </w:pPr>
      <w:r>
        <w:t xml:space="preserve">the</w:t>
      </w:r>
      <w:r>
        <w:t xml:space="preserve"> </w:t>
      </w:r>
      <w:r>
        <w:rPr>
          <w:b/>
          <w:bCs/>
        </w:rPr>
        <w:t xml:space="preserve">Strategic Preparation Assignment</w:t>
      </w:r>
      <w:r>
        <w:t xml:space="preserve"> </w:t>
      </w:r>
      <w:r>
        <w:t xml:space="preserve">entrusted by DIAHO to VETALYX (Article 6);</w:t>
      </w:r>
    </w:p>
    <w:p>
      <w:pPr>
        <w:pStyle w:val="Compact"/>
        <w:numPr>
          <w:ilvl w:val="0"/>
          <w:numId w:val="1002"/>
        </w:numPr>
      </w:pPr>
      <w:r>
        <w:t xml:space="preserve">the</w:t>
      </w:r>
      <w:r>
        <w:t xml:space="preserve"> </w:t>
      </w:r>
      <w:r>
        <w:rPr>
          <w:b/>
          <w:bCs/>
        </w:rPr>
        <w:t xml:space="preserve">territorial exclusivity</w:t>
      </w:r>
      <w:r>
        <w:t xml:space="preserve"> </w:t>
      </w:r>
      <w:r>
        <w:t xml:space="preserve">for the distribution, promotion and registration of the Products (Article 3);</w:t>
      </w:r>
    </w:p>
    <w:p>
      <w:pPr>
        <w:pStyle w:val="Compact"/>
        <w:numPr>
          <w:ilvl w:val="0"/>
          <w:numId w:val="1002"/>
        </w:numPr>
      </w:pPr>
      <w:r>
        <w:t xml:space="preserve">the</w:t>
      </w:r>
      <w:r>
        <w:t xml:space="preserve"> </w:t>
      </w:r>
      <w:r>
        <w:rPr>
          <w:b/>
          <w:bCs/>
        </w:rPr>
        <w:t xml:space="preserve">EU Authorised Representative mandate</w:t>
      </w:r>
      <w:r>
        <w:t xml:space="preserve"> </w:t>
      </w:r>
      <w:r>
        <w:t xml:space="preserve">(Article 8);</w:t>
      </w:r>
    </w:p>
    <w:p>
      <w:pPr>
        <w:pStyle w:val="Compact"/>
        <w:numPr>
          <w:ilvl w:val="0"/>
          <w:numId w:val="1002"/>
        </w:numPr>
      </w:pPr>
      <w:r>
        <w:t xml:space="preserve">the</w:t>
      </w:r>
      <w:r>
        <w:t xml:space="preserve"> </w:t>
      </w:r>
      <w:r>
        <w:rPr>
          <w:b/>
          <w:bCs/>
        </w:rPr>
        <w:t xml:space="preserve">industrial localisation option</w:t>
      </w:r>
      <w:r>
        <w:t xml:space="preserve"> </w:t>
      </w:r>
      <w:r>
        <w:t xml:space="preserve">for the Products in Europe (Article 15);</w:t>
      </w:r>
    </w:p>
    <w:p>
      <w:pPr>
        <w:pStyle w:val="Compact"/>
        <w:numPr>
          <w:ilvl w:val="0"/>
          <w:numId w:val="1002"/>
        </w:numPr>
      </w:pPr>
      <w:r>
        <w:t xml:space="preserve">the</w:t>
      </w:r>
      <w:r>
        <w:t xml:space="preserve"> </w:t>
      </w:r>
      <w:r>
        <w:rPr>
          <w:b/>
          <w:bCs/>
        </w:rPr>
        <w:t xml:space="preserve">right of first refusal</w:t>
      </w:r>
      <w:r>
        <w:t xml:space="preserve"> </w:t>
      </w:r>
      <w:r>
        <w:t xml:space="preserve">on Future Products (Annex 8);</w:t>
      </w:r>
    </w:p>
    <w:p>
      <w:pPr>
        <w:pStyle w:val="Compact"/>
        <w:numPr>
          <w:ilvl w:val="0"/>
          <w:numId w:val="1002"/>
        </w:numPr>
      </w:pPr>
      <w:r>
        <w:t xml:space="preserve">the</w:t>
      </w:r>
      <w:r>
        <w:t xml:space="preserve"> </w:t>
      </w:r>
      <w:r>
        <w:rPr>
          <w:b/>
          <w:bCs/>
        </w:rPr>
        <w:t xml:space="preserve">direct undertakings of Zheda Dixun (Manufacturer)</w:t>
      </w:r>
      <w:r>
        <w:t xml:space="preserve"> </w:t>
      </w:r>
      <w:r>
        <w:t xml:space="preserve">towards VETALYX and DIAHO (Article 21).</w:t>
      </w:r>
    </w:p>
    <w:p>
      <w:pPr>
        <w:pStyle w:val="FirstParagraph"/>
      </w:pPr>
      <w:r>
        <w:t xml:space="preserve">This Agreement constitutes a strategic framework agreement and not a mere purchase-resale agreement.</w:t>
      </w:r>
    </w:p>
    <w:p>
      <w:r>
        <w:pict>
          <v:rect style="width:0;height:1.5pt" o:hralign="center" o:hrstd="t" o:hr="t"/>
        </w:pict>
      </w:r>
    </w:p>
    <w:bookmarkEnd w:id="13"/>
    <w:bookmarkStart w:id="14" w:name="article-3-territorial-exclusivity"/>
    <w:p>
      <w:pPr>
        <w:pStyle w:val="Heading2"/>
      </w:pPr>
      <w:r>
        <w:t xml:space="preserve">Article 3 — Territorial exclusivity</w:t>
      </w:r>
    </w:p>
    <w:p>
      <w:pPr>
        <w:pStyle w:val="FirstParagraph"/>
      </w:pPr>
      <w:r>
        <w:t xml:space="preserve">DIAHO grants VETALYX, for the entire term of the Agreement, total exclusivity over the Territory for the distribution, promotion, registration, regulatory representation and commercial development of the Products.</w:t>
      </w:r>
    </w:p>
    <w:p>
      <w:pPr>
        <w:pStyle w:val="BodyText"/>
      </w:pPr>
      <w:r>
        <w:t xml:space="preserve">DIAHO undertakes not to sell or offer the Products in the Territory, directly or indirectly, otherwise than through VETALYX. Any request originating from the Territory shall be forwarded to VETALYX without delay.</w:t>
      </w:r>
    </w:p>
    <w:p>
      <w:pPr>
        <w:pStyle w:val="BodyText"/>
      </w:pPr>
      <w:r>
        <w:rPr>
          <w:b/>
          <w:bCs/>
        </w:rPr>
        <w:t xml:space="preserve">Scope of exclusivity.</w:t>
      </w:r>
      <w:r>
        <w:t xml:space="preserve"> </w:t>
      </w:r>
      <w:r>
        <w:t xml:space="preserve">The exclusivity covers the Products federated by DIAHO and its Affiliates. It does not in any way restrict VETALYX’s ability to conclude, by decision of its Board of Directors, commercial or strategic partnerships with</w:t>
      </w:r>
      <w:r>
        <w:t xml:space="preserve"> </w:t>
      </w:r>
      <w:r>
        <w:rPr>
          <w:b/>
          <w:bCs/>
        </w:rPr>
        <w:t xml:space="preserve">non-Chinese companies</w:t>
      </w:r>
      <w:r>
        <w:t xml:space="preserve"> </w:t>
      </w:r>
      <w:r>
        <w:t xml:space="preserve">or concerning non-competing products, without prior information to or consent of DIAHO.</w:t>
      </w:r>
    </w:p>
    <w:p>
      <w:r>
        <w:pict>
          <v:rect style="width:0;height:1.5pt" o:hralign="center" o:hrstd="t" o:hr="t"/>
        </w:pict>
      </w:r>
    </w:p>
    <w:bookmarkEnd w:id="14"/>
    <w:bookmarkStart w:id="15" w:name="article-4-no-minimum-sales-target"/>
    <w:p>
      <w:pPr>
        <w:pStyle w:val="Heading2"/>
      </w:pPr>
      <w:r>
        <w:t xml:space="preserve">Article 4 — No minimum sales target</w:t>
      </w:r>
    </w:p>
    <w:p>
      <w:pPr>
        <w:pStyle w:val="FirstParagraph"/>
      </w:pPr>
      <w:r>
        <w:t xml:space="preserve">The Parties expressly agree that the exclusivity granted to VETALYX is not subject to the achievement of any minimum sales volume, minimum turnover, minimum number of customers, minimum number of countries opened, or any binding commercial target. VETALYX undertakes to use reasonable efforts to develop the market for the Products in the Territory. No shortfall in sales volume may, on its own, justify termination of, a reduction of the Territory, or any challenge to the exclusivity, except in the case of a serious and demonstrated breach by VETALYX of its essential obligations.</w:t>
      </w:r>
    </w:p>
    <w:p>
      <w:r>
        <w:pict>
          <v:rect style="width:0;height:1.5pt" o:hralign="center" o:hrstd="t" o:hr="t"/>
        </w:pict>
      </w:r>
    </w:p>
    <w:bookmarkEnd w:id="15"/>
    <w:bookmarkStart w:id="16" w:name="article-5-term"/>
    <w:p>
      <w:pPr>
        <w:pStyle w:val="Heading2"/>
      </w:pPr>
      <w:r>
        <w:t xml:space="preserve">Article 5 — Term</w:t>
      </w:r>
    </w:p>
    <w:p>
      <w:pPr>
        <w:pStyle w:val="FirstParagraph"/>
      </w:pPr>
      <w:r>
        <w:t xml:space="preserve">The Agreement is entered into for an initial term of five (5) years, renewable for successive periods of three (3) years. Any Party wishing not to renew shall give written notice at least twelve (12) months before expiry.</w:t>
      </w:r>
    </w:p>
    <w:p>
      <w:pPr>
        <w:pStyle w:val="BodyText"/>
      </w:pPr>
      <w:r>
        <w:t xml:space="preserve">Upon expiry or termination of the Agreement, for whatever reason, VETALYX may continue to sell the stocks of Products regularly acquired before the date of cessation for a period of twelve (12) months, except where prohibited by regulation or in the case of a proven product defect.</w:t>
      </w:r>
    </w:p>
    <w:p>
      <w:pPr>
        <w:pStyle w:val="BodyText"/>
      </w:pPr>
      <w:r>
        <w:rPr>
          <w:b/>
          <w:bCs/>
        </w:rPr>
        <w:t xml:space="preserve">Early termination.</w:t>
      </w:r>
      <w:r>
        <w:t xml:space="preserve"> </w:t>
      </w:r>
      <w:r>
        <w:t xml:space="preserve">Each Party may terminate the Agreement as of right in the event of a serious breach by the other Party of its essential obligations, after a formal notice that has remained without effect for a period of thirty (30) days.</w:t>
      </w:r>
    </w:p>
    <w:p>
      <w:pPr>
        <w:pStyle w:val="BodyText"/>
      </w:pPr>
      <w:r>
        <w:t xml:space="preserve">The following constitute in particular serious breaches by DIAHO:</w:t>
      </w:r>
    </w:p>
    <w:p>
      <w:pPr>
        <w:pStyle w:val="Compact"/>
        <w:numPr>
          <w:ilvl w:val="0"/>
          <w:numId w:val="1003"/>
        </w:numPr>
      </w:pPr>
      <w:r>
        <w:t xml:space="preserve">breach of exclusivity;</w:t>
      </w:r>
    </w:p>
    <w:p>
      <w:pPr>
        <w:pStyle w:val="Compact"/>
        <w:numPr>
          <w:ilvl w:val="0"/>
          <w:numId w:val="1003"/>
        </w:numPr>
      </w:pPr>
      <w:r>
        <w:t xml:space="preserve">circumvention of VETALYX;</w:t>
      </w:r>
    </w:p>
    <w:p>
      <w:pPr>
        <w:pStyle w:val="Compact"/>
        <w:numPr>
          <w:ilvl w:val="0"/>
          <w:numId w:val="1003"/>
        </w:numPr>
      </w:pPr>
      <w:r>
        <w:t xml:space="preserve">direct or indirect sale in the Territory;</w:t>
      </w:r>
    </w:p>
    <w:p>
      <w:pPr>
        <w:pStyle w:val="Compact"/>
        <w:numPr>
          <w:ilvl w:val="0"/>
          <w:numId w:val="1003"/>
        </w:numPr>
      </w:pPr>
      <w:r>
        <w:t xml:space="preserve">refusal to provide the necessary regulatory documents;</w:t>
      </w:r>
    </w:p>
    <w:p>
      <w:pPr>
        <w:pStyle w:val="Compact"/>
        <w:numPr>
          <w:ilvl w:val="0"/>
          <w:numId w:val="1003"/>
        </w:numPr>
      </w:pPr>
      <w:r>
        <w:t xml:space="preserve">provision of false or seriously incomplete technical or regulatory information;</w:t>
      </w:r>
    </w:p>
    <w:p>
      <w:pPr>
        <w:pStyle w:val="Compact"/>
        <w:numPr>
          <w:ilvl w:val="0"/>
          <w:numId w:val="1003"/>
        </w:numPr>
      </w:pPr>
      <w:r>
        <w:t xml:space="preserve">a significant and uncorrected deterioration in the quality of the Products;</w:t>
      </w:r>
    </w:p>
    <w:p>
      <w:pPr>
        <w:pStyle w:val="Compact"/>
        <w:numPr>
          <w:ilvl w:val="0"/>
          <w:numId w:val="1003"/>
        </w:numPr>
      </w:pPr>
      <w:r>
        <w:t xml:space="preserve">breach of the confidentiality obligations;</w:t>
      </w:r>
    </w:p>
    <w:p>
      <w:pPr>
        <w:pStyle w:val="Compact"/>
        <w:numPr>
          <w:ilvl w:val="0"/>
          <w:numId w:val="1003"/>
        </w:numPr>
      </w:pPr>
      <w:r>
        <w:t xml:space="preserve">breach of the right of first refusal.</w:t>
      </w:r>
    </w:p>
    <w:p>
      <w:pPr>
        <w:pStyle w:val="FirstParagraph"/>
      </w:pPr>
      <w:r>
        <w:t xml:space="preserve">The following constitute in particular serious breaches by VETALYX:</w:t>
      </w:r>
    </w:p>
    <w:p>
      <w:pPr>
        <w:pStyle w:val="Compact"/>
        <w:numPr>
          <w:ilvl w:val="0"/>
          <w:numId w:val="1004"/>
        </w:numPr>
      </w:pPr>
      <w:r>
        <w:t xml:space="preserve">persistent non-payment of sums due;</w:t>
      </w:r>
    </w:p>
    <w:p>
      <w:pPr>
        <w:pStyle w:val="Compact"/>
        <w:numPr>
          <w:ilvl w:val="0"/>
          <w:numId w:val="1004"/>
        </w:numPr>
      </w:pPr>
      <w:r>
        <w:t xml:space="preserve">serious breach of the confidentiality obligations;</w:t>
      </w:r>
    </w:p>
    <w:p>
      <w:pPr>
        <w:pStyle w:val="Compact"/>
        <w:numPr>
          <w:ilvl w:val="0"/>
          <w:numId w:val="1004"/>
        </w:numPr>
      </w:pPr>
      <w:r>
        <w:t xml:space="preserve">unauthorised use of DIAHO’s Know-How outside the Agreement;</w:t>
      </w:r>
    </w:p>
    <w:p>
      <w:pPr>
        <w:pStyle w:val="Compact"/>
        <w:numPr>
          <w:ilvl w:val="0"/>
          <w:numId w:val="1004"/>
        </w:numPr>
      </w:pPr>
      <w:r>
        <w:t xml:space="preserve">a serious regulatory fault directly attributable to VETALYX.</w:t>
      </w:r>
    </w:p>
    <w:p>
      <w:r>
        <w:pict>
          <v:rect style="width:0;height:1.5pt" o:hralign="center" o:hrstd="t" o:hr="t"/>
        </w:pict>
      </w:r>
    </w:p>
    <w:bookmarkEnd w:id="16"/>
    <w:bookmarkStart w:id="17" w:name="X518574029be0aa977d02ab04d6278bed1aedba0"/>
    <w:p>
      <w:pPr>
        <w:pStyle w:val="Heading2"/>
      </w:pPr>
      <w:r>
        <w:t xml:space="preserve">Article 6 — Strategic Preparation Assignment</w:t>
      </w:r>
    </w:p>
    <w:p>
      <w:pPr>
        <w:pStyle w:val="FirstParagraph"/>
      </w:pPr>
      <w:r>
        <w:rPr>
          <w:b/>
          <w:bCs/>
        </w:rPr>
        <w:t xml:space="preserve">6.1. Scope of the Assignment.</w:t>
      </w:r>
      <w:r>
        <w:t xml:space="preserve"> </w:t>
      </w:r>
      <w:r>
        <w:t xml:space="preserve">VETALYX carries out a strategic preparation assignment relating to the establishment in Europe of the technical and commercial activities of Chinese companies in the diagnostics field, focusing primarily on DIAHO and its industrial partners, and open to other candidate Chinese companies.</w:t>
      </w:r>
    </w:p>
    <w:p>
      <w:pPr>
        <w:pStyle w:val="BodyText"/>
      </w:pPr>
      <w:r>
        <w:rPr>
          <w:b/>
          <w:bCs/>
        </w:rPr>
        <w:t xml:space="preserve">6.2. Scope of services.</w:t>
      </w:r>
      <w:r>
        <w:t xml:space="preserve"> </w:t>
      </w:r>
      <w:r>
        <w:t xml:space="preserve">The Assignment includes in particular: analysis of the European veterinary diagnostics market; identification of regulatory requirements (AFMPS/FAMHP and the European regulatory framework applicable to veterinary diagnostic devices); market-entry and commercial structuring strategy; identification of partners, channels and experts; preparation of registration files; establishment of a</w:t>
      </w:r>
      <w:r>
        <w:t xml:space="preserve"> </w:t>
      </w:r>
      <w:r>
        <w:rPr>
          <w:b/>
          <w:bCs/>
        </w:rPr>
        <w:t xml:space="preserve">serum bank</w:t>
      </w:r>
      <w:r>
        <w:t xml:space="preserve"> </w:t>
      </w:r>
      <w:r>
        <w:t xml:space="preserve">and coordination of the</w:t>
      </w:r>
      <w:r>
        <w:t xml:space="preserve"> </w:t>
      </w:r>
      <w:r>
        <w:rPr>
          <w:b/>
          <w:bCs/>
        </w:rPr>
        <w:t xml:space="preserve">clinical validation studies</w:t>
      </w:r>
      <w:r>
        <w:t xml:space="preserve"> </w:t>
      </w:r>
      <w:r>
        <w:t xml:space="preserve">of the Products.</w:t>
      </w:r>
    </w:p>
    <w:p>
      <w:pPr>
        <w:pStyle w:val="BodyText"/>
      </w:pPr>
      <w:r>
        <w:rPr>
          <w:b/>
          <w:bCs/>
        </w:rPr>
        <w:t xml:space="preserve">6.3. Remuneration.</w:t>
      </w:r>
      <w:r>
        <w:t xml:space="preserve"> </w:t>
      </w:r>
      <w:r>
        <w:t xml:space="preserve">In consideration of the Assignment, DIAHO shall pay VETALYX:</w:t>
      </w:r>
    </w:p>
    <w:p>
      <w:pPr>
        <w:pStyle w:val="Compact"/>
        <w:numPr>
          <w:ilvl w:val="0"/>
          <w:numId w:val="1005"/>
        </w:numPr>
      </w:pPr>
      <w:r>
        <w:t xml:space="preserve">a fixed amount of</w:t>
      </w:r>
      <w:r>
        <w:t xml:space="preserve"> </w:t>
      </w:r>
      <w:r>
        <w:rPr>
          <w:b/>
          <w:bCs/>
        </w:rPr>
        <w:t xml:space="preserve">one hundred thousand euros excluding taxes (EUR 100,000)</w:t>
      </w:r>
      <w:r>
        <w:t xml:space="preserve"> </w:t>
      </w:r>
      <w:r>
        <w:t xml:space="preserve">in respect of the strategic preparation assignment;</w:t>
      </w:r>
    </w:p>
    <w:p>
      <w:pPr>
        <w:pStyle w:val="Compact"/>
        <w:numPr>
          <w:ilvl w:val="0"/>
          <w:numId w:val="1005"/>
        </w:numPr>
      </w:pPr>
      <w:r>
        <w:t xml:space="preserve">an additional amount of</w:t>
      </w:r>
      <w:r>
        <w:t xml:space="preserve"> </w:t>
      </w:r>
      <w:r>
        <w:rPr>
          <w:b/>
          <w:bCs/>
        </w:rPr>
        <w:t xml:space="preserve">twenty thousand euros excluding taxes (EUR 20,000)</w:t>
      </w:r>
      <w:r>
        <w:t xml:space="preserve"> </w:t>
      </w:r>
      <w:r>
        <w:t xml:space="preserve">in respect of the clinical validation studies and the establishment of the serum bank.</w:t>
      </w:r>
    </w:p>
    <w:p>
      <w:pPr>
        <w:pStyle w:val="FirstParagraph"/>
      </w:pPr>
      <w:r>
        <w:t xml:space="preserve">Being a total of</w:t>
      </w:r>
      <w:r>
        <w:t xml:space="preserve"> </w:t>
      </w:r>
      <w:r>
        <w:rPr>
          <w:b/>
          <w:bCs/>
        </w:rPr>
        <w:t xml:space="preserve">one hundred and twenty thousand euros excluding taxes (EUR 120,000)</w:t>
      </w:r>
      <w:r>
        <w:t xml:space="preserve">.</w:t>
      </w:r>
    </w:p>
    <w:p>
      <w:pPr>
        <w:pStyle w:val="BodyText"/>
      </w:pPr>
      <w:r>
        <w:rPr>
          <w:b/>
          <w:bCs/>
        </w:rPr>
        <w:t xml:space="preserve">6.4. Payment terms.</w:t>
      </w:r>
      <w:r>
        <w:t xml:space="preserve"> </w:t>
      </w:r>
      <w:r>
        <w:t xml:space="preserve">The invoicing and payment schedule (advance, milestones, deadlines, currency, taxes) shall be set out in a separate written agreement or in Annex 5. In the absence of any agreement to the contrary, the amounts are invoiced in euros and payable within thirty (30) days.</w:t>
      </w:r>
    </w:p>
    <w:p>
      <w:pPr>
        <w:pStyle w:val="BodyText"/>
      </w:pPr>
      <w:r>
        <w:rPr>
          <w:b/>
          <w:bCs/>
        </w:rPr>
        <w:t xml:space="preserve">6.5. Ownership of deliverables.</w:t>
      </w:r>
      <w:r>
        <w:t xml:space="preserve"> </w:t>
      </w:r>
      <w:r>
        <w:t xml:space="preserve">The deliverables of the Assignment (studies, strategies, serum bank, preparatory files) are the exclusive property of VETALYX, subject to the pre-existing intellectual property of DIAHO and its partners.</w:t>
      </w:r>
    </w:p>
    <w:p>
      <w:pPr>
        <w:pStyle w:val="BodyText"/>
      </w:pPr>
      <w:r>
        <w:rPr>
          <w:b/>
          <w:bCs/>
        </w:rPr>
        <w:t xml:space="preserve">6.6. Independence.</w:t>
      </w:r>
      <w:r>
        <w:t xml:space="preserve"> </w:t>
      </w:r>
      <w:r>
        <w:t xml:space="preserve">The Assignment is an independent service, separate from the distribution relationship and from DIAHO’s participation in the share capital.</w:t>
      </w:r>
    </w:p>
    <w:p>
      <w:r>
        <w:pict>
          <v:rect style="width:0;height:1.5pt" o:hralign="center" o:hrstd="t" o:hr="t"/>
        </w:pict>
      </w:r>
    </w:p>
    <w:bookmarkEnd w:id="17"/>
    <w:bookmarkStart w:id="18" w:name="article-7-conditions-precedent"/>
    <w:p>
      <w:pPr>
        <w:pStyle w:val="Heading2"/>
      </w:pPr>
      <w:r>
        <w:t xml:space="preserve">Article 7 — Conditions precedent</w:t>
      </w:r>
    </w:p>
    <w:p>
      <w:pPr>
        <w:pStyle w:val="FirstParagraph"/>
      </w:pPr>
      <w:r>
        <w:t xml:space="preserve">The entry into force of the Agreement is subject to:</w:t>
      </w:r>
    </w:p>
    <w:p>
      <w:pPr>
        <w:pStyle w:val="Compact"/>
        <w:numPr>
          <w:ilvl w:val="0"/>
          <w:numId w:val="1006"/>
        </w:numPr>
      </w:pPr>
      <w:r>
        <w:t xml:space="preserve">Delivery by DIAHO of the complete Chinese registration files for the Initial Products.</w:t>
      </w:r>
    </w:p>
    <w:p>
      <w:pPr>
        <w:pStyle w:val="Compact"/>
        <w:numPr>
          <w:ilvl w:val="0"/>
          <w:numId w:val="1006"/>
        </w:numPr>
      </w:pPr>
      <w:r>
        <w:t xml:space="preserve">Registration of VETALYX with the Belgian Crossroads Bank for Enterprises (BCE).</w:t>
      </w:r>
    </w:p>
    <w:p>
      <w:pPr>
        <w:pStyle w:val="Compact"/>
        <w:numPr>
          <w:ilvl w:val="0"/>
          <w:numId w:val="1006"/>
        </w:numPr>
      </w:pPr>
      <w:r>
        <w:t xml:space="preserve">Incorporation of VETALYX with DIAHO as founding shareholder at 40% (cash contribution of EUR 1,600), and signature of the Shareholders’ Agreement.</w:t>
      </w:r>
    </w:p>
    <w:p>
      <w:r>
        <w:pict>
          <v:rect style="width:0;height:1.5pt" o:hralign="center" o:hrstd="t" o:hr="t"/>
        </w:pict>
      </w:r>
    </w:p>
    <w:bookmarkEnd w:id="18"/>
    <w:bookmarkStart w:id="19" w:name="X6d11d7d5c6a9e46f1d0691dc6439ed46480b93f"/>
    <w:p>
      <w:pPr>
        <w:pStyle w:val="Heading2"/>
      </w:pPr>
      <w:r>
        <w:t xml:space="preserve">Article 8 — Regulatory representation and registration</w:t>
      </w:r>
    </w:p>
    <w:p>
      <w:pPr>
        <w:pStyle w:val="FirstParagraph"/>
      </w:pPr>
      <w:r>
        <w:t xml:space="preserve">VETALYX is responsible for the preparation, filing and follow-up of the regulatory registrations of the Products in the Territory. DIAHO shall provide all necessary documents, data and certificates — in particular the technical dossier (technical specifications and scientific and performance data, Annex 2) — at no additional cost unless otherwise agreed. DIAHO warrants the accuracy, truthfulness and completeness of the information provided.</w:t>
      </w:r>
    </w:p>
    <w:p>
      <w:pPr>
        <w:pStyle w:val="BodyText"/>
      </w:pPr>
      <w:r>
        <w:t xml:space="preserve">DIAHO mandates VETALYX to act as the</w:t>
      </w:r>
      <w:r>
        <w:t xml:space="preserve"> </w:t>
      </w:r>
      <w:r>
        <w:rPr>
          <w:b/>
          <w:bCs/>
        </w:rPr>
        <w:t xml:space="preserve">EU Authorised Representative</w:t>
      </w:r>
      <w:r>
        <w:t xml:space="preserve"> </w:t>
      </w:r>
      <w:r>
        <w:t xml:space="preserve">of the Products covered by the Agreement. The Regulatory Files established by VETALYX are its exclusive property.</w:t>
      </w:r>
    </w:p>
    <w:p>
      <w:pPr>
        <w:pStyle w:val="BodyText"/>
      </w:pPr>
      <w:r>
        <w:t xml:space="preserve">Any change affecting the Products, their composition, manufacture, performance or regulatory status shall be notified to VETALYX without delay and managed in accordance with the Quality Agreement (change control).</w:t>
      </w:r>
    </w:p>
    <w:p>
      <w:r>
        <w:pict>
          <v:rect style="width:0;height:1.5pt" o:hralign="center" o:hrstd="t" o:hr="t"/>
        </w:pict>
      </w:r>
    </w:p>
    <w:bookmarkEnd w:id="19"/>
    <w:bookmarkStart w:id="20" w:name="article-9-quality-and-quality-agreement"/>
    <w:p>
      <w:pPr>
        <w:pStyle w:val="Heading2"/>
      </w:pPr>
      <w:r>
        <w:t xml:space="preserve">Article 9 — Quality and Quality Agreement</w:t>
      </w:r>
    </w:p>
    <w:p>
      <w:pPr>
        <w:pStyle w:val="FirstParagraph"/>
      </w:pPr>
      <w:r>
        <w:t xml:space="preserve">The Products are manufactured in accordance with the applicable specifications and the</w:t>
      </w:r>
      <w:r>
        <w:t xml:space="preserve"> </w:t>
      </w:r>
      <w:r>
        <w:rPr>
          <w:b/>
          <w:bCs/>
        </w:rPr>
        <w:t xml:space="preserve">Quality Agreement</w:t>
      </w:r>
      <w:r>
        <w:t xml:space="preserve"> </w:t>
      </w:r>
      <w:r>
        <w:t xml:space="preserve">(Annex 3).</w:t>
      </w:r>
    </w:p>
    <w:p>
      <w:pPr>
        <w:pStyle w:val="BodyText"/>
      </w:pPr>
      <w:r>
        <w:t xml:space="preserve">The Quality Agreement defines in particular: the product specifications and acceptance criteria; incoming quality control and batch release; traceability; non-conformance management; complaints and recalls;</w:t>
      </w:r>
      <w:r>
        <w:t xml:space="preserve"> </w:t>
      </w:r>
      <w:r>
        <w:rPr>
          <w:b/>
          <w:bCs/>
        </w:rPr>
        <w:t xml:space="preserve">change control</w:t>
      </w:r>
      <w:r>
        <w:t xml:space="preserve">.</w:t>
      </w:r>
    </w:p>
    <w:p>
      <w:pPr>
        <w:pStyle w:val="BodyText"/>
      </w:pPr>
      <w:r>
        <w:t xml:space="preserve">VETALYX funds the audits and certifications for the Territory. The mandatory inspections in China are borne by DIAHO or the relevant partner.</w:t>
      </w:r>
    </w:p>
    <w:p>
      <w:r>
        <w:pict>
          <v:rect style="width:0;height:1.5pt" o:hralign="center" o:hrstd="t" o:hr="t"/>
        </w:pict>
      </w:r>
    </w:p>
    <w:bookmarkEnd w:id="20"/>
    <w:bookmarkStart w:id="21" w:name="article-10-pricing-and-logistics"/>
    <w:p>
      <w:pPr>
        <w:pStyle w:val="Heading2"/>
      </w:pPr>
      <w:r>
        <w:t xml:space="preserve">Article 10 — Pricing and logistics</w:t>
      </w:r>
    </w:p>
    <w:p>
      <w:pPr>
        <w:pStyle w:val="FirstParagraph"/>
      </w:pPr>
      <w:r>
        <w:t xml:space="preserve">The transfer prices are set out in Annex 5, in accordance with the arm’s length principle (Article 16).</w:t>
      </w:r>
    </w:p>
    <w:p>
      <w:pPr>
        <w:pStyle w:val="BodyText"/>
      </w:pPr>
      <w:r>
        <w:rPr>
          <w:b/>
          <w:bCs/>
        </w:rPr>
        <w:t xml:space="preserve">Price stability.</w:t>
      </w:r>
      <w:r>
        <w:t xml:space="preserve"> </w:t>
      </w:r>
      <w:r>
        <w:t xml:space="preserve">The Parties undertake to guarantee the stability of the transfer prices over time. To this end, they agree on a</w:t>
      </w:r>
      <w:r>
        <w:t xml:space="preserve"> </w:t>
      </w:r>
      <w:r>
        <w:rPr>
          <w:b/>
          <w:bCs/>
        </w:rPr>
        <w:t xml:space="preserve">pricing mechanism</w:t>
      </w:r>
      <w:r>
        <w:t xml:space="preserve"> </w:t>
      </w:r>
      <w:r>
        <w:t xml:space="preserve">comprising:</w:t>
      </w:r>
    </w:p>
    <w:p>
      <w:pPr>
        <w:pStyle w:val="Compact"/>
        <w:numPr>
          <w:ilvl w:val="0"/>
          <w:numId w:val="1007"/>
        </w:numPr>
      </w:pPr>
      <w:r>
        <w:t xml:space="preserve">a fixed</w:t>
      </w:r>
      <w:r>
        <w:t xml:space="preserve"> </w:t>
      </w:r>
      <w:r>
        <w:rPr>
          <w:b/>
          <w:bCs/>
        </w:rPr>
        <w:t xml:space="preserve">review period</w:t>
      </w:r>
      <w:r>
        <w:t xml:space="preserve"> </w:t>
      </w:r>
      <w:r>
        <w:t xml:space="preserve">(by default: twelve (12) months);</w:t>
      </w:r>
    </w:p>
    <w:p>
      <w:pPr>
        <w:pStyle w:val="Compact"/>
        <w:numPr>
          <w:ilvl w:val="0"/>
          <w:numId w:val="1007"/>
        </w:numPr>
      </w:pPr>
      <w:r>
        <w:t xml:space="preserve">an</w:t>
      </w:r>
      <w:r>
        <w:t xml:space="preserve"> </w:t>
      </w:r>
      <w:r>
        <w:rPr>
          <w:b/>
          <w:bCs/>
        </w:rPr>
        <w:t xml:space="preserve">indexation</w:t>
      </w:r>
      <w:r>
        <w:t xml:space="preserve">, where applicable, based on an objective and published index, agreed in Annex 5;</w:t>
      </w:r>
    </w:p>
    <w:p>
      <w:pPr>
        <w:pStyle w:val="Compact"/>
        <w:numPr>
          <w:ilvl w:val="0"/>
          <w:numId w:val="1007"/>
        </w:numPr>
      </w:pPr>
      <w:r>
        <w:t xml:space="preserve">the</w:t>
      </w:r>
      <w:r>
        <w:t xml:space="preserve"> </w:t>
      </w:r>
      <w:r>
        <w:rPr>
          <w:b/>
          <w:bCs/>
        </w:rPr>
        <w:t xml:space="preserve">impossibility for DIAHO to increase prices unilaterally without prior discussion</w:t>
      </w:r>
      <w:r>
        <w:t xml:space="preserve">: any change requires</w:t>
      </w:r>
      <w:r>
        <w:t xml:space="preserve"> </w:t>
      </w:r>
      <w:r>
        <w:rPr>
          <w:b/>
          <w:bCs/>
        </w:rPr>
        <w:t xml:space="preserve">six (6) months’ prior written notice</w:t>
      </w:r>
      <w:r>
        <w:t xml:space="preserve">, an</w:t>
      </w:r>
      <w:r>
        <w:t xml:space="preserve"> </w:t>
      </w:r>
      <w:r>
        <w:rPr>
          <w:b/>
          <w:bCs/>
        </w:rPr>
        <w:t xml:space="preserve">objective justification</w:t>
      </w:r>
      <w:r>
        <w:t xml:space="preserve"> </w:t>
      </w:r>
      <w:r>
        <w:t xml:space="preserve">and the</w:t>
      </w:r>
      <w:r>
        <w:t xml:space="preserve"> </w:t>
      </w:r>
      <w:r>
        <w:rPr>
          <w:b/>
          <w:bCs/>
        </w:rPr>
        <w:t xml:space="preserve">written agreement</w:t>
      </w:r>
      <w:r>
        <w:t xml:space="preserve"> </w:t>
      </w:r>
      <w:r>
        <w:t xml:space="preserve">of the Parties.</w:t>
      </w:r>
    </w:p>
    <w:p>
      <w:pPr>
        <w:pStyle w:val="FirstParagraph"/>
      </w:pPr>
      <w:r>
        <w:t xml:space="preserve">Transactions are denominated in euros (EUR). No minimum order quantity applies during the first twenty-four (24) months.</w:t>
      </w:r>
    </w:p>
    <w:p>
      <w:pPr>
        <w:pStyle w:val="BodyText"/>
      </w:pPr>
      <w:r>
        <w:rPr>
          <w:b/>
          <w:bCs/>
        </w:rPr>
        <w:t xml:space="preserve">Launch stock.</w:t>
      </w:r>
      <w:r>
        <w:t xml:space="preserve"> </w:t>
      </w:r>
      <w:r>
        <w:t xml:space="preserve">In order to support the commercial launch, DIAHO shall provide VETALYX, without initial invoicing and without immediate payment, with diagnostic kits for a total value of fifty thousand euros excluding taxes (EUR 50,000), calculated on the basis of the transfer price applicable between the Parties. These kits are provided as an initial commercial launch stock; their reimbursement by VETALYX to DIAHO shall be exclusively progressive and conditional upon sales actually made by VETALYX in the Territory. Unless otherwise agreed in writing between the Parties:</w:t>
      </w:r>
    </w:p>
    <w:p>
      <w:pPr>
        <w:pStyle w:val="Compact"/>
        <w:numPr>
          <w:ilvl w:val="0"/>
          <w:numId w:val="1008"/>
        </w:numPr>
      </w:pPr>
      <w:r>
        <w:t xml:space="preserve">VETALYX shall progressively reimburse the value of the kits by offsetting against sales actually collected;</w:t>
      </w:r>
    </w:p>
    <w:p>
      <w:pPr>
        <w:pStyle w:val="Compact"/>
        <w:numPr>
          <w:ilvl w:val="0"/>
          <w:numId w:val="1008"/>
        </w:numPr>
      </w:pPr>
      <w:r>
        <w:t xml:space="preserve">no reimbursement shall be due as long as the Products concerned have not generated actual sales;</w:t>
      </w:r>
    </w:p>
    <w:p>
      <w:pPr>
        <w:pStyle w:val="Compact"/>
        <w:numPr>
          <w:ilvl w:val="0"/>
          <w:numId w:val="1008"/>
        </w:numPr>
      </w:pPr>
      <w:r>
        <w:t xml:space="preserve">in the absence of sales, DIAHO may not claim from VETALYX any reimbursement, payment, indemnity or compensation in respect of the kits provided for the launch;</w:t>
      </w:r>
    </w:p>
    <w:p>
      <w:pPr>
        <w:pStyle w:val="Compact"/>
        <w:numPr>
          <w:ilvl w:val="0"/>
          <w:numId w:val="1008"/>
        </w:numPr>
      </w:pPr>
      <w:r>
        <w:t xml:space="preserve">the schedule and the percentage of reimbursement per sale shall be defined in Annex 5 or by separate written agreement;</w:t>
      </w:r>
    </w:p>
    <w:p>
      <w:pPr>
        <w:pStyle w:val="Compact"/>
        <w:numPr>
          <w:ilvl w:val="0"/>
          <w:numId w:val="1008"/>
        </w:numPr>
      </w:pPr>
      <w:r>
        <w:t xml:space="preserve">the kits provided in this context may be used by VETALYX for demonstrations, commercial validation, customer trials, training, veterinary evaluation, promotion, constitution of initial stock or first sales, according to the strategy decided by VETALYX.</w:t>
      </w:r>
    </w:p>
    <w:p>
      <w:r>
        <w:pict>
          <v:rect style="width:0;height:1.5pt" o:hralign="center" o:hrstd="t" o:hr="t"/>
        </w:pict>
      </w:r>
    </w:p>
    <w:bookmarkEnd w:id="21"/>
    <w:bookmarkStart w:id="22" w:name="article-11-intellectual-property"/>
    <w:p>
      <w:pPr>
        <w:pStyle w:val="Heading2"/>
      </w:pPr>
      <w:r>
        <w:t xml:space="preserve">Article 11 — Intellectual property</w:t>
      </w:r>
    </w:p>
    <w:p>
      <w:pPr>
        <w:pStyle w:val="FirstParagraph"/>
      </w:pPr>
      <w:r>
        <w:t xml:space="preserve">DIAHO retains its pre-existing intellectual property, as well as that of its Affiliates and industrial partners.</w:t>
      </w:r>
    </w:p>
    <w:p>
      <w:pPr>
        <w:pStyle w:val="BodyText"/>
      </w:pPr>
      <w:r>
        <w:t xml:space="preserve">The adaptations and Regulatory Files produced by VETALYX are its exclusive property.</w:t>
      </w:r>
    </w:p>
    <w:p>
      <w:pPr>
        <w:pStyle w:val="BodyText"/>
      </w:pPr>
      <w:r>
        <w:t xml:space="preserve">Any transfer or licence of intellectual property between DIAHO (or its Affiliates) and VETALYX, other than the pre-existing intellectual property referred to above, shall be the subject of a separate written agreement.</w:t>
      </w:r>
    </w:p>
    <w:p>
      <w:pPr>
        <w:pStyle w:val="BodyText"/>
      </w:pPr>
      <w:r>
        <w:rPr>
          <w:b/>
          <w:bCs/>
        </w:rPr>
        <w:t xml:space="preserve">Trademarks and communication.</w:t>
      </w:r>
      <w:r>
        <w:t xml:space="preserve"> </w:t>
      </w:r>
      <w:r>
        <w:t xml:space="preserve">VETALYX may use DIAHO’s trademarks, names, logos and materials strictly for the purposes of the promotion, registration and marketing of the Products in the Territory. Any adaptation of the materials, packaging, notices or commercial documents to the European market may be carried out by VETALYX where this is necessary for regulatory compliance, customer understanding or commercial effectiveness. The Parties may agree on a co-branding strategy combining the DIAHO and VETALYX brands. Any major public material using the other Party’s trademarks shall be subject to prior approval, which may not be refused without reasonable grounds.</w:t>
      </w:r>
    </w:p>
    <w:p>
      <w:r>
        <w:pict>
          <v:rect style="width:0;height:1.5pt" o:hralign="center" o:hrstd="t" o:hr="t"/>
        </w:pict>
      </w:r>
    </w:p>
    <w:bookmarkEnd w:id="22"/>
    <w:bookmarkStart w:id="23" w:name="X1102da23f86e9b4afdda13f2be7d1de83aa3037"/>
    <w:p>
      <w:pPr>
        <w:pStyle w:val="Heading2"/>
      </w:pPr>
      <w:r>
        <w:t xml:space="preserve">Article 12 — Confidentiality and non-circumvention</w:t>
      </w:r>
    </w:p>
    <w:p>
      <w:pPr>
        <w:pStyle w:val="FirstParagraph"/>
      </w:pPr>
      <w:r>
        <w:t xml:space="preserve">The Parties shall treat as confidential all information exchanged. DIAHO undertakes not to circumvent VETALYX by entering into a direct relationship with customers or partners in the Territory.</w:t>
      </w:r>
    </w:p>
    <w:p>
      <w:pPr>
        <w:pStyle w:val="BodyText"/>
      </w:pPr>
      <w:r>
        <w:t xml:space="preserve">The Affiliates and Chinese partners of DIAHO are bound by the same confidentiality and non-circumvention obligations. DIAHO guarantees compliance with these obligations by its Affiliates and partners, and is answerable to VETALYX for their breaches. The reciprocal guarantees between DIAHO and Zheda Dixun are set out in Annex 9.</w:t>
      </w:r>
    </w:p>
    <w:p>
      <w:r>
        <w:pict>
          <v:rect style="width:0;height:1.5pt" o:hralign="center" o:hrstd="t" o:hr="t"/>
        </w:pict>
      </w:r>
    </w:p>
    <w:bookmarkEnd w:id="23"/>
    <w:bookmarkStart w:id="24" w:name="article-13-audit"/>
    <w:p>
      <w:pPr>
        <w:pStyle w:val="Heading2"/>
      </w:pPr>
      <w:r>
        <w:t xml:space="preserve">Article 13 — Audit</w:t>
      </w:r>
    </w:p>
    <w:p>
      <w:pPr>
        <w:pStyle w:val="FirstParagraph"/>
      </w:pPr>
      <w:r>
        <w:t xml:space="preserve">VETALYX may, subject to reasonable notice, organise or have organised an audit of DIAHO and/or of any critical manufacturer or subcontractor, covering in particular the quality system, manufacturing, quality control, traceability and regulatory documentation. The detailed terms are defined in the Quality Agreement.</w:t>
      </w:r>
    </w:p>
    <w:p>
      <w:r>
        <w:pict>
          <v:rect style="width:0;height:1.5pt" o:hralign="center" o:hrstd="t" o:hr="t"/>
        </w:pict>
      </w:r>
    </w:p>
    <w:bookmarkEnd w:id="24"/>
    <w:bookmarkStart w:id="25" w:name="X4c32b4b64febad46f523b126c7278e54c0e4cdf"/>
    <w:p>
      <w:pPr>
        <w:pStyle w:val="Heading2"/>
      </w:pPr>
      <w:r>
        <w:t xml:space="preserve">Article 14 — Complaints, recalls and cost allocation</w:t>
      </w:r>
    </w:p>
    <w:p>
      <w:pPr>
        <w:pStyle w:val="FirstParagraph"/>
      </w:pPr>
      <w:r>
        <w:t xml:space="preserve">DIAHO shall immediately inform VETALYX of any incident, defect, significant complaint, recall or withdrawal affecting the Products. VETALYX shall ensure the coordination of communications with customers, distributors and the competent authorities.</w:t>
      </w:r>
    </w:p>
    <w:p>
      <w:pPr>
        <w:pStyle w:val="BodyText"/>
      </w:pPr>
      <w:r>
        <w:t xml:space="preserve">The reasonable costs related to a recall, withdrawal, corrective action or investigation resulting from a design, manufacturing, quality or performance defect attributable to DIAHO shall be borne by DIAHO. Where the event is attributable to VETALYX, the corresponding costs shall be borne by VETALYX. In the event of shared responsibility, the Parties shall determine the cost allocation in good faith.</w:t>
      </w:r>
    </w:p>
    <w:p>
      <w:pPr>
        <w:pStyle w:val="BodyText"/>
      </w:pPr>
      <w:r>
        <w:rPr>
          <w:b/>
          <w:bCs/>
        </w:rPr>
        <w:t xml:space="preserve">Liability and warranties.</w:t>
      </w:r>
      <w:r>
        <w:t xml:space="preserve"> </w:t>
      </w:r>
      <w:r>
        <w:t xml:space="preserve">DIAHO warrants that the Products supplied will conform to the specifications, technical documents, declared quality standards and information provided to VETALYX. DIAHO warrants that the Products do not, to its knowledge, infringe third-party intellectual property rights, and that it holds the rights necessary to manufacture, sell and supply them to VETALYX. DIAHO shall indemnify VETALYX against any harmful consequence resulting from a defect in design, manufacture, information, documentation, quality, conformity or intellectual property attributable to DIAHO. VETALYX shall be liable for faults directly attributable to its own distribution, promotion or representation activities, subject to the accuracy of the information provided by DIAHO. Neither Party shall be liable for indirect damages, except in the case of gross negligence, fraud, breach of confidentiality, breach of non-circumvention, infringement of intellectual property rights or an indemnification obligation owed to a third party.</w:t>
      </w:r>
    </w:p>
    <w:p>
      <w:r>
        <w:pict>
          <v:rect style="width:0;height:1.5pt" o:hralign="center" o:hrstd="t" o:hr="t"/>
        </w:pict>
      </w:r>
    </w:p>
    <w:bookmarkEnd w:id="25"/>
    <w:bookmarkStart w:id="26" w:name="X4aa58aef565ea9ecf59b76c02dd783f1ebba3a4"/>
    <w:p>
      <w:pPr>
        <w:pStyle w:val="Heading2"/>
      </w:pPr>
      <w:r>
        <w:t xml:space="preserve">Article 15 — Production option / industrial localisation</w:t>
      </w:r>
    </w:p>
    <w:p>
      <w:pPr>
        <w:pStyle w:val="FirstParagraph"/>
      </w:pPr>
      <w:r>
        <w:t xml:space="preserve">VETALYX holds an option for the European localisation of all or part of the value chain of the Products, exercised by unilateral decision of its Board of Directors. The Parties shall have eight (8) months from notification to organise the transfer of Know-How (Annex 7).</w:t>
      </w:r>
    </w:p>
    <w:p>
      <w:r>
        <w:pict>
          <v:rect style="width:0;height:1.5pt" o:hralign="center" o:hrstd="t" o:hr="t"/>
        </w:pict>
      </w:r>
    </w:p>
    <w:bookmarkEnd w:id="26"/>
    <w:bookmarkStart w:id="27" w:name="X0fd2e6a1063192d203456df0f7d0f129b63237e"/>
    <w:p>
      <w:pPr>
        <w:pStyle w:val="Heading2"/>
      </w:pPr>
      <w:r>
        <w:t xml:space="preserve">Article 16 — Conflicts of interest and related-party transactions</w:t>
      </w:r>
    </w:p>
    <w:p>
      <w:pPr>
        <w:pStyle w:val="FirstParagraph"/>
      </w:pPr>
      <w:r>
        <w:t xml:space="preserve">The Parties acknowledge that DIAHO is at the same time client of the Assignment, supplier of the Products and founding shareholder at 40% of VETALYX. Consequently:</w:t>
      </w:r>
    </w:p>
    <w:p>
      <w:pPr>
        <w:pStyle w:val="Compact"/>
        <w:numPr>
          <w:ilvl w:val="0"/>
          <w:numId w:val="1009"/>
        </w:numPr>
      </w:pPr>
      <w:r>
        <w:t xml:space="preserve">any transaction between VETALYX and DIAHO (or its Affiliates) falls within the Belgian regime of conflicts of interest (Article 5:76 et seq. of the CSA) and shall be the subject of a</w:t>
      </w:r>
      <w:r>
        <w:t xml:space="preserve"> </w:t>
      </w:r>
      <w:r>
        <w:rPr>
          <w:b/>
          <w:bCs/>
        </w:rPr>
        <w:t xml:space="preserve">prior declaration</w:t>
      </w:r>
      <w:r>
        <w:t xml:space="preserve"> </w:t>
      </w:r>
      <w:r>
        <w:t xml:space="preserve">and, where applicable, an</w:t>
      </w:r>
      <w:r>
        <w:t xml:space="preserve"> </w:t>
      </w:r>
      <w:r>
        <w:rPr>
          <w:b/>
          <w:bCs/>
        </w:rPr>
        <w:t xml:space="preserve">opinion of the statutory auditor</w:t>
      </w:r>
      <w:r>
        <w:t xml:space="preserve">;</w:t>
      </w:r>
    </w:p>
    <w:p>
      <w:pPr>
        <w:pStyle w:val="Compact"/>
        <w:numPr>
          <w:ilvl w:val="0"/>
          <w:numId w:val="1009"/>
        </w:numPr>
      </w:pPr>
      <w:r>
        <w:t xml:space="preserve">the transfer prices and the remuneration of the Assignment comply with the</w:t>
      </w:r>
      <w:r>
        <w:t xml:space="preserve"> </w:t>
      </w:r>
      <w:r>
        <w:rPr>
          <w:b/>
          <w:bCs/>
        </w:rPr>
        <w:t xml:space="preserve">arm’s length principle</w:t>
      </w:r>
      <w:r>
        <w:t xml:space="preserve"> </w:t>
      </w:r>
      <w:r>
        <w:t xml:space="preserve">(Article 185/2 of the CIR);</w:t>
      </w:r>
    </w:p>
    <w:p>
      <w:pPr>
        <w:pStyle w:val="Compact"/>
        <w:numPr>
          <w:ilvl w:val="0"/>
          <w:numId w:val="1009"/>
        </w:numPr>
      </w:pPr>
      <w:r>
        <w:t xml:space="preserve">the Parties shall maintain systematic</w:t>
      </w:r>
      <w:r>
        <w:t xml:space="preserve"> </w:t>
      </w:r>
      <w:r>
        <w:rPr>
          <w:b/>
          <w:bCs/>
        </w:rPr>
        <w:t xml:space="preserve">written documentation</w:t>
      </w:r>
      <w:r>
        <w:t xml:space="preserve"> </w:t>
      </w:r>
      <w:r>
        <w:t xml:space="preserve">of such transactions.</w:t>
      </w:r>
    </w:p>
    <w:p>
      <w:r>
        <w:pict>
          <v:rect style="width:0;height:1.5pt" o:hralign="center" o:hrstd="t" o:hr="t"/>
        </w:pict>
      </w:r>
    </w:p>
    <w:bookmarkEnd w:id="27"/>
    <w:bookmarkStart w:id="28" w:name="article-17-governing-law"/>
    <w:p>
      <w:pPr>
        <w:pStyle w:val="Heading2"/>
      </w:pPr>
      <w:r>
        <w:t xml:space="preserve">Article 17 — Governing law</w:t>
      </w:r>
    </w:p>
    <w:p>
      <w:pPr>
        <w:pStyle w:val="FirstParagraph"/>
      </w:pPr>
      <w:r>
        <w:t xml:space="preserve">The Agreement is governed by Belgian law.</w:t>
      </w:r>
    </w:p>
    <w:p>
      <w:r>
        <w:pict>
          <v:rect style="width:0;height:1.5pt" o:hralign="center" o:hrstd="t" o:hr="t"/>
        </w:pict>
      </w:r>
    </w:p>
    <w:bookmarkEnd w:id="28"/>
    <w:bookmarkStart w:id="29" w:name="article-18-dispute-resolution"/>
    <w:p>
      <w:pPr>
        <w:pStyle w:val="Heading2"/>
      </w:pPr>
      <w:r>
        <w:t xml:space="preserve">Article 18 — Dispute resolution</w:t>
      </w:r>
    </w:p>
    <w:p>
      <w:pPr>
        <w:pStyle w:val="FirstParagraph"/>
      </w:pPr>
      <w:r>
        <w:t xml:space="preserve">The Parties shall endeavour to settle any dispute amicably, by way of</w:t>
      </w:r>
      <w:r>
        <w:t xml:space="preserve"> </w:t>
      </w:r>
      <w:r>
        <w:rPr>
          <w:b/>
          <w:bCs/>
        </w:rPr>
        <w:t xml:space="preserve">mediation</w:t>
      </w:r>
      <w:r>
        <w:t xml:space="preserve">, within sixty (60) days.</w:t>
      </w:r>
    </w:p>
    <w:p>
      <w:pPr>
        <w:pStyle w:val="BodyText"/>
      </w:pPr>
      <w:r>
        <w:t xml:space="preserve">Failing amicable resolution, any dispute shall be settled by</w:t>
      </w:r>
      <w:r>
        <w:t xml:space="preserve"> </w:t>
      </w:r>
      <w:r>
        <w:rPr>
          <w:b/>
          <w:bCs/>
        </w:rPr>
        <w:t xml:space="preserve">arbitration</w:t>
      </w:r>
      <w:r>
        <w:t xml:space="preserve">, in accordance with the rules agreed between the Parties, with</w:t>
      </w:r>
      <w:r>
        <w:t xml:space="preserve"> </w:t>
      </w:r>
      <w:r>
        <w:rPr>
          <w:b/>
          <w:bCs/>
        </w:rPr>
        <w:t xml:space="preserve">seat in Switzerland (Geneva)</w:t>
      </w:r>
      <w:r>
        <w:t xml:space="preserve">. The arbitration shall be conducted in English.</w:t>
      </w:r>
    </w:p>
    <w:p>
      <w:pPr>
        <w:pStyle w:val="BodyText"/>
      </w:pPr>
      <w:r>
        <w:t xml:space="preserve">Conservatory or urgent measures may be sought before the enterprise courts of the registered office of VETALYX (Belgium).</w:t>
      </w:r>
    </w:p>
    <w:p>
      <w:r>
        <w:pict>
          <v:rect style="width:0;height:1.5pt" o:hralign="center" o:hrstd="t" o:hr="t"/>
        </w:pict>
      </w:r>
    </w:p>
    <w:bookmarkEnd w:id="29"/>
    <w:bookmarkStart w:id="30" w:name="article-19-language"/>
    <w:p>
      <w:pPr>
        <w:pStyle w:val="Heading2"/>
      </w:pPr>
      <w:r>
        <w:t xml:space="preserve">Article 19 — Language</w:t>
      </w:r>
    </w:p>
    <w:p>
      <w:pPr>
        <w:pStyle w:val="FirstParagraph"/>
      </w:pPr>
      <w:r>
        <w:t xml:space="preserve">The</w:t>
      </w:r>
      <w:r>
        <w:t xml:space="preserve"> </w:t>
      </w:r>
      <w:r>
        <w:rPr>
          <w:b/>
          <w:bCs/>
        </w:rPr>
        <w:t xml:space="preserve">official and legally binding version</w:t>
      </w:r>
      <w:r>
        <w:t xml:space="preserve"> </w:t>
      </w:r>
      <w:r>
        <w:t xml:space="preserve">of the Agreement and its annexes is drawn up in</w:t>
      </w:r>
      <w:r>
        <w:t xml:space="preserve"> </w:t>
      </w:r>
      <w:r>
        <w:rPr>
          <w:b/>
          <w:bCs/>
        </w:rPr>
        <w:t xml:space="preserve">English</w:t>
      </w:r>
      <w:r>
        <w:t xml:space="preserve">.</w:t>
      </w:r>
    </w:p>
    <w:p>
      <w:pPr>
        <w:pStyle w:val="BodyText"/>
      </w:pPr>
      <w:r>
        <w:t xml:space="preserve">French and Chinese are</w:t>
      </w:r>
      <w:r>
        <w:t xml:space="preserve"> </w:t>
      </w:r>
      <w:r>
        <w:rPr>
          <w:b/>
          <w:bCs/>
        </w:rPr>
        <w:t xml:space="preserve">working versions</w:t>
      </w:r>
      <w:r>
        <w:t xml:space="preserve"> </w:t>
      </w:r>
      <w:r>
        <w:t xml:space="preserve">intended to facilitate each Party’s understanding; in the event of divergence, the English version shall prevail.</w:t>
      </w:r>
    </w:p>
    <w:p>
      <w:r>
        <w:pict>
          <v:rect style="width:0;height:1.5pt" o:hralign="center" o:hrstd="t" o:hr="t"/>
        </w:pict>
      </w:r>
    </w:p>
    <w:bookmarkEnd w:id="30"/>
    <w:bookmarkStart w:id="31" w:name="article-20-final-provisions"/>
    <w:p>
      <w:pPr>
        <w:pStyle w:val="Heading2"/>
      </w:pPr>
      <w:r>
        <w:t xml:space="preserve">Article 20 — Final provisions</w:t>
      </w:r>
    </w:p>
    <w:p>
      <w:pPr>
        <w:pStyle w:val="FirstParagraph"/>
      </w:pPr>
      <w:r>
        <w:rPr>
          <w:b/>
          <w:bCs/>
        </w:rPr>
        <w:t xml:space="preserve">Amendment:</w:t>
      </w:r>
      <w:r>
        <w:t xml:space="preserve"> </w:t>
      </w:r>
      <w:r>
        <w:t xml:space="preserve">any amendment shall be made by a written addendum signed by both Parties.</w:t>
      </w:r>
    </w:p>
    <w:p>
      <w:pPr>
        <w:pStyle w:val="BodyText"/>
      </w:pPr>
      <w:r>
        <w:rPr>
          <w:b/>
          <w:bCs/>
        </w:rPr>
        <w:t xml:space="preserve">Entire agreement:</w:t>
      </w:r>
      <w:r>
        <w:t xml:space="preserve"> </w:t>
      </w:r>
      <w:r>
        <w:t xml:space="preserve">the Agreement and its annexes constitute the entire agreement between the Parties.</w:t>
      </w:r>
    </w:p>
    <w:p>
      <w:pPr>
        <w:pStyle w:val="BodyText"/>
      </w:pPr>
      <w:r>
        <w:rPr>
          <w:b/>
          <w:bCs/>
        </w:rPr>
        <w:t xml:space="preserve">Precedence:</w:t>
      </w:r>
      <w:r>
        <w:t xml:space="preserve"> </w:t>
      </w:r>
      <w:r>
        <w:t xml:space="preserve">in the event of a conflict between this Agreement and the Shareholders’ Agreement, the Shareholders’ Agreement shall prevail for all share-capital matters; this Agreement shall prevail for the Assignment and for commercial and regulatory matters.</w:t>
      </w:r>
    </w:p>
    <w:p>
      <w:pPr>
        <w:pStyle w:val="BodyText"/>
      </w:pPr>
      <w:r>
        <w:rPr>
          <w:b/>
          <w:bCs/>
        </w:rPr>
        <w:t xml:space="preserve">Assignment and change of control.</w:t>
      </w:r>
      <w:r>
        <w:t xml:space="preserve"> </w:t>
      </w:r>
      <w:r>
        <w:t xml:space="preserve">DIAHO may not assign, transfer or contribute all or part of its rights or obligations under the Agreement without VETALYX’s prior written consent. VETALYX may assign the Agreement to an affiliate, a company of its group, a successor, a transferee, an investor or an entity continuing the distribution and representation activity of the Products, subject to notifying DIAHO. In the event of a change of control of DIAHO, restructuring, merger, acquisition, disposal of assets or any change affecting the supply of the Products, DIAHO shall inform VETALYX without delay, and the obligations of exclusivity, non-circumvention, right of first refusal and documentary supply shall remain applicable.</w:t>
      </w:r>
    </w:p>
    <w:p>
      <w:pPr>
        <w:pStyle w:val="BodyText"/>
      </w:pPr>
      <w:r>
        <w:rPr>
          <w:b/>
          <w:bCs/>
        </w:rPr>
        <w:t xml:space="preserve">Insurance.</w:t>
      </w:r>
      <w:r>
        <w:t xml:space="preserve"> </w:t>
      </w:r>
      <w:r>
        <w:t xml:space="preserve">Each Party undertakes to maintain, throughout the term of the Agreement, appropriate insurance covering its activities, liabilities and risks related to the performance of the Agreement. DIAHO shall in particular maintain insurance covering the risks related to manufacturing, quality, conformity and product liability. VETALYX shall maintain insurance covering its distribution, regulatory representation and commercial development activities. Each Party shall provide the other, upon reasonable request, with a certificate of insurance.</w:t>
      </w:r>
    </w:p>
    <w:p>
      <w:pPr>
        <w:pStyle w:val="BodyText"/>
      </w:pPr>
      <w:r>
        <w:rPr>
          <w:b/>
          <w:bCs/>
        </w:rPr>
        <w:t xml:space="preserve">Force majeure.</w:t>
      </w:r>
      <w:r>
        <w:t xml:space="preserve"> </w:t>
      </w:r>
      <w:r>
        <w:t xml:space="preserve">Neither Party shall be liable for any delay or non-performance resulting from a force majeure event as defined by Belgian law, provided that the affected Party informs the other Party as soon as possible and takes reasonable measures to limit its effects. If the force majeure event continues for more than ninety (90) days, the Parties shall meet in order to determine the conditions for continuation, suspension or cessation of the Agreement.</w:t>
      </w:r>
    </w:p>
    <w:p>
      <w:pPr>
        <w:pStyle w:val="BodyText"/>
      </w:pPr>
      <w:r>
        <w:rPr>
          <w:b/>
          <w:bCs/>
        </w:rPr>
        <w:t xml:space="preserve">Independence of the Parties.</w:t>
      </w:r>
      <w:r>
        <w:t xml:space="preserve"> </w:t>
      </w:r>
      <w:r>
        <w:t xml:space="preserve">The Parties act as independent contractors. No provision of the Agreement may be interpreted as creating between them a joint venture, an employer-employee relationship, a general agency, a commercial agency, a franchise or a representation relationship other than the specific EU Authorised Representative mandate provided for in the Agreement. VETALYX may not bind DIAHO beyond the powers expressly provided for by the Agreement or by the corresponding regulatory mandate.</w:t>
      </w:r>
    </w:p>
    <w:p>
      <w:pPr>
        <w:pStyle w:val="BodyText"/>
      </w:pPr>
      <w:r>
        <w:rPr>
          <w:b/>
          <w:bCs/>
        </w:rPr>
        <w:t xml:space="preserve">Notices.</w:t>
      </w:r>
      <w:r>
        <w:t xml:space="preserve"> </w:t>
      </w:r>
      <w:r>
        <w:t xml:space="preserve">Any notice under the Agreement shall be made in writing and sent by registered mail, recognised international courier service or electronic mail with acknowledgement of receipt to the addresses set out below. For VETALYX: [address] [email] For the attention of: [name]. For DIAHO: [address] [email] For the attention of: [name]. Each Party may change its notice details by informing the other Party in writing.</w:t>
      </w:r>
    </w:p>
    <w:p>
      <w:pPr>
        <w:pStyle w:val="BodyText"/>
      </w:pPr>
      <w:r>
        <w:rPr>
          <w:b/>
          <w:bCs/>
        </w:rPr>
        <w:t xml:space="preserve">Severability.</w:t>
      </w:r>
      <w:r>
        <w:t xml:space="preserve"> </w:t>
      </w:r>
      <w:r>
        <w:t xml:space="preserve">If any provision of the Agreement is declared null, invalid or unenforceable, the remaining provisions shall remain in force. The Parties undertake to replace the provision concerned with a valid provision producing, as far as possible, an equivalent economic and legal effect.</w:t>
      </w:r>
    </w:p>
    <w:p>
      <w:r>
        <w:pict>
          <v:rect style="width:0;height:1.5pt" o:hralign="center" o:hrstd="t" o:hr="t"/>
        </w:pict>
      </w:r>
    </w:p>
    <w:bookmarkEnd w:id="31"/>
    <w:bookmarkStart w:id="32" w:name="X2c9f4e97e2ad3d7ffdaa6c6165ad0319a1e4dbd"/>
    <w:p>
      <w:pPr>
        <w:pStyle w:val="Heading2"/>
      </w:pPr>
      <w:r>
        <w:t xml:space="preserve">Article 21 — Undertakings of Zheda Dixun (Manufacturer)</w:t>
      </w:r>
    </w:p>
    <w:p>
      <w:pPr>
        <w:pStyle w:val="FirstParagraph"/>
      </w:pPr>
      <w:r>
        <w:rPr>
          <w:b/>
          <w:bCs/>
        </w:rPr>
        <w:t xml:space="preserve">21.1. Role and scope.</w:t>
      </w:r>
      <w:r>
        <w:t xml:space="preserve"> </w:t>
      </w:r>
      <w:r>
        <w:t xml:space="preserve">Zheda Dixun acts herein as the</w:t>
      </w:r>
      <w:r>
        <w:t xml:space="preserve"> </w:t>
      </w:r>
      <w:r>
        <w:rPr>
          <w:b/>
          <w:bCs/>
        </w:rPr>
        <w:t xml:space="preserve">actual Manufacturer</w:t>
      </w:r>
      <w:r>
        <w:t xml:space="preserve"> </w:t>
      </w:r>
      <w:r>
        <w:t xml:space="preserve">of the Initial Products and as shareholder of DIAHO. By signing this Agreement and/or the</w:t>
      </w:r>
      <w:r>
        <w:t xml:space="preserve"> </w:t>
      </w:r>
      <w:r>
        <w:rPr>
          <w:b/>
          <w:bCs/>
        </w:rPr>
        <w:t xml:space="preserve">Deed of Accession</w:t>
      </w:r>
      <w:r>
        <w:t xml:space="preserve"> </w:t>
      </w:r>
      <w:r>
        <w:t xml:space="preserve">(Annex 10), Dixun</w:t>
      </w:r>
      <w:r>
        <w:t xml:space="preserve"> </w:t>
      </w:r>
      <w:r>
        <w:rPr>
          <w:b/>
          <w:bCs/>
        </w:rPr>
        <w:t xml:space="preserve">adheres</w:t>
      </w:r>
      <w:r>
        <w:t xml:space="preserve"> </w:t>
      </w:r>
      <w:r>
        <w:t xml:space="preserve">to the obligations set out in this Article 21 as well as in Articles 8, 9, 12, 13 and 15 and in Annex 9, to the extent they concern it. These undertakings are</w:t>
      </w:r>
      <w:r>
        <w:t xml:space="preserve"> </w:t>
      </w:r>
      <w:r>
        <w:rPr>
          <w:b/>
          <w:bCs/>
        </w:rPr>
        <w:t xml:space="preserve">directly enforceable</w:t>
      </w:r>
      <w:r>
        <w:t xml:space="preserve"> </w:t>
      </w:r>
      <w:r>
        <w:t xml:space="preserve">by VETALYX and by DIAHO.</w:t>
      </w:r>
    </w:p>
    <w:p>
      <w:pPr>
        <w:pStyle w:val="BodyText"/>
      </w:pPr>
      <w:r>
        <w:rPr>
          <w:b/>
          <w:bCs/>
        </w:rPr>
        <w:t xml:space="preserve">21.2. Quality and conformity.</w:t>
      </w:r>
      <w:r>
        <w:t xml:space="preserve"> </w:t>
      </w:r>
      <w:r>
        <w:t xml:space="preserve">Dixun warrants that the Products are manufactured in accordance with the applicable specifications (Annex 2), the Quality Agreement (Annex 3) and the Chinese and European regulatory requirements applicable to manufacturing. Dixun shall apply change control and shall refrain from any modification of the design, composition, manufacture or performance of the Products without VETALYX’s prior written consent.</w:t>
      </w:r>
    </w:p>
    <w:p>
      <w:pPr>
        <w:pStyle w:val="BodyText"/>
      </w:pPr>
      <w:r>
        <w:rPr>
          <w:b/>
          <w:bCs/>
        </w:rPr>
        <w:t xml:space="preserve">21.3. Regulatory and technical documentation.</w:t>
      </w:r>
      <w:r>
        <w:t xml:space="preserve"> </w:t>
      </w:r>
      <w:r>
        <w:t xml:space="preserve">Dixun shall provide — directly or through DIAHO — all data, files, certificates and technical documentation necessary for the regulatory registrations of the Products in the Territory (Article 8). It warrants the accuracy, truthfulness and completeness thereof.</w:t>
      </w:r>
    </w:p>
    <w:p>
      <w:pPr>
        <w:pStyle w:val="BodyText"/>
      </w:pPr>
      <w:r>
        <w:rPr>
          <w:b/>
          <w:bCs/>
        </w:rPr>
        <w:t xml:space="preserve">21.4. Non-circumvention and exclusivity.</w:t>
      </w:r>
      <w:r>
        <w:t xml:space="preserve"> </w:t>
      </w:r>
      <w:r>
        <w:t xml:space="preserve">Dixun undertakes not to sell, offer or supply, directly or indirectly, the Products in the Territory otherwise than through VETALYX. It shall forward without delay to VETALYX and DIAHO any request or order originating from the Territory.</w:t>
      </w:r>
    </w:p>
    <w:p>
      <w:pPr>
        <w:pStyle w:val="BodyText"/>
      </w:pPr>
      <w:r>
        <w:rPr>
          <w:b/>
          <w:bCs/>
        </w:rPr>
        <w:t xml:space="preserve">21.5. Confidentiality.</w:t>
      </w:r>
      <w:r>
        <w:t xml:space="preserve"> </w:t>
      </w:r>
      <w:r>
        <w:t xml:space="preserve">Dixun is bound by the confidentiality obligations of Article 12 and the enhanced confidentiality of Annex 9.</w:t>
      </w:r>
    </w:p>
    <w:p>
      <w:pPr>
        <w:pStyle w:val="BodyText"/>
      </w:pPr>
      <w:r>
        <w:rPr>
          <w:b/>
          <w:bCs/>
        </w:rPr>
        <w:t xml:space="preserve">21.6. Continuity of supply and price stability.</w:t>
      </w:r>
      <w:r>
        <w:t xml:space="preserve"> </w:t>
      </w:r>
      <w:r>
        <w:t xml:space="preserve">Dixun undertakes to ensure continuity of supply of the Products ordered by VETALYX and to comply with the pricing mechanism of Article 10, without unilateral increase.</w:t>
      </w:r>
    </w:p>
    <w:p>
      <w:pPr>
        <w:pStyle w:val="BodyText"/>
      </w:pPr>
      <w:r>
        <w:rPr>
          <w:b/>
          <w:bCs/>
        </w:rPr>
        <w:t xml:space="preserve">21.7. Audit.</w:t>
      </w:r>
      <w:r>
        <w:t xml:space="preserve"> </w:t>
      </w:r>
      <w:r>
        <w:t xml:space="preserve">Dixun accepts the audits of Article 13 and cooperates in good faith, in particular by granting access to its manufacturing sites, its quality system and its documentation.</w:t>
      </w:r>
    </w:p>
    <w:p>
      <w:pPr>
        <w:pStyle w:val="BodyText"/>
      </w:pPr>
      <w:r>
        <w:rPr>
          <w:b/>
          <w:bCs/>
        </w:rPr>
        <w:t xml:space="preserve">21.8. Industrial localisation.</w:t>
      </w:r>
      <w:r>
        <w:t xml:space="preserve"> </w:t>
      </w:r>
      <w:r>
        <w:t xml:space="preserve">Dixun shall cooperate with the transfer of Know-How and the industrial localisation provided for in Article 15 and Annex 7, and shall grant, where applicable, the intellectual property licences necessary for this purpose, under a separate agreement. Without prejudice to the commercial terms to be agreed, this clause entails neither assignment nor an automatic licence.</w:t>
      </w:r>
    </w:p>
    <w:p>
      <w:pPr>
        <w:pStyle w:val="BodyText"/>
      </w:pPr>
      <w:r>
        <w:rPr>
          <w:b/>
          <w:bCs/>
        </w:rPr>
        <w:t xml:space="preserve">21.9. Joint and several liability.</w:t>
      </w:r>
      <w:r>
        <w:t xml:space="preserve"> </w:t>
      </w:r>
      <w:r>
        <w:t xml:space="preserve">For the obligations referred to in this Article 21, DIAHO and Dixun are</w:t>
      </w:r>
      <w:r>
        <w:t xml:space="preserve"> </w:t>
      </w:r>
      <w:r>
        <w:rPr>
          <w:b/>
          <w:bCs/>
        </w:rPr>
        <w:t xml:space="preserve">jointly and severally liable</w:t>
      </w:r>
      <w:r>
        <w:t xml:space="preserve"> </w:t>
      </w:r>
      <w:r>
        <w:t xml:space="preserve">towards VETALYX. Dixun’s undertakings do not release DIAHO from its own obligations; DIAHO remains fully liable towards VETALYX, including in the event of a breach by Dixun. No dispute between DIAHO and Dixun, and no provision of their internal agreements, shall be enforceable against VETALYX.</w:t>
      </w:r>
    </w:p>
    <w:p>
      <w:pPr>
        <w:pStyle w:val="BodyText"/>
      </w:pPr>
      <w:r>
        <w:rPr>
          <w:b/>
          <w:bCs/>
        </w:rPr>
        <w:t xml:space="preserve">21.10. Term.</w:t>
      </w:r>
      <w:r>
        <w:t xml:space="preserve"> </w:t>
      </w:r>
      <w:r>
        <w:t xml:space="preserve">Dixun’s undertakings follow the term of the Agreement. Upon expiry of the Agreement, the</w:t>
      </w:r>
      <w:r>
        <w:t xml:space="preserve"> </w:t>
      </w:r>
      <w:r>
        <w:rPr>
          <w:b/>
          <w:bCs/>
        </w:rPr>
        <w:t xml:space="preserve">non-circumvention</w:t>
      </w:r>
      <w:r>
        <w:t xml:space="preserve"> </w:t>
      </w:r>
      <w:r>
        <w:t xml:space="preserve">obligations (Articles 12 and 21.4) shall survive for five (5) years, and the</w:t>
      </w:r>
      <w:r>
        <w:t xml:space="preserve"> </w:t>
      </w:r>
      <w:r>
        <w:rPr>
          <w:b/>
          <w:bCs/>
        </w:rPr>
        <w:t xml:space="preserve">confidentiality</w:t>
      </w:r>
      <w:r>
        <w:t xml:space="preserve"> </w:t>
      </w:r>
      <w:r>
        <w:t xml:space="preserve">obligations (Articles 12 and 21.5) shall survive</w:t>
      </w:r>
      <w:r>
        <w:t xml:space="preserve"> </w:t>
      </w:r>
      <w:r>
        <w:rPr>
          <w:b/>
          <w:bCs/>
        </w:rPr>
        <w:t xml:space="preserve">without limitation in time</w:t>
      </w:r>
      <w:r>
        <w:t xml:space="preserve"> </w:t>
      </w:r>
      <w:r>
        <w:t xml:space="preserve">for as long as the information concerned remains confidential.</w:t>
      </w:r>
    </w:p>
    <w:p>
      <w:r>
        <w:pict>
          <v:rect style="width:0;height:1.5pt" o:hralign="center" o:hrstd="t" o:hr="t"/>
        </w:pict>
      </w:r>
    </w:p>
    <w:bookmarkEnd w:id="32"/>
    <w:bookmarkStart w:id="33" w:name="signatures"/>
    <w:p>
      <w:pPr>
        <w:pStyle w:val="Heading2"/>
      </w:pPr>
      <w:r>
        <w:t xml:space="preserve">SIGNATURES</w:t>
      </w:r>
    </w:p>
    <w:p>
      <w:pPr>
        <w:pStyle w:val="FirstParagraph"/>
      </w:pPr>
      <w:r>
        <w:t xml:space="preserve">Done at [PLACE], on [DATE], in five (5) original copies.</w:t>
      </w:r>
    </w:p>
    <w:p>
      <w:pPr>
        <w:pStyle w:val="BodyText"/>
      </w:pPr>
      <w:r>
        <w:rPr>
          <w:b/>
          <w:bCs/>
        </w:rPr>
        <w:t xml:space="preserve">For VETALYX:</w:t>
      </w:r>
    </w:p>
    <w:p>
      <w:pPr>
        <w:pStyle w:val="BodyText"/>
      </w:pPr>
      <w:r>
        <w:t xml:space="preserve">Jean-Christophe HAVAUX — Founder</w:t>
      </w:r>
      <w:r>
        <w:t xml:space="preserve"> </w:t>
      </w:r>
      <w:r>
        <w:t xml:space="preserve">Signature: __________________</w:t>
      </w:r>
    </w:p>
    <w:p>
      <w:pPr>
        <w:pStyle w:val="BodyText"/>
      </w:pPr>
      <w:r>
        <w:rPr>
          <w:b/>
          <w:bCs/>
        </w:rPr>
        <w:t xml:space="preserve">For DIAHO:</w:t>
      </w:r>
    </w:p>
    <w:p>
      <w:pPr>
        <w:pStyle w:val="BodyText"/>
      </w:pPr>
      <w:r>
        <w:t xml:space="preserve">[X] — [X]</w:t>
      </w:r>
      <w:r>
        <w:t xml:space="preserve"> </w:t>
      </w:r>
      <w:r>
        <w:t xml:space="preserve">Signature: __________________</w:t>
      </w:r>
      <w:r>
        <w:t xml:space="preserve"> </w:t>
      </w:r>
      <w:r>
        <w:t xml:space="preserve">Company seal: ☐</w:t>
      </w:r>
    </w:p>
    <w:p>
      <w:pPr>
        <w:pStyle w:val="BodyText"/>
      </w:pPr>
      <w:r>
        <w:rPr>
          <w:b/>
          <w:bCs/>
        </w:rPr>
        <w:t xml:space="preserve">For ZHEDA DIXUN — signatory (undertakings of Article 21):</w:t>
      </w:r>
    </w:p>
    <w:p>
      <w:pPr>
        <w:pStyle w:val="BodyText"/>
      </w:pPr>
      <w:r>
        <w:t xml:space="preserve">[X] — [X]</w:t>
      </w:r>
      <w:r>
        <w:t xml:space="preserve"> </w:t>
      </w:r>
      <w:r>
        <w:t xml:space="preserve">Signature: __________________</w:t>
      </w:r>
      <w:r>
        <w:t xml:space="preserve"> </w:t>
      </w:r>
      <w:r>
        <w:t xml:space="preserve">Company seal: ☐</w:t>
      </w:r>
    </w:p>
    <w:p>
      <w:pPr>
        <w:pStyle w:val="BlockText"/>
      </w:pPr>
      <w:r>
        <w:rPr>
          <w:b/>
          <w:bCs/>
        </w:rPr>
        <w:t xml:space="preserve">Chinese name of DIAHO to be confirmed before signature:</w:t>
      </w:r>
      <w:r>
        <w:t xml:space="preserve"> </w:t>
      </w:r>
      <w:r>
        <w:rPr>
          <w:rFonts w:hint="eastAsia"/>
        </w:rPr>
        <w:t xml:space="preserve">“迪亚霍”</w:t>
      </w:r>
      <w:r>
        <w:t xml:space="preserve"> </w:t>
      </w:r>
      <w:r>
        <w:t xml:space="preserve">(used in this Agreement) or</w:t>
      </w:r>
      <w:r>
        <w:t xml:space="preserve"> </w:t>
      </w:r>
      <w:r>
        <w:rPr>
          <w:rFonts w:hint="eastAsia"/>
        </w:rPr>
        <w:t xml:space="preserve">“迪鸿”</w:t>
      </w:r>
      <w:r>
        <w:t xml:space="preserve"> </w:t>
      </w:r>
      <w:r>
        <w:t xml:space="preserve">— to be officially confirmed by DIAHO.</w:t>
      </w:r>
    </w:p>
    <w:p>
      <w:r>
        <w:pict>
          <v:rect style="width:0;height:1.5pt" o:hralign="center" o:hrstd="t" o:hr="t"/>
        </w:pict>
      </w:r>
    </w:p>
    <w:bookmarkEnd w:id="33"/>
    <w:bookmarkStart w:id="44" w:name="annexes"/>
    <w:p>
      <w:pPr>
        <w:pStyle w:val="Heading2"/>
      </w:pPr>
      <w:r>
        <w:t xml:space="preserve">ANNEXES</w:t>
      </w:r>
    </w:p>
    <w:bookmarkStart w:id="34" w:name="annex-1-initial-products"/>
    <w:p>
      <w:pPr>
        <w:pStyle w:val="Heading3"/>
      </w:pPr>
      <w:r>
        <w:t xml:space="preserve">Annex 1 — Initial Products</w:t>
      </w:r>
    </w:p>
    <w:p>
      <w:pPr>
        <w:pStyle w:val="FirstParagraph"/>
      </w:pPr>
      <w:r>
        <w:rPr>
          <w:b/>
          <w:bCs/>
        </w:rPr>
        <w:t xml:space="preserve">Planned content:</w:t>
      </w:r>
      <w:r>
        <w:t xml:space="preserve"> </w:t>
      </w:r>
      <w:r>
        <w:t xml:space="preserve">list and description of the covered Products (rapid tests for the detection of dog/cat allergies): trade name, reference, actual manufacturer, test principle, target species, allergen panel, sample type, regulatory status.</w:t>
      </w:r>
      <w:r>
        <w:t xml:space="preserve"> </w:t>
      </w:r>
      <w:r>
        <w:rPr>
          <w:b/>
          <w:bCs/>
        </w:rPr>
        <w:t xml:space="preserve">Responsible:</w:t>
      </w:r>
      <w:r>
        <w:t xml:space="preserve"> </w:t>
      </w:r>
      <w:r>
        <w:t xml:space="preserve">DIAHO</w:t>
      </w:r>
      <w:r>
        <w:t xml:space="preserve"> </w:t>
      </w:r>
      <w:r>
        <w:rPr>
          <w:b/>
          <w:bCs/>
        </w:rPr>
        <w:t xml:space="preserve">Status:</w:t>
      </w:r>
      <w:r>
        <w:t xml:space="preserve"> </w:t>
      </w:r>
      <w:r>
        <w:t xml:space="preserve">⬜ To be finalised</w:t>
      </w:r>
    </w:p>
    <w:bookmarkEnd w:id="34"/>
    <w:bookmarkStart w:id="35" w:name="X2a0257a858090479e15f5530c72ef07c3d2e463"/>
    <w:p>
      <w:pPr>
        <w:pStyle w:val="Heading3"/>
      </w:pPr>
      <w:r>
        <w:t xml:space="preserve">Annex 2 — Technical specifications and scientific data</w:t>
      </w:r>
    </w:p>
    <w:p>
      <w:pPr>
        <w:pStyle w:val="FirstParagraph"/>
      </w:pPr>
      <w:r>
        <w:rPr>
          <w:b/>
          <w:bCs/>
        </w:rPr>
        <w:t xml:space="preserve">Planned content:</w:t>
      </w:r>
      <w:r>
        <w:t xml:space="preserve"> </w:t>
      </w:r>
      <w:r>
        <w:t xml:space="preserve">detailed specifications of each Product (composition, measured analyte, sensitivity/specificity, stability, shelf life, storage and transport conditions, incoming acceptance criteria); performance studies, sensitivity/specificity data, comparisons with reference methods, data useful to prescribing veterinarians, clinical validation studies.</w:t>
      </w:r>
      <w:r>
        <w:t xml:space="preserve"> </w:t>
      </w:r>
      <w:r>
        <w:rPr>
          <w:b/>
          <w:bCs/>
        </w:rPr>
        <w:t xml:space="preserve">Responsible:</w:t>
      </w:r>
      <w:r>
        <w:t xml:space="preserve"> </w:t>
      </w:r>
      <w:r>
        <w:t xml:space="preserve">DIAHO</w:t>
      </w:r>
      <w:r>
        <w:t xml:space="preserve"> </w:t>
      </w:r>
      <w:r>
        <w:rPr>
          <w:b/>
          <w:bCs/>
        </w:rPr>
        <w:t xml:space="preserve">Status:</w:t>
      </w:r>
      <w:r>
        <w:t xml:space="preserve"> </w:t>
      </w:r>
      <w:r>
        <w:t xml:space="preserve">⬜ To be finalised</w:t>
      </w:r>
    </w:p>
    <w:bookmarkEnd w:id="35"/>
    <w:bookmarkStart w:id="36" w:name="annex-3-quality-agreement"/>
    <w:p>
      <w:pPr>
        <w:pStyle w:val="Heading3"/>
      </w:pPr>
      <w:r>
        <w:t xml:space="preserve">Annex 3 — Quality Agreement</w:t>
      </w:r>
    </w:p>
    <w:p>
      <w:pPr>
        <w:pStyle w:val="FirstParagraph"/>
      </w:pPr>
      <w:r>
        <w:rPr>
          <w:b/>
          <w:bCs/>
        </w:rPr>
        <w:t xml:space="preserve">Planned content:</w:t>
      </w:r>
      <w:r>
        <w:t xml:space="preserve"> </w:t>
      </w:r>
      <w:r>
        <w:t xml:space="preserve">quality responsibilities of the Parties — roles (Legal Manufacturer / Authorised Representative), batch release, traceability, change control, non-conformances/CAPA, complaints, recalls/FSCA, vigilance, audit, documentation and retention.</w:t>
      </w:r>
      <w:r>
        <w:t xml:space="preserve"> </w:t>
      </w:r>
      <w:r>
        <w:rPr>
          <w:b/>
          <w:bCs/>
        </w:rPr>
        <w:t xml:space="preserve">Responsible:</w:t>
      </w:r>
      <w:r>
        <w:t xml:space="preserve"> </w:t>
      </w:r>
      <w:r>
        <w:t xml:space="preserve">VETALYX + DIAHO</w:t>
      </w:r>
      <w:r>
        <w:t xml:space="preserve"> </w:t>
      </w:r>
      <w:r>
        <w:rPr>
          <w:b/>
          <w:bCs/>
        </w:rPr>
        <w:t xml:space="preserve">Status:</w:t>
      </w:r>
      <w:r>
        <w:t xml:space="preserve"> </w:t>
      </w:r>
      <w:r>
        <w:t xml:space="preserve">⏸️ To be provided after incorporation (existing multi-page document — not required before incorporation)</w:t>
      </w:r>
    </w:p>
    <w:bookmarkEnd w:id="36"/>
    <w:bookmarkStart w:id="37" w:name="annex-4-european-territory"/>
    <w:p>
      <w:pPr>
        <w:pStyle w:val="Heading3"/>
      </w:pPr>
      <w:r>
        <w:t xml:space="preserve">Annex 4 — European Territory</w:t>
      </w:r>
    </w:p>
    <w:p>
      <w:pPr>
        <w:pStyle w:val="FirstParagraph"/>
      </w:pPr>
      <w:r>
        <w:rPr>
          <w:b/>
          <w:bCs/>
        </w:rPr>
        <w:t xml:space="preserve">Planned content:</w:t>
      </w:r>
      <w:r>
        <w:t xml:space="preserve"> </w:t>
      </w:r>
      <w:r>
        <w:t xml:space="preserve">list of covered countries (EU Member States and other European countries), priority countries, countries possibly excluded or to be dealt with separately.</w:t>
      </w:r>
      <w:r>
        <w:t xml:space="preserve"> </w:t>
      </w:r>
      <w:r>
        <w:rPr>
          <w:b/>
          <w:bCs/>
        </w:rPr>
        <w:t xml:space="preserve">Responsible:</w:t>
      </w:r>
      <w:r>
        <w:t xml:space="preserve"> </w:t>
      </w:r>
      <w:r>
        <w:t xml:space="preserve">VETALYX</w:t>
      </w:r>
      <w:r>
        <w:t xml:space="preserve"> </w:t>
      </w:r>
      <w:r>
        <w:rPr>
          <w:b/>
          <w:bCs/>
        </w:rPr>
        <w:t xml:space="preserve">Status:</w:t>
      </w:r>
      <w:r>
        <w:t xml:space="preserve"> </w:t>
      </w:r>
      <w:r>
        <w:t xml:space="preserve">⬜ To be finalised</w:t>
      </w:r>
    </w:p>
    <w:bookmarkEnd w:id="37"/>
    <w:bookmarkStart w:id="38" w:name="annex-5-commercial-terms"/>
    <w:p>
      <w:pPr>
        <w:pStyle w:val="Heading3"/>
      </w:pPr>
      <w:r>
        <w:t xml:space="preserve">Annex 5 — Commercial terms</w:t>
      </w:r>
    </w:p>
    <w:p>
      <w:pPr>
        <w:pStyle w:val="FirstParagraph"/>
      </w:pPr>
      <w:r>
        <w:rPr>
          <w:b/>
          <w:bCs/>
        </w:rPr>
        <w:t xml:space="preserve">Planned content:</w:t>
      </w:r>
      <w:r>
        <w:t xml:space="preserve"> </w:t>
      </w:r>
      <w:r>
        <w:t xml:space="preserve">transfer prices (arm’s length principle), pricing mechanism (review period, indexation), Incoterms, delivery times, payment terms, invoicing schedule of the Assignment (EUR 100,000 + EUR 20,000).</w:t>
      </w:r>
      <w:r>
        <w:t xml:space="preserve"> </w:t>
      </w:r>
      <w:r>
        <w:rPr>
          <w:b/>
          <w:bCs/>
        </w:rPr>
        <w:t xml:space="preserve">Responsible:</w:t>
      </w:r>
      <w:r>
        <w:t xml:space="preserve"> </w:t>
      </w:r>
      <w:r>
        <w:t xml:space="preserve">VETALYX + DIAHO</w:t>
      </w:r>
      <w:r>
        <w:t xml:space="preserve"> </w:t>
      </w:r>
      <w:r>
        <w:rPr>
          <w:b/>
          <w:bCs/>
        </w:rPr>
        <w:t xml:space="preserve">Status:</w:t>
      </w:r>
      <w:r>
        <w:t xml:space="preserve"> </w:t>
      </w:r>
      <w:r>
        <w:t xml:space="preserve">⬜ To be finalised</w:t>
      </w:r>
    </w:p>
    <w:bookmarkEnd w:id="38"/>
    <w:bookmarkStart w:id="39" w:name="Xad63f8a6e9f1622e579c77685d57db3d9c8b794"/>
    <w:p>
      <w:pPr>
        <w:pStyle w:val="Heading3"/>
      </w:pPr>
      <w:r>
        <w:t xml:space="preserve">Annex 6 — EU Authorised Representative mandate</w:t>
      </w:r>
    </w:p>
    <w:p>
      <w:pPr>
        <w:pStyle w:val="FirstParagraph"/>
      </w:pPr>
      <w:r>
        <w:rPr>
          <w:b/>
          <w:bCs/>
        </w:rPr>
        <w:t xml:space="preserve">Planned content:</w:t>
      </w:r>
      <w:r>
        <w:t xml:space="preserve"> </w:t>
      </w:r>
      <w:r>
        <w:t xml:space="preserve">scope of the EU Authorised Representative mandate (representation before the authorities, response to administrative requests, incident and complaint management, recall coordination), DIAHO’s obligations, documentary and signature powers.</w:t>
      </w:r>
      <w:r>
        <w:t xml:space="preserve"> </w:t>
      </w:r>
      <w:r>
        <w:rPr>
          <w:b/>
          <w:bCs/>
        </w:rPr>
        <w:t xml:space="preserve">Responsible:</w:t>
      </w:r>
      <w:r>
        <w:t xml:space="preserve"> </w:t>
      </w:r>
      <w:r>
        <w:t xml:space="preserve">VETALYX</w:t>
      </w:r>
      <w:r>
        <w:t xml:space="preserve"> </w:t>
      </w:r>
      <w:r>
        <w:rPr>
          <w:b/>
          <w:bCs/>
        </w:rPr>
        <w:t xml:space="preserve">Status:</w:t>
      </w:r>
      <w:r>
        <w:t xml:space="preserve"> </w:t>
      </w:r>
      <w:r>
        <w:t xml:space="preserve">⬜ To be finalised</w:t>
      </w:r>
    </w:p>
    <w:bookmarkEnd w:id="39"/>
    <w:bookmarkStart w:id="40" w:name="X1040821ea44da83aca0d7e24226abb735000b4f"/>
    <w:p>
      <w:pPr>
        <w:pStyle w:val="Heading3"/>
      </w:pPr>
      <w:r>
        <w:t xml:space="preserve">Annex 7 — Know-how transfer and industrial localisation</w:t>
      </w:r>
    </w:p>
    <w:p>
      <w:pPr>
        <w:pStyle w:val="FirstParagraph"/>
      </w:pPr>
      <w:r>
        <w:rPr>
          <w:b/>
          <w:bCs/>
        </w:rPr>
        <w:t xml:space="preserve">Planned content:</w:t>
      </w:r>
      <w:r>
        <w:t xml:space="preserve"> </w:t>
      </w:r>
      <w:r>
        <w:t xml:space="preserve">framework for progressive transfer to Europe (assembly, packaging, labelling, quality control, partial or full production), protection of Know-How, indicative timetable, selection of European partners.</w:t>
      </w:r>
      <w:r>
        <w:t xml:space="preserve"> </w:t>
      </w:r>
      <w:r>
        <w:rPr>
          <w:b/>
          <w:bCs/>
        </w:rPr>
        <w:t xml:space="preserve">Responsible:</w:t>
      </w:r>
      <w:r>
        <w:t xml:space="preserve"> </w:t>
      </w:r>
      <w:r>
        <w:t xml:space="preserve">VETALYX + DIAHO</w:t>
      </w:r>
      <w:r>
        <w:t xml:space="preserve"> </w:t>
      </w:r>
      <w:r>
        <w:rPr>
          <w:b/>
          <w:bCs/>
        </w:rPr>
        <w:t xml:space="preserve">Status:</w:t>
      </w:r>
      <w:r>
        <w:t xml:space="preserve"> </w:t>
      </w:r>
      <w:r>
        <w:t xml:space="preserve">⬜ To be finalised</w:t>
      </w:r>
    </w:p>
    <w:bookmarkEnd w:id="40"/>
    <w:bookmarkStart w:id="41" w:name="Xd1a19b0b346994cf3b4deea8660cd228babadb0"/>
    <w:p>
      <w:pPr>
        <w:pStyle w:val="Heading3"/>
      </w:pPr>
      <w:r>
        <w:t xml:space="preserve">Annex 8 — Future Products and right of first refusal</w:t>
      </w:r>
    </w:p>
    <w:p>
      <w:pPr>
        <w:pStyle w:val="FirstParagraph"/>
      </w:pPr>
      <w:r>
        <w:rPr>
          <w:b/>
          <w:bCs/>
        </w:rPr>
        <w:t xml:space="preserve">Planned content:</w:t>
      </w:r>
      <w:r>
        <w:t xml:space="preserve"> </w:t>
      </w:r>
      <w:r>
        <w:t xml:space="preserve">terms of VETALYX’s right of first refusal on Future Products, proposal file, evaluation deadlines, conditions for integration into the Agreement.</w:t>
      </w:r>
      <w:r>
        <w:t xml:space="preserve"> </w:t>
      </w:r>
      <w:r>
        <w:rPr>
          <w:b/>
          <w:bCs/>
        </w:rPr>
        <w:t xml:space="preserve">Responsible:</w:t>
      </w:r>
      <w:r>
        <w:t xml:space="preserve"> </w:t>
      </w:r>
      <w:r>
        <w:t xml:space="preserve">VETALYX</w:t>
      </w:r>
      <w:r>
        <w:t xml:space="preserve"> </w:t>
      </w:r>
      <w:r>
        <w:rPr>
          <w:b/>
          <w:bCs/>
        </w:rPr>
        <w:t xml:space="preserve">Status:</w:t>
      </w:r>
      <w:r>
        <w:t xml:space="preserve"> </w:t>
      </w:r>
      <w:r>
        <w:t xml:space="preserve">⬜ To be finalised</w:t>
      </w:r>
    </w:p>
    <w:bookmarkEnd w:id="41"/>
    <w:bookmarkStart w:id="42" w:name="Xa9f9014bfbf822013c5f69fdd4b7f53662eeb25"/>
    <w:p>
      <w:pPr>
        <w:pStyle w:val="Heading3"/>
      </w:pPr>
      <w:r>
        <w:t xml:space="preserve">Annex 9 — Enhanced confidentiality and non-circumvention</w:t>
      </w:r>
    </w:p>
    <w:p>
      <w:pPr>
        <w:pStyle w:val="FirstParagraph"/>
      </w:pPr>
      <w:r>
        <w:rPr>
          <w:b/>
          <w:bCs/>
        </w:rPr>
        <w:t xml:space="preserve">Planned content:</w:t>
      </w:r>
      <w:r>
        <w:t xml:space="preserve"> </w:t>
      </w:r>
      <w:r>
        <w:t xml:space="preserve">reinforced protection of the customers, prospects, distributors, partners and contacts identified by VETALYX; application to DIAHO’s Affiliates and manufacturers;</w:t>
      </w:r>
      <w:r>
        <w:t xml:space="preserve"> </w:t>
      </w:r>
      <w:r>
        <w:rPr>
          <w:b/>
          <w:bCs/>
        </w:rPr>
        <w:t xml:space="preserve">reciprocal guarantees DIAHO ↔ Zheda Dixun</w:t>
      </w:r>
      <w:r>
        <w:t xml:space="preserve"> </w:t>
      </w:r>
      <w:r>
        <w:t xml:space="preserve">(see Article 21.9); contractual sanctions in the event of breach.</w:t>
      </w:r>
      <w:r>
        <w:t xml:space="preserve"> </w:t>
      </w:r>
      <w:r>
        <w:rPr>
          <w:b/>
          <w:bCs/>
        </w:rPr>
        <w:t xml:space="preserve">Responsible:</w:t>
      </w:r>
      <w:r>
        <w:t xml:space="preserve"> </w:t>
      </w:r>
      <w:r>
        <w:t xml:space="preserve">VETALYX</w:t>
      </w:r>
      <w:r>
        <w:t xml:space="preserve"> </w:t>
      </w:r>
      <w:r>
        <w:rPr>
          <w:b/>
          <w:bCs/>
        </w:rPr>
        <w:t xml:space="preserve">Status:</w:t>
      </w:r>
      <w:r>
        <w:t xml:space="preserve"> </w:t>
      </w:r>
      <w:r>
        <w:t xml:space="preserve">⬜ To be finalised</w:t>
      </w:r>
    </w:p>
    <w:bookmarkEnd w:id="42"/>
    <w:bookmarkStart w:id="43" w:name="Xcdc49f99f58638d4acc7b86acc7ff58117f57be"/>
    <w:p>
      <w:pPr>
        <w:pStyle w:val="Heading3"/>
      </w:pPr>
      <w:r>
        <w:t xml:space="preserve">Annex 10 — Deed of Accession of Zheda Dixun</w:t>
      </w:r>
    </w:p>
    <w:p>
      <w:pPr>
        <w:pStyle w:val="FirstParagraph"/>
      </w:pPr>
      <w:r>
        <w:rPr>
          <w:b/>
          <w:bCs/>
        </w:rPr>
        <w:t xml:space="preserve">Planned content:</w:t>
      </w:r>
      <w:r>
        <w:t xml:space="preserve"> </w:t>
      </w:r>
      <w:r>
        <w:t xml:space="preserve">separate deed by which Zheda Dixun, a Chinese company, shareholder of DIAHO and actual Manufacturer of the Products, declares that it has read the Framework Agreement and its annexes, and</w:t>
      </w:r>
      <w:r>
        <w:t xml:space="preserve"> </w:t>
      </w:r>
      <w:r>
        <w:rPr>
          <w:b/>
          <w:bCs/>
        </w:rPr>
        <w:t xml:space="preserve">expressly adheres</w:t>
      </w:r>
      <w:r>
        <w:t xml:space="preserve"> </w:t>
      </w:r>
      <w:r>
        <w:t xml:space="preserve">to the obligations of Article 21 as well as Articles 8, 9, 12, 13 and 15 and Annex 9, to the extent they concern it. Signature + company seal of Dixun (the company seal constitutes a valid undertaking under Chinese law).</w:t>
      </w:r>
      <w:r>
        <w:t xml:space="preserve"> </w:t>
      </w:r>
      <w:r>
        <w:rPr>
          <w:b/>
          <w:bCs/>
        </w:rPr>
        <w:t xml:space="preserve">Responsible:</w:t>
      </w:r>
      <w:r>
        <w:t xml:space="preserve"> </w:t>
      </w:r>
      <w:r>
        <w:t xml:space="preserve">VETALYX</w:t>
      </w:r>
      <w:r>
        <w:t xml:space="preserve"> </w:t>
      </w:r>
      <w:r>
        <w:rPr>
          <w:b/>
          <w:bCs/>
        </w:rPr>
        <w:t xml:space="preserve">Status:</w:t>
      </w:r>
      <w:r>
        <w:t xml:space="preserve"> </w:t>
      </w:r>
      <w:r>
        <w:t xml:space="preserve">⬜ To be finalised (model to be signed with the Agreement)</w:t>
      </w:r>
    </w:p>
    <w:p>
      <w:r>
        <w:pict>
          <v:rect style="width:0;height:1.5pt" o:hralign="center" o:hrstd="t" o:hr="t"/>
        </w:pict>
      </w:r>
    </w:p>
    <w:bookmarkEnd w:id="43"/>
    <w:bookmarkEnd w:id="44"/>
    <w:bookmarkStart w:id="45" w:name="Xff6257ba9be040ab92772e6de13d72002fda8b3"/>
    <w:p>
      <w:pPr>
        <w:pStyle w:val="Heading2"/>
      </w:pPr>
      <w:r>
        <w:t xml:space="preserve">OPEN POINTS TO BE RESOLVED BEFORE VALIDATION</w:t>
      </w:r>
    </w:p>
    <w:p>
      <w:pPr>
        <w:pStyle w:val="Compact"/>
        <w:numPr>
          <w:ilvl w:val="0"/>
          <w:numId w:val="1010"/>
        </w:numPr>
      </w:pPr>
      <w:r>
        <w:rPr>
          <w:b/>
          <w:bCs/>
        </w:rPr>
        <w:t xml:space="preserve">Chinese name of DIAHO</w:t>
      </w:r>
      <w:r>
        <w:t xml:space="preserve"> </w:t>
      </w:r>
      <w:r>
        <w:t xml:space="preserve">— confirm</w:t>
      </w:r>
      <w:r>
        <w:t xml:space="preserve"> </w:t>
      </w:r>
      <w:r>
        <w:rPr>
          <w:rFonts w:hint="eastAsia"/>
        </w:rPr>
        <w:t xml:space="preserve">“迪亚霍”</w:t>
      </w:r>
      <w:r>
        <w:t xml:space="preserve"> </w:t>
      </w:r>
      <w:r>
        <w:t xml:space="preserve">vs</w:t>
      </w:r>
      <w:r>
        <w:t xml:space="preserve"> </w:t>
      </w:r>
      <w:r>
        <w:rPr>
          <w:rFonts w:hint="eastAsia"/>
        </w:rPr>
        <w:t xml:space="preserve">“迪鸿”</w:t>
      </w:r>
      <w:r>
        <w:t xml:space="preserve">.</w:t>
      </w:r>
    </w:p>
    <w:p>
      <w:pPr>
        <w:pStyle w:val="Compact"/>
        <w:numPr>
          <w:ilvl w:val="0"/>
          <w:numId w:val="1010"/>
        </w:numPr>
      </w:pPr>
      <w:r>
        <w:rPr>
          <w:b/>
          <w:bCs/>
        </w:rPr>
        <w:t xml:space="preserve">Pricing mechanism</w:t>
      </w:r>
      <w:r>
        <w:t xml:space="preserve"> </w:t>
      </w:r>
      <w:r>
        <w:t xml:space="preserve">— validate the review period (12 months) and the indexation index in Annex 5.</w:t>
      </w:r>
    </w:p>
    <w:p>
      <w:pPr>
        <w:pStyle w:val="Compact"/>
        <w:numPr>
          <w:ilvl w:val="0"/>
          <w:numId w:val="1010"/>
        </w:numPr>
      </w:pPr>
      <w:r>
        <w:rPr>
          <w:b/>
          <w:bCs/>
        </w:rPr>
        <w:t xml:space="preserve">Arbitration rules</w:t>
      </w:r>
      <w:r>
        <w:t xml:space="preserve"> </w:t>
      </w:r>
      <w:r>
        <w:t xml:space="preserve">— choose the applicable rules (e.g. ICC / Swiss Rules) and the language (English).</w:t>
      </w:r>
    </w:p>
    <w:p>
      <w:pPr>
        <w:pStyle w:val="Compact"/>
        <w:numPr>
          <w:ilvl w:val="0"/>
          <w:numId w:val="1010"/>
        </w:numPr>
      </w:pPr>
      <w:r>
        <w:rPr>
          <w:b/>
          <w:bCs/>
        </w:rPr>
        <w:t xml:space="preserve">Official English version</w:t>
      </w:r>
      <w:r>
        <w:t xml:space="preserve"> </w:t>
      </w:r>
      <w:r>
        <w:t xml:space="preserve">— this document constitutes it, subject to final validation (see header).</w:t>
      </w:r>
    </w:p>
    <w:p>
      <w:r>
        <w:pict>
          <v:rect style="width:0;height:1.5pt" o:hralign="center" o:hrstd="t" o:hr="t"/>
        </w:pict>
      </w:r>
    </w:p>
    <w:bookmarkEnd w:id="45"/>
    <w:bookmarkStart w:id="46" w:name="references"/>
    <w:p>
      <w:pPr>
        <w:pStyle w:val="Heading2"/>
      </w:pPr>
      <w:r>
        <w:t xml:space="preserve">REFERENCES</w:t>
      </w:r>
    </w:p>
    <w:p>
      <w:pPr>
        <w:pStyle w:val="Compact"/>
        <w:numPr>
          <w:ilvl w:val="0"/>
          <w:numId w:val="1011"/>
        </w:numPr>
      </w:pPr>
      <w:r>
        <w:t xml:space="preserve">French source v4 :</w:t>
      </w:r>
      <w:r>
        <w:t xml:space="preserve"> </w:t>
      </w:r>
      <w:r>
        <w:rPr>
          <w:rStyle w:val="VerbatimChar"/>
        </w:rPr>
        <w:t xml:space="preserve">FF-Contrat-Cadre_VETALYX_DIAHO_Renard_2026-10-05_v4-consolidee.md</w:t>
      </w:r>
    </w:p>
    <w:p>
      <w:pPr>
        <w:pStyle w:val="Compact"/>
        <w:numPr>
          <w:ilvl w:val="0"/>
          <w:numId w:val="1011"/>
        </w:numPr>
      </w:pPr>
      <w:r>
        <w:t xml:space="preserve">Renard’s legal review (Article 21) :</w:t>
      </w:r>
      <w:r>
        <w:t xml:space="preserve"> </w:t>
      </w:r>
      <w:r>
        <w:rPr>
          <w:rStyle w:val="VerbatimChar"/>
        </w:rPr>
        <w:t xml:space="preserve">2026-10-05_renard_relecture-article-21-dixun.md</w:t>
      </w:r>
    </w:p>
    <w:p>
      <w:pPr>
        <w:pStyle w:val="Compact"/>
        <w:numPr>
          <w:ilvl w:val="0"/>
          <w:numId w:val="1011"/>
        </w:numPr>
      </w:pPr>
      <w:r>
        <w:t xml:space="preserve">DIAHO revisions response :</w:t>
      </w:r>
      <w:r>
        <w:t xml:space="preserve"> </w:t>
      </w:r>
      <w:r>
        <w:rPr>
          <w:rStyle w:val="VerbatimChar"/>
        </w:rPr>
        <w:t xml:space="preserve">2026-09-25_reponse-revisions-contrat-cadre-vetalyx-diaho_v2.md</w:t>
      </w:r>
    </w:p>
    <w:p>
      <w:pPr>
        <w:pStyle w:val="Compact"/>
        <w:numPr>
          <w:ilvl w:val="0"/>
          <w:numId w:val="1011"/>
        </w:numPr>
      </w:pPr>
      <w:r>
        <w:t xml:space="preserve">Shareholders’ Agreement :</w:t>
      </w:r>
      <w:r>
        <w:t xml:space="preserve"> </w:t>
      </w:r>
      <w:r>
        <w:rPr>
          <w:rStyle w:val="VerbatimChar"/>
        </w:rPr>
        <w:t xml:space="preserve">legal/pacte-actionnaires-vetalyx-v2.md</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2026-10-06T13:21:25Z</dcterms:created>
  <dcterms:modified xsi:type="dcterms:W3CDTF">2026-10-06T13:21:25Z</dcterms:modified>
</cp:coreProperties>
</file>

<file path=docProps/custom.xml><?xml version="1.0" encoding="utf-8"?>
<Properties xmlns="http://schemas.openxmlformats.org/officeDocument/2006/custom-properties" xmlns:vt="http://schemas.openxmlformats.org/officeDocument/2006/docPropsVTypes"/>
</file>