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ntrat-cadre-de-partenariat-stratégique"/>
    <w:p>
      <w:pPr>
        <w:pStyle w:val="Heading1"/>
      </w:pPr>
      <w:r>
        <w:t xml:space="preserve">CONTRAT-CADRE DE PARTENARIAT STRATÉGIQUE</w:t>
      </w:r>
    </w:p>
    <w:bookmarkStart w:id="9" w:name="Xfd5a4a40d75337153f4db5ff05ef4a788344e59"/>
    <w:p>
      <w:pPr>
        <w:pStyle w:val="Heading2"/>
      </w:pPr>
      <w:r>
        <w:t xml:space="preserve">Distribution Exclusive, Représentation Réglementaire, Localisation Industrielle et Mission de Préparation Stratégique à l’Implantation Européenne</w:t>
      </w:r>
    </w:p>
    <w:p>
      <w:pPr>
        <w:pStyle w:val="BlockText"/>
      </w:pPr>
      <w:r>
        <w:rPr>
          <w:b/>
          <w:bCs/>
        </w:rPr>
        <w:t xml:space="preserve">Objet de la v4 :</w:t>
      </w:r>
      <w:r>
        <w:t xml:space="preserve"> </w:t>
      </w:r>
      <w:r>
        <w:t xml:space="preserve">consolidation sans contradictions du socle bilingue droit belge (Renard v3) avec les positions de la réponse aux révisions DIAHO (25/09) et les arbitrages JC du 01/10 et 05/10.</w:t>
      </w:r>
      <w:r>
        <w:t xml:space="preserve"> </w:t>
      </w:r>
      <w:r>
        <w:rPr>
          <w:b/>
          <w:bCs/>
        </w:rPr>
        <w:t xml:space="preserve">Langue de travail du présent document :</w:t>
      </w:r>
      <w:r>
        <w:t xml:space="preserve"> </w:t>
      </w:r>
      <w:r>
        <w:t xml:space="preserve">français (socle Renard). La version officielle sera produite en anglais après validation (voir Article 19).</w:t>
      </w:r>
      <w:r>
        <w:t xml:space="preserve"> </w:t>
      </w:r>
      <w:r>
        <w:rPr>
          <w:b/>
          <w:bCs/>
        </w:rPr>
        <w:t xml:space="preserve">Statut :</w:t>
      </w:r>
      <w:r>
        <w:t xml:space="preserve"> </w:t>
      </w:r>
      <w:r>
        <w:t xml:space="preserve">FF — à faire relire par Renard 🦊 / Alain Bosseloir, puis traduction EN officielle (Jade 🦩).</w:t>
      </w:r>
      <w:r>
        <w:t xml:space="preserve"> </w:t>
      </w:r>
      <w:r>
        <w:rPr>
          <w:b/>
          <w:bCs/>
        </w:rPr>
        <w:t xml:space="preserve">Date :</w:t>
      </w:r>
      <w:r>
        <w:t xml:space="preserve"> </w:t>
      </w:r>
      <w:r>
        <w:t xml:space="preserve">2026-10-05</w:t>
      </w:r>
    </w:p>
    <w:p>
      <w:r>
        <w:pict>
          <v:rect style="width:0;height:1.5pt" o:hralign="center" o:hrstd="t" o:hr="t"/>
        </w:pict>
      </w:r>
    </w:p>
    <w:bookmarkEnd w:id="9"/>
    <w:bookmarkStart w:id="10" w:name="entre-les-soussignés"/>
    <w:p>
      <w:pPr>
        <w:pStyle w:val="Heading2"/>
      </w:pPr>
      <w:r>
        <w:t xml:space="preserve">ENTRE LES SOUSSIGNÉS</w:t>
      </w:r>
    </w:p>
    <w:p>
      <w:pPr>
        <w:pStyle w:val="FirstParagraph"/>
      </w:pPr>
      <w:r>
        <w:rPr>
          <w:b/>
          <w:bCs/>
        </w:rPr>
        <w:t xml:space="preserve">VETALYX</w:t>
      </w:r>
      <w:r>
        <w:t xml:space="preserve">, société à responsabilité limitée (SRL/BV) de droit belge, dont le siège social est établi à [ADRESSE], immatriculée sous le numéro [NUMÉRO BCE], représentée par Jean-Christophe HAVAUX, Fondateur, dûment habilité aux fins des présentes,</w:t>
      </w:r>
    </w:p>
    <w:p>
      <w:pPr>
        <w:pStyle w:val="BodyText"/>
      </w:pPr>
      <w:r>
        <w:t xml:space="preserve">Ci-après désignée «</w:t>
      </w:r>
      <w:r>
        <w:t xml:space="preserve"> </w:t>
      </w:r>
      <w:r>
        <w:rPr>
          <w:b/>
          <w:bCs/>
        </w:rPr>
        <w:t xml:space="preserve">VETALYX</w:t>
      </w:r>
      <w:r>
        <w:t xml:space="preserve"> </w:t>
      </w:r>
      <w:r>
        <w:t xml:space="preserve">» ou l’«</w:t>
      </w:r>
      <w:r>
        <w:t xml:space="preserve"> </w:t>
      </w:r>
      <w:r>
        <w:rPr>
          <w:b/>
          <w:bCs/>
        </w:rPr>
        <w:t xml:space="preserve">Opérateur Stratégique</w:t>
      </w:r>
      <w:r>
        <w:t xml:space="preserve"> </w:t>
      </w:r>
      <w:r>
        <w:t xml:space="preserve">»,</w:t>
      </w:r>
    </w:p>
    <w:p>
      <w:pPr>
        <w:pStyle w:val="BodyText"/>
      </w:pPr>
      <w:r>
        <w:rPr>
          <w:b/>
          <w:bCs/>
        </w:rPr>
        <w:t xml:space="preserve">D’UNE PART,</w:t>
      </w:r>
    </w:p>
    <w:p>
      <w:pPr>
        <w:pStyle w:val="BodyText"/>
      </w:pPr>
      <w:r>
        <w:rPr>
          <w:b/>
          <w:bCs/>
        </w:rPr>
        <w:t xml:space="preserve">ET</w:t>
      </w:r>
    </w:p>
    <w:p>
      <w:pPr>
        <w:pStyle w:val="BodyText"/>
      </w:pPr>
      <w:r>
        <w:rPr>
          <w:b/>
          <w:bCs/>
        </w:rPr>
        <w:t xml:space="preserve">DIAHO</w:t>
      </w:r>
      <w:r>
        <w:t xml:space="preserve">, société de droit chinois [X], dont le siège social est sis [X], immatriculée sous le numéro </w:t>
      </w:r>
      <w:r>
        <w:rPr>
          <w:rFonts w:hint="eastAsia"/>
        </w:rPr>
        <w:t xml:space="preserve">[统一社会信用代码],</w:t>
      </w:r>
      <w:r>
        <w:t xml:space="preserve"> représentée par [X], en sa qualité de [X], dûment habilité(e) à cet effet,</w:t>
      </w:r>
    </w:p>
    <w:p>
      <w:pPr>
        <w:pStyle w:val="BodyText"/>
      </w:pPr>
      <w:r>
        <w:t xml:space="preserve">Ci-après désignée «</w:t>
      </w:r>
      <w:r>
        <w:t xml:space="preserve"> </w:t>
      </w:r>
      <w:r>
        <w:rPr>
          <w:b/>
          <w:bCs/>
        </w:rPr>
        <w:t xml:space="preserve">DIAHO</w:t>
      </w:r>
      <w:r>
        <w:t xml:space="preserve"> </w:t>
      </w:r>
      <w:r>
        <w:t xml:space="preserve">» ou le «</w:t>
      </w:r>
      <w:r>
        <w:t xml:space="preserve"> </w:t>
      </w:r>
      <w:r>
        <w:rPr>
          <w:b/>
          <w:bCs/>
        </w:rPr>
        <w:t xml:space="preserve">Partenaire Industriel Chinois</w:t>
      </w:r>
      <w:r>
        <w:t xml:space="preserve"> </w:t>
      </w:r>
      <w:r>
        <w:t xml:space="preserve">»,</w:t>
      </w:r>
    </w:p>
    <w:p>
      <w:pPr>
        <w:pStyle w:val="BodyText"/>
      </w:pPr>
      <w:r>
        <w:rPr>
          <w:b/>
          <w:bCs/>
        </w:rPr>
        <w:t xml:space="preserve">D’AUTRE PART,</w:t>
      </w:r>
    </w:p>
    <w:p>
      <w:pPr>
        <w:pStyle w:val="BodyText"/>
      </w:pPr>
      <w:r>
        <w:t xml:space="preserve">VETALYX et DIAHO étant ci-après désignées individuellement une «</w:t>
      </w:r>
      <w:r>
        <w:t xml:space="preserve"> </w:t>
      </w:r>
      <w:r>
        <w:rPr>
          <w:b/>
          <w:bCs/>
        </w:rPr>
        <w:t xml:space="preserve">Partie</w:t>
      </w:r>
      <w:r>
        <w:t xml:space="preserve"> </w:t>
      </w:r>
      <w:r>
        <w:t xml:space="preserve">» et collectivement les «</w:t>
      </w:r>
      <w:r>
        <w:t xml:space="preserve"> </w:t>
      </w:r>
      <w:r>
        <w:rPr>
          <w:b/>
          <w:bCs/>
        </w:rPr>
        <w:t xml:space="preserve">Parties</w:t>
      </w:r>
      <w:r>
        <w:t xml:space="preserve"> </w:t>
      </w:r>
      <w:r>
        <w:t xml:space="preserve">».</w:t>
      </w:r>
    </w:p>
    <w:p>
      <w:pPr>
        <w:pStyle w:val="BlockText"/>
      </w:pPr>
      <w:r>
        <w:rPr>
          <w:b/>
          <w:bCs/>
        </w:rPr>
        <w:t xml:space="preserve">Signataire — engagements spécifiques :</w:t>
      </w:r>
      <w:r>
        <w:t xml:space="preserve"> </w:t>
      </w:r>
      <w:r>
        <w:rPr>
          <w:b/>
          <w:bCs/>
        </w:rPr>
        <w:t xml:space="preserve">ZHEDA DIXUN</w:t>
      </w:r>
      <w:r>
        <w:t xml:space="preserve">, société chinoise actionnaire de DIAHO et</w:t>
      </w:r>
      <w:r>
        <w:t xml:space="preserve"> </w:t>
      </w:r>
      <w:r>
        <w:rPr>
          <w:b/>
          <w:bCs/>
        </w:rPr>
        <w:t xml:space="preserve">Fabricant effectif</w:t>
      </w:r>
      <w:r>
        <w:t xml:space="preserve"> </w:t>
      </w:r>
      <w:r>
        <w:t xml:space="preserve">des Produits, signe les présentes pour assumer directement, envers VETALYX et DIAHO, les engagements définis à l’</w:t>
      </w:r>
      <w:r>
        <w:rPr>
          <w:b/>
          <w:bCs/>
        </w:rPr>
        <w:t xml:space="preserve">Article 21</w:t>
      </w:r>
      <w:r>
        <w:t xml:space="preserve">.</w:t>
      </w:r>
    </w:p>
    <w:p>
      <w:r>
        <w:pict>
          <v:rect style="width:0;height:1.5pt" o:hralign="center" o:hrstd="t" o:hr="t"/>
        </w:pict>
      </w:r>
    </w:p>
    <w:bookmarkEnd w:id="10"/>
    <w:bookmarkStart w:id="11" w:name="préambule"/>
    <w:p>
      <w:pPr>
        <w:pStyle w:val="Heading2"/>
      </w:pPr>
      <w:r>
        <w:t xml:space="preserve">PRÉAMBULE</w:t>
      </w:r>
    </w:p>
    <w:p>
      <w:pPr>
        <w:pStyle w:val="FirstParagraph"/>
      </w:pPr>
      <w:r>
        <w:rPr>
          <w:b/>
          <w:bCs/>
        </w:rPr>
        <w:t xml:space="preserve">A.</w:t>
      </w:r>
      <w:r>
        <w:t xml:space="preserve"> </w:t>
      </w:r>
      <w:r>
        <w:t xml:space="preserve">DIAHO est une société chinoise qui fédère, coordonne et représente les produits de quatre partenaires industriels chinois — Zheda Dixun (partenaire principal), Hangzhou Darui (lecteur DX-Reader), Gangzhu et Zhunxin — dans le domaine du diagnostic vétérinaire, notamment des tests rapides destinés à la détection des allergies chez les chiens et les chats.</w:t>
      </w:r>
    </w:p>
    <w:p>
      <w:pPr>
        <w:pStyle w:val="BodyText"/>
      </w:pPr>
      <w:r>
        <w:rPr>
          <w:b/>
          <w:bCs/>
        </w:rPr>
        <w:t xml:space="preserve">B.</w:t>
      </w:r>
      <w:r>
        <w:t xml:space="preserve"> </w:t>
      </w:r>
      <w:r>
        <w:t xml:space="preserve">VETALYX dispose d’une expertise commerciale, scientifique, réglementaire et stratégique dans le domaine du diagnostic et souhaite développer sur le marché européen un réseau de distribution, de représentation réglementaire, d’enregistrement, de promotion et, le cas échéant, de localisation industrielle des produits fédérés par DIAHO.</w:t>
      </w:r>
    </w:p>
    <w:p>
      <w:pPr>
        <w:pStyle w:val="BodyText"/>
      </w:pPr>
      <w:r>
        <w:rPr>
          <w:b/>
          <w:bCs/>
        </w:rPr>
        <w:t xml:space="preserve">C.</w:t>
      </w:r>
      <w:r>
        <w:t xml:space="preserve"> </w:t>
      </w:r>
      <w:r>
        <w:rPr>
          <w:b/>
          <w:bCs/>
        </w:rPr>
        <w:t xml:space="preserve">Mission de préparation stratégique.</w:t>
      </w:r>
      <w:r>
        <w:t xml:space="preserve"> </w:t>
      </w:r>
      <w:r>
        <w:t xml:space="preserve">VETALYX exécute, à la demande de DIAHO, une mission de préparation stratégique relative à l’implantation en Europe d’activités technico-commerciales de sociétés chinoises dans le domaine du diagnostic, portant en priorité sur DIAHO et ses partenaires, mais également ouverte à d’autres sociétés chinoises candidates. Cette mission est distincte de la relation de distribution et fait l’objet d’une rémunération spécifique (Article 6).</w:t>
      </w:r>
    </w:p>
    <w:p>
      <w:pPr>
        <w:pStyle w:val="BodyText"/>
      </w:pPr>
      <w:r>
        <w:rPr>
          <w:b/>
          <w:bCs/>
        </w:rPr>
        <w:t xml:space="preserve">D.</w:t>
      </w:r>
      <w:r>
        <w:t xml:space="preserve"> </w:t>
      </w:r>
      <w:r>
        <w:t xml:space="preserve">DIAHO garantit détenir les droits, autorisations, licences et mandats nécessaires de ses quatre partenaires chinois pour accorder à VETALYX l’exclusivité territoriale, les droits de distribution, de représentation réglementaire et de localisation industrielle prévus au présent Contrat. DIAHO sera seule responsable envers VETALYX de tout manquement d’un partenaire chinois à ses obligations, sans préjudice des engagements directs de Zheda Dixun au titre de l’Article 21.</w:t>
      </w:r>
    </w:p>
    <w:p>
      <w:pPr>
        <w:pStyle w:val="BodyText"/>
      </w:pPr>
      <w:r>
        <w:rPr>
          <w:b/>
          <w:bCs/>
        </w:rPr>
        <w:t xml:space="preserve">E.</w:t>
      </w:r>
      <w:r>
        <w:t xml:space="preserve"> </w:t>
      </w:r>
      <w:r>
        <w:rPr>
          <w:b/>
          <w:bCs/>
        </w:rPr>
        <w:t xml:space="preserve">Participation de DIAHO au capital.</w:t>
      </w:r>
      <w:r>
        <w:t xml:space="preserve"> </w:t>
      </w:r>
      <w:r>
        <w:t xml:space="preserve">Les Parties conviennent que DIAHO entre au capital de VETALYX en qualité d’</w:t>
      </w:r>
      <w:r>
        <w:rPr>
          <w:b/>
          <w:bCs/>
        </w:rPr>
        <w:t xml:space="preserve">actionnaire fondateur à hauteur de quarante pour cent (40 %) dès la constitution</w:t>
      </w:r>
      <w:r>
        <w:t xml:space="preserve"> </w:t>
      </w:r>
      <w:r>
        <w:t xml:space="preserve">de la société, en contrepartie d’un</w:t>
      </w:r>
      <w:r>
        <w:t xml:space="preserve"> </w:t>
      </w:r>
      <w:r>
        <w:rPr>
          <w:b/>
          <w:bCs/>
        </w:rPr>
        <w:t xml:space="preserve">apport en espèces de mille six cents euros (1 600 €)</w:t>
      </w:r>
      <w:r>
        <w:t xml:space="preserve"> </w:t>
      </w:r>
      <w:r>
        <w:t xml:space="preserve">sur un capital souscrit de dix mille euros (10 000 €), dont quatre mille euros (4 000 €) libérés à la constitution. Les modalités de gouvernance, d’anti-dilution, de sortie et de libération du solde font l’objet d’un</w:t>
      </w:r>
      <w:r>
        <w:t xml:space="preserve"> </w:t>
      </w:r>
      <w:r>
        <w:rPr>
          <w:b/>
          <w:bCs/>
        </w:rPr>
        <w:t xml:space="preserve">Pacte d’Actionnaires</w:t>
      </w:r>
      <w:r>
        <w:t xml:space="preserve"> </w:t>
      </w:r>
      <w:r>
        <w:t xml:space="preserve">distinct, qui prévaut pour toutes les questions de capital.</w:t>
      </w:r>
    </w:p>
    <w:p>
      <w:pPr>
        <w:pStyle w:val="BodyText"/>
      </w:pPr>
      <w:r>
        <w:rPr>
          <w:b/>
          <w:bCs/>
        </w:rPr>
        <w:t xml:space="preserve">F.</w:t>
      </w:r>
      <w:r>
        <w:t xml:space="preserve"> </w:t>
      </w:r>
      <w:r>
        <w:rPr>
          <w:b/>
          <w:bCs/>
        </w:rPr>
        <w:t xml:space="preserve">Qualification des relations.</w:t>
      </w:r>
      <w:r>
        <w:t xml:space="preserve"> </w:t>
      </w:r>
      <w:r>
        <w:t xml:space="preserve">Les Parties reconnaissent expressément que DIAHO est à la fois (i) client de la mission de préparation stratégique, (ii) fournisseur des Produits et (iii) actionnaire fondateur de VETALYX. Cette triple relation relève du régime belge des</w:t>
      </w:r>
      <w:r>
        <w:t xml:space="preserve"> </w:t>
      </w:r>
      <w:r>
        <w:rPr>
          <w:b/>
          <w:bCs/>
        </w:rPr>
        <w:t xml:space="preserve">conflits d’intérêts</w:t>
      </w:r>
      <w:r>
        <w:t xml:space="preserve"> </w:t>
      </w:r>
      <w:r>
        <w:t xml:space="preserve">(Article 5:76 et suivants CSA) et impose le respect du principe de pleine concurrence (Article 16).</w:t>
      </w:r>
    </w:p>
    <w:p>
      <w:pPr>
        <w:pStyle w:val="BodyText"/>
      </w:pPr>
      <w:r>
        <w:t xml:space="preserve">Il est convenu ce qui suit.</w:t>
      </w:r>
    </w:p>
    <w:p>
      <w:r>
        <w:pict>
          <v:rect style="width:0;height:1.5pt" o:hralign="center" o:hrstd="t" o:hr="t"/>
        </w:pict>
      </w:r>
    </w:p>
    <w:bookmarkEnd w:id="11"/>
    <w:bookmarkStart w:id="12" w:name="article-1-définitions"/>
    <w:p>
      <w:pPr>
        <w:pStyle w:val="Heading2"/>
      </w:pPr>
      <w:r>
        <w:t xml:space="preserve">Article 1 — Définitions</w:t>
      </w:r>
    </w:p>
    <w:p>
      <w:pPr>
        <w:pStyle w:val="Compact"/>
        <w:numPr>
          <w:ilvl w:val="0"/>
          <w:numId w:val="1001"/>
        </w:numPr>
      </w:pPr>
      <w:r>
        <w:rPr>
          <w:b/>
          <w:bCs/>
        </w:rPr>
        <w:t xml:space="preserve">« Produits »</w:t>
      </w:r>
      <w:r>
        <w:t xml:space="preserve"> </w:t>
      </w:r>
      <w:r>
        <w:t xml:space="preserve">: les produits de diagnostic vétérinaire fédérés par DIAHO, notamment les tests rapides de détection des allergies chez le chien et le chat (Annexe 1).</w:t>
      </w:r>
    </w:p>
    <w:p>
      <w:pPr>
        <w:pStyle w:val="Compact"/>
        <w:numPr>
          <w:ilvl w:val="0"/>
          <w:numId w:val="1001"/>
        </w:numPr>
      </w:pPr>
      <w:r>
        <w:rPr>
          <w:b/>
          <w:bCs/>
        </w:rPr>
        <w:t xml:space="preserve">« Produits Initiaux »</w:t>
      </w:r>
      <w:r>
        <w:t xml:space="preserve"> </w:t>
      </w:r>
      <w:r>
        <w:t xml:space="preserve">: les premiers produits décrits en Annexe 1.</w:t>
      </w:r>
    </w:p>
    <w:p>
      <w:pPr>
        <w:pStyle w:val="Compact"/>
        <w:numPr>
          <w:ilvl w:val="0"/>
          <w:numId w:val="1001"/>
        </w:numPr>
      </w:pPr>
      <w:r>
        <w:rPr>
          <w:b/>
          <w:bCs/>
        </w:rPr>
        <w:t xml:space="preserve">« Produits Futurs »</w:t>
      </w:r>
      <w:r>
        <w:t xml:space="preserve"> </w:t>
      </w:r>
      <w:r>
        <w:t xml:space="preserve">: tout produit de diagnostic vétérinaire nouveau ou amélioré, développé par DIAHO, ses Sociétés Liées ou ses partenaires chinois après la date de signature du présent Contrat, relevant du droit de premier refus de VETALYX (Annexe 8).</w:t>
      </w:r>
    </w:p>
    <w:p>
      <w:pPr>
        <w:pStyle w:val="Compact"/>
        <w:numPr>
          <w:ilvl w:val="0"/>
          <w:numId w:val="1001"/>
        </w:numPr>
      </w:pPr>
      <w:r>
        <w:rPr>
          <w:b/>
          <w:bCs/>
        </w:rPr>
        <w:t xml:space="preserve">« Territoire »</w:t>
      </w:r>
      <w:r>
        <w:t xml:space="preserve"> </w:t>
      </w:r>
      <w:r>
        <w:t xml:space="preserve">: le continent européen, incluant l’Union européenne et les autres pays européens (Annexe 4).</w:t>
      </w:r>
    </w:p>
    <w:p>
      <w:pPr>
        <w:pStyle w:val="Compact"/>
        <w:numPr>
          <w:ilvl w:val="0"/>
          <w:numId w:val="1001"/>
        </w:numPr>
      </w:pPr>
      <w:r>
        <w:rPr>
          <w:b/>
          <w:bCs/>
        </w:rPr>
        <w:t xml:space="preserve">« Dossiers Réglementaires »</w:t>
      </w:r>
      <w:r>
        <w:t xml:space="preserve"> </w:t>
      </w:r>
      <w:r>
        <w:t xml:space="preserve">: l’ensemble des dossiers, enregistrements et autorisations constitués par VETALYX.</w:t>
      </w:r>
    </w:p>
    <w:p>
      <w:pPr>
        <w:pStyle w:val="Compact"/>
        <w:numPr>
          <w:ilvl w:val="0"/>
          <w:numId w:val="1001"/>
        </w:numPr>
      </w:pPr>
      <w:r>
        <w:rPr>
          <w:b/>
          <w:bCs/>
        </w:rPr>
        <w:t xml:space="preserve">« Savoir-Faire »</w:t>
      </w:r>
      <w:r>
        <w:t xml:space="preserve"> </w:t>
      </w:r>
      <w:r>
        <w:t xml:space="preserve">: l’ensemble des connaissances techniques, industrielles et réglementaires relatives aux Produits.</w:t>
      </w:r>
    </w:p>
    <w:p>
      <w:pPr>
        <w:pStyle w:val="Compact"/>
        <w:numPr>
          <w:ilvl w:val="0"/>
          <w:numId w:val="1001"/>
        </w:numPr>
      </w:pPr>
      <w:r>
        <w:rPr>
          <w:b/>
          <w:bCs/>
        </w:rPr>
        <w:t xml:space="preserve">« Quality Agreement »</w:t>
      </w:r>
      <w:r>
        <w:t xml:space="preserve"> </w:t>
      </w:r>
      <w:r>
        <w:t xml:space="preserve">: l’accord qualité conclu entre les Parties (Annexe 3), détaillant les responsabilités qualité, la libération des lots, la traçabilité et le change control.</w:t>
      </w:r>
    </w:p>
    <w:p>
      <w:pPr>
        <w:pStyle w:val="Compact"/>
        <w:numPr>
          <w:ilvl w:val="0"/>
          <w:numId w:val="1001"/>
        </w:numPr>
      </w:pPr>
      <w:r>
        <w:rPr>
          <w:b/>
          <w:bCs/>
        </w:rPr>
        <w:t xml:space="preserve">« Mission »</w:t>
      </w:r>
      <w:r>
        <w:t xml:space="preserve"> </w:t>
      </w:r>
      <w:r>
        <w:t xml:space="preserve">: la mission de préparation stratégique définie à l’Article 6.</w:t>
      </w:r>
    </w:p>
    <w:p>
      <w:pPr>
        <w:pStyle w:val="Compact"/>
        <w:numPr>
          <w:ilvl w:val="0"/>
          <w:numId w:val="1001"/>
        </w:numPr>
      </w:pPr>
      <w:r>
        <w:rPr>
          <w:b/>
          <w:bCs/>
        </w:rPr>
        <w:t xml:space="preserve">« Société(s) Liée(s) »</w:t>
      </w:r>
      <w:r>
        <w:t xml:space="preserve"> </w:t>
      </w:r>
      <w:r>
        <w:t xml:space="preserve">: toute société contrôlant, contrôlée par, ou sous contrôle commun avec une Partie, ainsi que les fabricants et partenaires industriels fédérés par DIAHO — en particulier</w:t>
      </w:r>
      <w:r>
        <w:t xml:space="preserve"> </w:t>
      </w:r>
      <w:r>
        <w:rPr>
          <w:b/>
          <w:bCs/>
        </w:rPr>
        <w:t xml:space="preserve">Zheda Dixun</w:t>
      </w:r>
      <w:r>
        <w:t xml:space="preserve">, actionnaire de DIAHO.</w:t>
      </w:r>
    </w:p>
    <w:p>
      <w:pPr>
        <w:pStyle w:val="Compact"/>
        <w:numPr>
          <w:ilvl w:val="0"/>
          <w:numId w:val="1001"/>
        </w:numPr>
      </w:pPr>
      <w:r>
        <w:rPr>
          <w:b/>
          <w:bCs/>
        </w:rPr>
        <w:t xml:space="preserve">« Fabricant »</w:t>
      </w:r>
      <w:r>
        <w:t xml:space="preserve"> </w:t>
      </w:r>
      <w:r>
        <w:t xml:space="preserve">: le fabricant effectif des Produits, à savoir</w:t>
      </w:r>
      <w:r>
        <w:t xml:space="preserve"> </w:t>
      </w:r>
      <w:r>
        <w:rPr>
          <w:b/>
          <w:bCs/>
        </w:rPr>
        <w:t xml:space="preserve">Zheda Dixun</w:t>
      </w:r>
      <w:r>
        <w:t xml:space="preserve"> </w:t>
      </w:r>
      <w:r>
        <w:t xml:space="preserve">pour les Produits Initiaux (ou tout fabricant substitué ou ajouté avec l’accord écrit de VETALYX), tenu des engagements de l’Article 21.</w:t>
      </w:r>
    </w:p>
    <w:p>
      <w:pPr>
        <w:pStyle w:val="Compact"/>
        <w:numPr>
          <w:ilvl w:val="0"/>
          <w:numId w:val="1001"/>
        </w:numPr>
      </w:pPr>
      <w:r>
        <w:rPr>
          <w:b/>
          <w:bCs/>
        </w:rPr>
        <w:t xml:space="preserve">« Représentant Autorisé Européen »</w:t>
      </w:r>
      <w:r>
        <w:t xml:space="preserve"> </w:t>
      </w:r>
      <w:r>
        <w:t xml:space="preserve">: la personne morale établie dans l’Union européenne mandatée par le fabricant pour accomplir les tâches imposées par la réglementation applicable, mandat assumé par VETALYX (Article 8, Annexe 6).</w:t>
      </w:r>
    </w:p>
    <w:p>
      <w:pPr>
        <w:pStyle w:val="Compact"/>
        <w:numPr>
          <w:ilvl w:val="0"/>
          <w:numId w:val="1001"/>
        </w:numPr>
      </w:pPr>
      <w:r>
        <w:rPr>
          <w:b/>
          <w:bCs/>
        </w:rPr>
        <w:t xml:space="preserve">« Client »</w:t>
      </w:r>
      <w:r>
        <w:t xml:space="preserve"> </w:t>
      </w:r>
      <w:r>
        <w:t xml:space="preserve">: tout utilisateur final (clinique vétérinaire, laboratoire, distributeur) établi sur le Territoire, en relation commerciale avec VETALYX pour les Produits.</w:t>
      </w:r>
    </w:p>
    <w:p>
      <w:pPr>
        <w:pStyle w:val="Compact"/>
        <w:numPr>
          <w:ilvl w:val="0"/>
          <w:numId w:val="1001"/>
        </w:numPr>
      </w:pPr>
      <w:r>
        <w:rPr>
          <w:b/>
          <w:bCs/>
        </w:rPr>
        <w:t xml:space="preserve">« Contrat »</w:t>
      </w:r>
      <w:r>
        <w:t xml:space="preserve"> </w:t>
      </w:r>
      <w:r>
        <w:t xml:space="preserve">: le présent contrat-cadre et l’ensemble de ses annexes.</w:t>
      </w:r>
    </w:p>
    <w:p>
      <w:r>
        <w:pict>
          <v:rect style="width:0;height:1.5pt" o:hralign="center" o:hrstd="t" o:hr="t"/>
        </w:pict>
      </w:r>
    </w:p>
    <w:bookmarkEnd w:id="12"/>
    <w:bookmarkStart w:id="13" w:name="article-2-objet"/>
    <w:p>
      <w:pPr>
        <w:pStyle w:val="Heading2"/>
      </w:pPr>
      <w:r>
        <w:t xml:space="preserve">Article 2 — Objet</w:t>
      </w:r>
    </w:p>
    <w:p>
      <w:pPr>
        <w:pStyle w:val="FirstParagraph"/>
      </w:pPr>
      <w:r>
        <w:t xml:space="preserve">Le présent Contrat a pour objet de définir :</w:t>
      </w:r>
    </w:p>
    <w:p>
      <w:pPr>
        <w:pStyle w:val="Compact"/>
        <w:numPr>
          <w:ilvl w:val="0"/>
          <w:numId w:val="1002"/>
        </w:numPr>
      </w:pPr>
      <w:r>
        <w:t xml:space="preserve">la</w:t>
      </w:r>
      <w:r>
        <w:t xml:space="preserve"> </w:t>
      </w:r>
      <w:r>
        <w:rPr>
          <w:b/>
          <w:bCs/>
        </w:rPr>
        <w:t xml:space="preserve">Mission de préparation stratégique</w:t>
      </w:r>
      <w:r>
        <w:t xml:space="preserve"> </w:t>
      </w:r>
      <w:r>
        <w:t xml:space="preserve">confiée par DIAHO à VETALYX (Article 6) ;</w:t>
      </w:r>
    </w:p>
    <w:p>
      <w:pPr>
        <w:pStyle w:val="Compact"/>
        <w:numPr>
          <w:ilvl w:val="0"/>
          <w:numId w:val="1002"/>
        </w:numPr>
      </w:pPr>
      <w:r>
        <w:t xml:space="preserve">l’</w:t>
      </w:r>
      <w:r>
        <w:rPr>
          <w:b/>
          <w:bCs/>
        </w:rPr>
        <w:t xml:space="preserve">exclusivité territoriale</w:t>
      </w:r>
      <w:r>
        <w:t xml:space="preserve"> </w:t>
      </w:r>
      <w:r>
        <w:t xml:space="preserve">de distribution, de promotion et d’enregistrement des Produits (Article 3) ;</w:t>
      </w:r>
    </w:p>
    <w:p>
      <w:pPr>
        <w:pStyle w:val="Compact"/>
        <w:numPr>
          <w:ilvl w:val="0"/>
          <w:numId w:val="1002"/>
        </w:numPr>
      </w:pPr>
      <w:r>
        <w:t xml:space="preserve">le</w:t>
      </w:r>
      <w:r>
        <w:t xml:space="preserve"> </w:t>
      </w:r>
      <w:r>
        <w:rPr>
          <w:b/>
          <w:bCs/>
        </w:rPr>
        <w:t xml:space="preserve">mandat de Représentant Autorisé Européen</w:t>
      </w:r>
      <w:r>
        <w:t xml:space="preserve"> </w:t>
      </w:r>
      <w:r>
        <w:t xml:space="preserve">(Article 8) ;</w:t>
      </w:r>
    </w:p>
    <w:p>
      <w:pPr>
        <w:pStyle w:val="Compact"/>
        <w:numPr>
          <w:ilvl w:val="0"/>
          <w:numId w:val="1002"/>
        </w:numPr>
      </w:pPr>
      <w:r>
        <w:t xml:space="preserve">l’</w:t>
      </w:r>
      <w:r>
        <w:rPr>
          <w:b/>
          <w:bCs/>
        </w:rPr>
        <w:t xml:space="preserve">option de localisation industrielle</w:t>
      </w:r>
      <w:r>
        <w:t xml:space="preserve"> </w:t>
      </w:r>
      <w:r>
        <w:t xml:space="preserve">européenne des Produits (Article 15) ;</w:t>
      </w:r>
    </w:p>
    <w:p>
      <w:pPr>
        <w:pStyle w:val="Compact"/>
        <w:numPr>
          <w:ilvl w:val="0"/>
          <w:numId w:val="1002"/>
        </w:numPr>
      </w:pPr>
      <w:r>
        <w:t xml:space="preserve">le</w:t>
      </w:r>
      <w:r>
        <w:t xml:space="preserve"> </w:t>
      </w:r>
      <w:r>
        <w:rPr>
          <w:b/>
          <w:bCs/>
        </w:rPr>
        <w:t xml:space="preserve">droit de premier refus</w:t>
      </w:r>
      <w:r>
        <w:t xml:space="preserve"> </w:t>
      </w:r>
      <w:r>
        <w:t xml:space="preserve">sur les Produits Futurs (Annexe 8) ;</w:t>
      </w:r>
    </w:p>
    <w:p>
      <w:pPr>
        <w:pStyle w:val="Compact"/>
        <w:numPr>
          <w:ilvl w:val="0"/>
          <w:numId w:val="1002"/>
        </w:numPr>
      </w:pPr>
      <w:r>
        <w:t xml:space="preserve">les</w:t>
      </w:r>
      <w:r>
        <w:t xml:space="preserve"> </w:t>
      </w:r>
      <w:r>
        <w:rPr>
          <w:b/>
          <w:bCs/>
        </w:rPr>
        <w:t xml:space="preserve">engagements directs de Zheda Dixun (Fabricant)</w:t>
      </w:r>
      <w:r>
        <w:t xml:space="preserve"> </w:t>
      </w:r>
      <w:r>
        <w:t xml:space="preserve">envers VETALYX et DIAHO (Article 21).</w:t>
      </w:r>
    </w:p>
    <w:p>
      <w:pPr>
        <w:pStyle w:val="FirstParagraph"/>
      </w:pPr>
      <w:r>
        <w:t xml:space="preserve">Le Contrat constitue un contrat-cadre stratégique et non un simple contrat d’achat-revente.</w:t>
      </w:r>
    </w:p>
    <w:p>
      <w:r>
        <w:pict>
          <v:rect style="width:0;height:1.5pt" o:hralign="center" o:hrstd="t" o:hr="t"/>
        </w:pict>
      </w:r>
    </w:p>
    <w:bookmarkEnd w:id="13"/>
    <w:bookmarkStart w:id="14" w:name="article-3-exclusivité-territoriale"/>
    <w:p>
      <w:pPr>
        <w:pStyle w:val="Heading2"/>
      </w:pPr>
      <w:r>
        <w:t xml:space="preserve">Article 3 — Exclusivité territoriale</w:t>
      </w:r>
    </w:p>
    <w:p>
      <w:pPr>
        <w:pStyle w:val="FirstParagraph"/>
      </w:pPr>
      <w:r>
        <w:t xml:space="preserve">DIAHO accorde à VETALYX, pour toute la durée du Contrat, une exclusivité totale sur le Territoire pour la distribution, la promotion, l’enregistrement, la représentation réglementaire et le développement commercial des Produits.</w:t>
      </w:r>
    </w:p>
    <w:p>
      <w:pPr>
        <w:pStyle w:val="BodyText"/>
      </w:pPr>
      <w:r>
        <w:t xml:space="preserve">DIAHO s’interdit, directement ou indirectement, de vendre ou proposer les Produits sur le Territoire autrement que par VETALYX. Toute demande provenant du Territoire devra être transmise sans délai à VETALYX.</w:t>
      </w:r>
    </w:p>
    <w:p>
      <w:pPr>
        <w:pStyle w:val="BodyText"/>
      </w:pPr>
      <w:r>
        <w:rPr>
          <w:b/>
          <w:bCs/>
        </w:rPr>
        <w:t xml:space="preserve">Périmètre de l’exclusivité.</w:t>
      </w:r>
      <w:r>
        <w:t xml:space="preserve"> </w:t>
      </w:r>
      <w:r>
        <w:t xml:space="preserve">L’exclusivité porte sur les Produits fédérés par DIAHO et ses Sociétés Liées. Elle ne limite en rien la faculté de VETALYX de conclure, sur décision de son Conseil d’Administration, des partenariats commerciaux ou stratégiques avec des</w:t>
      </w:r>
      <w:r>
        <w:t xml:space="preserve"> </w:t>
      </w:r>
      <w:r>
        <w:rPr>
          <w:b/>
          <w:bCs/>
        </w:rPr>
        <w:t xml:space="preserve">sociétés non chinoises</w:t>
      </w:r>
      <w:r>
        <w:t xml:space="preserve"> </w:t>
      </w:r>
      <w:r>
        <w:t xml:space="preserve">ou portant sur des produits non concurrents, sans information ni accord préalable de DIAHO.</w:t>
      </w:r>
    </w:p>
    <w:p>
      <w:r>
        <w:pict>
          <v:rect style="width:0;height:1.5pt" o:hralign="center" o:hrstd="t" o:hr="t"/>
        </w:pict>
      </w:r>
    </w:p>
    <w:bookmarkEnd w:id="14"/>
    <w:bookmarkStart w:id="15" w:name="Xfd4e83cb1df768ff9c2a79d8ce1711f186a462b"/>
    <w:p>
      <w:pPr>
        <w:pStyle w:val="Heading2"/>
      </w:pPr>
      <w:r>
        <w:t xml:space="preserve">Article 4 — Absence d’objectif minimal de vente</w:t>
      </w:r>
    </w:p>
    <w:p>
      <w:pPr>
        <w:pStyle w:val="FirstParagraph"/>
      </w:pPr>
      <w:r>
        <w:t xml:space="preserve">Les Parties conviennent expressément que l’exclusivité accordée à VETALYX n’est pas conditionnée à la réalisation d’un volume minimal de ventes, d’un chiffre d’affaires minimal, d’un nombre minimal de clients, d’un nombre minimal de pays ouverts ou d’un objectif commercial impératif. VETALYX s’engage à déployer des efforts raisonnables pour développer le marché des Produits sur le Territoire. Aucune insuffisance de volume de vente ne pourra, à elle seule, justifier une résiliation, une réduction du Territoire ou une remise en cause de l’exclusivité, sauf manquement grave et démontré de VETALYX à ses obligations essentielles.</w:t>
      </w:r>
    </w:p>
    <w:p>
      <w:r>
        <w:pict>
          <v:rect style="width:0;height:1.5pt" o:hralign="center" o:hrstd="t" o:hr="t"/>
        </w:pict>
      </w:r>
    </w:p>
    <w:bookmarkEnd w:id="15"/>
    <w:bookmarkStart w:id="16" w:name="article-5-durée"/>
    <w:p>
      <w:pPr>
        <w:pStyle w:val="Heading2"/>
      </w:pPr>
      <w:r>
        <w:t xml:space="preserve">Article 5 — Durée</w:t>
      </w:r>
    </w:p>
    <w:p>
      <w:pPr>
        <w:pStyle w:val="FirstParagraph"/>
      </w:pPr>
      <w:r>
        <w:t xml:space="preserve">Le Contrat est conclu pour une durée initiale de cinq (5) ans, renouvelable par périodes de trois (3) ans. Toute Partie souhaitant ne pas renouveler devra notifier par écrit au moins douze (12) mois avant l’expiration.</w:t>
      </w:r>
    </w:p>
    <w:p>
      <w:pPr>
        <w:pStyle w:val="BodyText"/>
      </w:pPr>
      <w:r>
        <w:t xml:space="preserve">À l’expiration du Contrat ou en cas de résiliation, quelle qu’en soit la cause, VETALYX pourra continuer à vendre les stocks de Produits régulièrement acquis avant la date de cessation pendant une période de douze (12) mois, sauf interdiction réglementaire ou défaut produit avéré.</w:t>
      </w:r>
    </w:p>
    <w:p>
      <w:pPr>
        <w:pStyle w:val="BodyText"/>
      </w:pPr>
      <w:r>
        <w:rPr>
          <w:b/>
          <w:bCs/>
        </w:rPr>
        <w:t xml:space="preserve">Résiliation anticipée.</w:t>
      </w:r>
      <w:r>
        <w:t xml:space="preserve"> </w:t>
      </w:r>
      <w:r>
        <w:t xml:space="preserve">Chaque Partie pourra résilier le Contrat de plein droit en cas de manquement grave de l’autre Partie à ses obligations essentielles, après mise en demeure restée sans effet pendant un délai de trente (30) jours.</w:t>
      </w:r>
    </w:p>
    <w:p>
      <w:pPr>
        <w:pStyle w:val="BodyText"/>
      </w:pPr>
      <w:r>
        <w:t xml:space="preserve">Constituent notamment des manquements graves de DIAHO :</w:t>
      </w:r>
    </w:p>
    <w:p>
      <w:pPr>
        <w:pStyle w:val="Compact"/>
        <w:numPr>
          <w:ilvl w:val="0"/>
          <w:numId w:val="1003"/>
        </w:numPr>
      </w:pPr>
      <w:r>
        <w:t xml:space="preserve">la violation de l’exclusivité ;</w:t>
      </w:r>
    </w:p>
    <w:p>
      <w:pPr>
        <w:pStyle w:val="Compact"/>
        <w:numPr>
          <w:ilvl w:val="0"/>
          <w:numId w:val="1003"/>
        </w:numPr>
      </w:pPr>
      <w:r>
        <w:t xml:space="preserve">le contournement de VETALYX ;</w:t>
      </w:r>
    </w:p>
    <w:p>
      <w:pPr>
        <w:pStyle w:val="Compact"/>
        <w:numPr>
          <w:ilvl w:val="0"/>
          <w:numId w:val="1003"/>
        </w:numPr>
      </w:pPr>
      <w:r>
        <w:t xml:space="preserve">la vente directe ou indirecte sur le Territoire ;</w:t>
      </w:r>
    </w:p>
    <w:p>
      <w:pPr>
        <w:pStyle w:val="Compact"/>
        <w:numPr>
          <w:ilvl w:val="0"/>
          <w:numId w:val="1003"/>
        </w:numPr>
      </w:pPr>
      <w:r>
        <w:t xml:space="preserve">le refus de fournir les documents réglementaires nécessaires ;</w:t>
      </w:r>
    </w:p>
    <w:p>
      <w:pPr>
        <w:pStyle w:val="Compact"/>
        <w:numPr>
          <w:ilvl w:val="0"/>
          <w:numId w:val="1003"/>
        </w:numPr>
      </w:pPr>
      <w:r>
        <w:t xml:space="preserve">la fourniture d’informations techniques ou réglementaires fausses ou gravement incomplètes ;</w:t>
      </w:r>
    </w:p>
    <w:p>
      <w:pPr>
        <w:pStyle w:val="Compact"/>
        <w:numPr>
          <w:ilvl w:val="0"/>
          <w:numId w:val="1003"/>
        </w:numPr>
      </w:pPr>
      <w:r>
        <w:t xml:space="preserve">une dégradation significative et non corrigée de la qualité des Produits ;</w:t>
      </w:r>
    </w:p>
    <w:p>
      <w:pPr>
        <w:pStyle w:val="Compact"/>
        <w:numPr>
          <w:ilvl w:val="0"/>
          <w:numId w:val="1003"/>
        </w:numPr>
      </w:pPr>
      <w:r>
        <w:t xml:space="preserve">la violation des obligations de confidentialité ;</w:t>
      </w:r>
    </w:p>
    <w:p>
      <w:pPr>
        <w:pStyle w:val="Compact"/>
        <w:numPr>
          <w:ilvl w:val="0"/>
          <w:numId w:val="1003"/>
        </w:numPr>
      </w:pPr>
      <w:r>
        <w:t xml:space="preserve">la violation du droit de premier refus.</w:t>
      </w:r>
    </w:p>
    <w:p>
      <w:pPr>
        <w:pStyle w:val="FirstParagraph"/>
      </w:pPr>
      <w:r>
        <w:t xml:space="preserve">Constituent notamment des manquements graves de VETALYX :</w:t>
      </w:r>
    </w:p>
    <w:p>
      <w:pPr>
        <w:pStyle w:val="Compact"/>
        <w:numPr>
          <w:ilvl w:val="0"/>
          <w:numId w:val="1004"/>
        </w:numPr>
      </w:pPr>
      <w:r>
        <w:t xml:space="preserve">le non-paiement persistant de sommes dues ;</w:t>
      </w:r>
    </w:p>
    <w:p>
      <w:pPr>
        <w:pStyle w:val="Compact"/>
        <w:numPr>
          <w:ilvl w:val="0"/>
          <w:numId w:val="1004"/>
        </w:numPr>
      </w:pPr>
      <w:r>
        <w:t xml:space="preserve">la violation grave des obligations de confidentialité ;</w:t>
      </w:r>
    </w:p>
    <w:p>
      <w:pPr>
        <w:pStyle w:val="Compact"/>
        <w:numPr>
          <w:ilvl w:val="0"/>
          <w:numId w:val="1004"/>
        </w:numPr>
      </w:pPr>
      <w:r>
        <w:t xml:space="preserve">l’utilisation non autorisée du Savoir-Faire de DIAHO en dehors du Contrat ;</w:t>
      </w:r>
    </w:p>
    <w:p>
      <w:pPr>
        <w:pStyle w:val="Compact"/>
        <w:numPr>
          <w:ilvl w:val="0"/>
          <w:numId w:val="1004"/>
        </w:numPr>
      </w:pPr>
      <w:r>
        <w:t xml:space="preserve">une faute réglementaire grave directement imputable à VETALYX.</w:t>
      </w:r>
    </w:p>
    <w:p>
      <w:r>
        <w:pict>
          <v:rect style="width:0;height:1.5pt" o:hralign="center" o:hrstd="t" o:hr="t"/>
        </w:pict>
      </w:r>
    </w:p>
    <w:bookmarkEnd w:id="16"/>
    <w:bookmarkStart w:id="17" w:name="Xc6ddc147352e2c07eb7306a57bf602dbd74d5c0"/>
    <w:p>
      <w:pPr>
        <w:pStyle w:val="Heading2"/>
      </w:pPr>
      <w:r>
        <w:t xml:space="preserve">Article 6 — Mission de préparation stratégique</w:t>
      </w:r>
    </w:p>
    <w:p>
      <w:pPr>
        <w:pStyle w:val="FirstParagraph"/>
      </w:pPr>
      <w:r>
        <w:rPr>
          <w:b/>
          <w:bCs/>
        </w:rPr>
        <w:t xml:space="preserve">6.1. Objet de la Mission.</w:t>
      </w:r>
      <w:r>
        <w:t xml:space="preserve"> </w:t>
      </w:r>
      <w:r>
        <w:t xml:space="preserve">VETALYX exécute une mission de préparation stratégique relative à l’implantation en Europe d’activités technico-commerciales de sociétés chinoises dans le domaine du diagnostic, portant en priorité sur DIAHO et ses partenaires industriels, et ouverte à d’autres sociétés chinoises candidates.</w:t>
      </w:r>
    </w:p>
    <w:p>
      <w:pPr>
        <w:pStyle w:val="BodyText"/>
      </w:pPr>
      <w:r>
        <w:rPr>
          <w:b/>
          <w:bCs/>
        </w:rPr>
        <w:t xml:space="preserve">6.2. Périmètre des prestations.</w:t>
      </w:r>
      <w:r>
        <w:t xml:space="preserve"> </w:t>
      </w:r>
      <w:r>
        <w:t xml:space="preserve">La Mission comprend notamment : l’analyse du marché européen du diagnostic vétérinaire ; l’identification des exigences réglementaires (AFMPS/FAMHP et cadre réglementaire européen applicable aux dispositifs de diagnostic vétérinaire) ; la stratégie d’implantation et de structuration commerciale ; l’identification de partenaires, canaux et experts ; la préparation des dossiers d’enregistrement ; la constitution d’une</w:t>
      </w:r>
      <w:r>
        <w:t xml:space="preserve"> </w:t>
      </w:r>
      <w:r>
        <w:rPr>
          <w:b/>
          <w:bCs/>
        </w:rPr>
        <w:t xml:space="preserve">sérothèque</w:t>
      </w:r>
      <w:r>
        <w:t xml:space="preserve"> </w:t>
      </w:r>
      <w:r>
        <w:t xml:space="preserve">et la coordination des</w:t>
      </w:r>
      <w:r>
        <w:t xml:space="preserve"> </w:t>
      </w:r>
      <w:r>
        <w:rPr>
          <w:b/>
          <w:bCs/>
        </w:rPr>
        <w:t xml:space="preserve">validations cliniques</w:t>
      </w:r>
      <w:r>
        <w:t xml:space="preserve"> </w:t>
      </w:r>
      <w:r>
        <w:t xml:space="preserve">des Produits.</w:t>
      </w:r>
    </w:p>
    <w:p>
      <w:pPr>
        <w:pStyle w:val="BodyText"/>
      </w:pPr>
      <w:r>
        <w:rPr>
          <w:b/>
          <w:bCs/>
        </w:rPr>
        <w:t xml:space="preserve">6.3. Rémunération.</w:t>
      </w:r>
      <w:r>
        <w:t xml:space="preserve"> </w:t>
      </w:r>
      <w:r>
        <w:t xml:space="preserve">En contrepartie de la Mission, DIAHO versera à VETALYX :</w:t>
      </w:r>
    </w:p>
    <w:p>
      <w:pPr>
        <w:pStyle w:val="Compact"/>
        <w:numPr>
          <w:ilvl w:val="0"/>
          <w:numId w:val="1005"/>
        </w:numPr>
      </w:pPr>
      <w:r>
        <w:t xml:space="preserve">un montant forfaitaire de</w:t>
      </w:r>
      <w:r>
        <w:t xml:space="preserve"> </w:t>
      </w:r>
      <w:r>
        <w:rPr>
          <w:b/>
          <w:bCs/>
        </w:rPr>
        <w:t xml:space="preserve">cent mille euros hors taxes (100 000 EUR HT)</w:t>
      </w:r>
      <w:r>
        <w:t xml:space="preserve"> </w:t>
      </w:r>
      <w:r>
        <w:t xml:space="preserve">au titre de la mission de préparation stratégique ;</w:t>
      </w:r>
    </w:p>
    <w:p>
      <w:pPr>
        <w:pStyle w:val="Compact"/>
        <w:numPr>
          <w:ilvl w:val="0"/>
          <w:numId w:val="1005"/>
        </w:numPr>
      </w:pPr>
      <w:r>
        <w:t xml:space="preserve">un montant complémentaire de</w:t>
      </w:r>
      <w:r>
        <w:t xml:space="preserve"> </w:t>
      </w:r>
      <w:r>
        <w:rPr>
          <w:b/>
          <w:bCs/>
        </w:rPr>
        <w:t xml:space="preserve">vingt mille euros hors taxes (20 000 EUR HT)</w:t>
      </w:r>
      <w:r>
        <w:t xml:space="preserve"> </w:t>
      </w:r>
      <w:r>
        <w:t xml:space="preserve">au titre des validations cliniques et de la création de la sérothèque.</w:t>
      </w:r>
    </w:p>
    <w:p>
      <w:pPr>
        <w:pStyle w:val="FirstParagraph"/>
      </w:pPr>
      <w:r>
        <w:t xml:space="preserve">Soit un total de</w:t>
      </w:r>
      <w:r>
        <w:t xml:space="preserve"> </w:t>
      </w:r>
      <w:r>
        <w:rPr>
          <w:b/>
          <w:bCs/>
        </w:rPr>
        <w:t xml:space="preserve">cent vingt mille euros hors taxes (120 000 EUR HT)</w:t>
      </w:r>
      <w:r>
        <w:t xml:space="preserve">.</w:t>
      </w:r>
    </w:p>
    <w:p>
      <w:pPr>
        <w:pStyle w:val="BodyText"/>
      </w:pPr>
      <w:r>
        <w:rPr>
          <w:b/>
          <w:bCs/>
        </w:rPr>
        <w:t xml:space="preserve">6.4. Modalités de paiement.</w:t>
      </w:r>
      <w:r>
        <w:t xml:space="preserve"> </w:t>
      </w:r>
      <w:r>
        <w:t xml:space="preserve">La facturation et l’échéancier de paiement (acompte, jalons, délais, devise, taxes) seront précisés par accord écrit séparé ou en Annexe 5. À défaut d’accord contraire, les montants sont facturés en euros, exigibles à trente (30) jours.</w:t>
      </w:r>
    </w:p>
    <w:p>
      <w:pPr>
        <w:pStyle w:val="BodyText"/>
      </w:pPr>
      <w:r>
        <w:rPr>
          <w:b/>
          <w:bCs/>
        </w:rPr>
        <w:t xml:space="preserve">6.5. Propriété des livrables.</w:t>
      </w:r>
      <w:r>
        <w:t xml:space="preserve"> </w:t>
      </w:r>
      <w:r>
        <w:t xml:space="preserve">Les livrables de la Mission (études, stratégies, sérothèque, dossiers préparatoires) sont la propriété exclusive de VETALYX, sous réserve de la propriété intellectuelle préexistante de DIAHO et de ses partenaires.</w:t>
      </w:r>
    </w:p>
    <w:p>
      <w:pPr>
        <w:pStyle w:val="BodyText"/>
      </w:pPr>
      <w:r>
        <w:rPr>
          <w:b/>
          <w:bCs/>
        </w:rPr>
        <w:t xml:space="preserve">6.6. Indépendance.</w:t>
      </w:r>
      <w:r>
        <w:t xml:space="preserve"> </w:t>
      </w:r>
      <w:r>
        <w:t xml:space="preserve">La Mission est une prestation de services indépendante, distincte de la relation de distribution et de la participation de DIAHO au capital.</w:t>
      </w:r>
    </w:p>
    <w:p>
      <w:r>
        <w:pict>
          <v:rect style="width:0;height:1.5pt" o:hralign="center" o:hrstd="t" o:hr="t"/>
        </w:pict>
      </w:r>
    </w:p>
    <w:bookmarkEnd w:id="17"/>
    <w:bookmarkStart w:id="18" w:name="article-7-conditions-suspensives"/>
    <w:p>
      <w:pPr>
        <w:pStyle w:val="Heading2"/>
      </w:pPr>
      <w:r>
        <w:t xml:space="preserve">Article 7 — Conditions suspensives</w:t>
      </w:r>
    </w:p>
    <w:p>
      <w:pPr>
        <w:pStyle w:val="FirstParagraph"/>
      </w:pPr>
      <w:r>
        <w:t xml:space="preserve">L’entrée en vigueur du Contrat est soumise à :</w:t>
      </w:r>
    </w:p>
    <w:p>
      <w:pPr>
        <w:pStyle w:val="Compact"/>
        <w:numPr>
          <w:ilvl w:val="0"/>
          <w:numId w:val="1006"/>
        </w:numPr>
      </w:pPr>
      <w:r>
        <w:t xml:space="preserve">Remise par DIAHO des dossiers d’enregistrement chinois complets pour les Produits Initiaux.</w:t>
      </w:r>
    </w:p>
    <w:p>
      <w:pPr>
        <w:pStyle w:val="Compact"/>
        <w:numPr>
          <w:ilvl w:val="0"/>
          <w:numId w:val="1006"/>
        </w:numPr>
      </w:pPr>
      <w:r>
        <w:t xml:space="preserve">Immatriculation de VETALYX à la Banque-Carrefour des Entreprises (BCE) belge.</w:t>
      </w:r>
    </w:p>
    <w:p>
      <w:pPr>
        <w:pStyle w:val="Compact"/>
        <w:numPr>
          <w:ilvl w:val="0"/>
          <w:numId w:val="1006"/>
        </w:numPr>
      </w:pPr>
      <w:r>
        <w:t xml:space="preserve">Constitution de VETALYX avec DIAHO actionnaire fondateur à 40 % (apport en espèces de 1 600 €), et signature du Pacte d’Actionnaires.</w:t>
      </w:r>
    </w:p>
    <w:p>
      <w:r>
        <w:pict>
          <v:rect style="width:0;height:1.5pt" o:hralign="center" o:hrstd="t" o:hr="t"/>
        </w:pict>
      </w:r>
    </w:p>
    <w:bookmarkEnd w:id="18"/>
    <w:bookmarkStart w:id="19" w:name="Xd978fda956683514cab5dbbf9cfed5c9f881dc7"/>
    <w:p>
      <w:pPr>
        <w:pStyle w:val="Heading2"/>
      </w:pPr>
      <w:r>
        <w:t xml:space="preserve">Article 8 — Représentation réglementaire et enregistrement</w:t>
      </w:r>
    </w:p>
    <w:p>
      <w:pPr>
        <w:pStyle w:val="FirstParagraph"/>
      </w:pPr>
      <w:r>
        <w:t xml:space="preserve">VETALYX est responsable de la préparation, du dépôt et du suivi des enregistrements réglementaires des Produits sur le Territoire. DIAHO fournit tous documents, données et certificats nécessaires — notamment le dossier technique (spécifications techniques et données scientifiques et de performance, Annexe 2) — sans frais supplémentaires sauf accord contraire. DIAHO garantit l’exactitude, la sincérité et l’exhaustivité des informations transmises.</w:t>
      </w:r>
    </w:p>
    <w:p>
      <w:pPr>
        <w:pStyle w:val="BodyText"/>
      </w:pPr>
      <w:r>
        <w:t xml:space="preserve">DIAHO mandate VETALYX pour agir en qualité de</w:t>
      </w:r>
      <w:r>
        <w:t xml:space="preserve"> </w:t>
      </w:r>
      <w:r>
        <w:rPr>
          <w:b/>
          <w:bCs/>
        </w:rPr>
        <w:t xml:space="preserve">Représentant Autorisé Européen</w:t>
      </w:r>
      <w:r>
        <w:t xml:space="preserve"> </w:t>
      </w:r>
      <w:r>
        <w:t xml:space="preserve">des Produits couverts par le Contrat. Les Dossiers Réglementaires constitués par VETALYX sont sa propriété exclusive.</w:t>
      </w:r>
    </w:p>
    <w:p>
      <w:pPr>
        <w:pStyle w:val="BodyText"/>
      </w:pPr>
      <w:r>
        <w:t xml:space="preserve">Toute modification affectant les Produits, leur composition, leur fabrication, leur performance ou leur statut réglementaire devra être communiquée sans délai à VETALYX et gérée conformément au Quality Agreement (change control).</w:t>
      </w:r>
    </w:p>
    <w:p>
      <w:r>
        <w:pict>
          <v:rect style="width:0;height:1.5pt" o:hralign="center" o:hrstd="t" o:hr="t"/>
        </w:pict>
      </w:r>
    </w:p>
    <w:bookmarkEnd w:id="19"/>
    <w:bookmarkStart w:id="20" w:name="article-9-qualité-et-quality-agreement"/>
    <w:p>
      <w:pPr>
        <w:pStyle w:val="Heading2"/>
      </w:pPr>
      <w:r>
        <w:t xml:space="preserve">Article 9 — Qualité et Quality Agreement</w:t>
      </w:r>
    </w:p>
    <w:p>
      <w:pPr>
        <w:pStyle w:val="FirstParagraph"/>
      </w:pPr>
      <w:r>
        <w:t xml:space="preserve">Les Produits sont fabriqués conformément aux spécifications applicables et au</w:t>
      </w:r>
      <w:r>
        <w:t xml:space="preserve"> </w:t>
      </w:r>
      <w:r>
        <w:rPr>
          <w:b/>
          <w:bCs/>
        </w:rPr>
        <w:t xml:space="preserve">Quality Agreement</w:t>
      </w:r>
      <w:r>
        <w:t xml:space="preserve"> </w:t>
      </w:r>
      <w:r>
        <w:t xml:space="preserve">(Annexe 3).</w:t>
      </w:r>
    </w:p>
    <w:p>
      <w:pPr>
        <w:pStyle w:val="BodyText"/>
      </w:pPr>
      <w:r>
        <w:t xml:space="preserve">Le Quality Agreement définit notamment : les spécifications produit et critères d’acceptation ; le contrôle qualité à réception et la libération des lots ; la traçabilité ; la gestion des non-conformités ; les réclamations et rappels ; le</w:t>
      </w:r>
      <w:r>
        <w:t xml:space="preserve"> </w:t>
      </w:r>
      <w:r>
        <w:rPr>
          <w:b/>
          <w:bCs/>
        </w:rPr>
        <w:t xml:space="preserve">change control</w:t>
      </w:r>
      <w:r>
        <w:t xml:space="preserve">.</w:t>
      </w:r>
    </w:p>
    <w:p>
      <w:pPr>
        <w:pStyle w:val="BodyText"/>
      </w:pPr>
      <w:r>
        <w:t xml:space="preserve">VETALYX finance les audits et certifications pour le Territoire. Les contrôles obligatoires en Chine sont à la charge de DIAHO ou du partenaire concerné.</w:t>
      </w:r>
    </w:p>
    <w:p>
      <w:r>
        <w:pict>
          <v:rect style="width:0;height:1.5pt" o:hralign="center" o:hrstd="t" o:hr="t"/>
        </w:pict>
      </w:r>
    </w:p>
    <w:bookmarkEnd w:id="20"/>
    <w:bookmarkStart w:id="21" w:name="article-10-prix-et-logistique"/>
    <w:p>
      <w:pPr>
        <w:pStyle w:val="Heading2"/>
      </w:pPr>
      <w:r>
        <w:t xml:space="preserve">Article 10 — Prix et logistique</w:t>
      </w:r>
    </w:p>
    <w:p>
      <w:pPr>
        <w:pStyle w:val="FirstParagraph"/>
      </w:pPr>
      <w:r>
        <w:t xml:space="preserve">Les prix de transfert sont définis en Annexe 5, conformément au principe de pleine concurrence (Article 16).</w:t>
      </w:r>
    </w:p>
    <w:p>
      <w:pPr>
        <w:pStyle w:val="BodyText"/>
      </w:pPr>
      <w:r>
        <w:rPr>
          <w:b/>
          <w:bCs/>
        </w:rPr>
        <w:t xml:space="preserve">Stabilité des prix.</w:t>
      </w:r>
      <w:r>
        <w:t xml:space="preserve"> </w:t>
      </w:r>
      <w:r>
        <w:t xml:space="preserve">Les Parties s’engagent à garantir la stabilité des prix de transfert dans la durée. À cette fin, elles conviennent d’un</w:t>
      </w:r>
      <w:r>
        <w:t xml:space="preserve"> </w:t>
      </w:r>
      <w:r>
        <w:rPr>
          <w:b/>
          <w:bCs/>
        </w:rPr>
        <w:t xml:space="preserve">mécanisme d’encadrement</w:t>
      </w:r>
      <w:r>
        <w:t xml:space="preserve"> </w:t>
      </w:r>
      <w:r>
        <w:t xml:space="preserve">comportant :</w:t>
      </w:r>
    </w:p>
    <w:p>
      <w:pPr>
        <w:pStyle w:val="Compact"/>
        <w:numPr>
          <w:ilvl w:val="0"/>
          <w:numId w:val="1007"/>
        </w:numPr>
      </w:pPr>
      <w:r>
        <w:t xml:space="preserve">une</w:t>
      </w:r>
      <w:r>
        <w:t xml:space="preserve"> </w:t>
      </w:r>
      <w:r>
        <w:rPr>
          <w:b/>
          <w:bCs/>
        </w:rPr>
        <w:t xml:space="preserve">période de revue</w:t>
      </w:r>
      <w:r>
        <w:t xml:space="preserve"> </w:t>
      </w:r>
      <w:r>
        <w:t xml:space="preserve">fixe (par défaut : douze (12) mois) ;</w:t>
      </w:r>
    </w:p>
    <w:p>
      <w:pPr>
        <w:pStyle w:val="Compact"/>
        <w:numPr>
          <w:ilvl w:val="0"/>
          <w:numId w:val="1007"/>
        </w:numPr>
      </w:pPr>
      <w:r>
        <w:t xml:space="preserve">une</w:t>
      </w:r>
      <w:r>
        <w:t xml:space="preserve"> </w:t>
      </w:r>
      <w:r>
        <w:rPr>
          <w:b/>
          <w:bCs/>
        </w:rPr>
        <w:t xml:space="preserve">indexation</w:t>
      </w:r>
      <w:r>
        <w:t xml:space="preserve"> </w:t>
      </w:r>
      <w:r>
        <w:t xml:space="preserve">le cas échéant sur un indice objectif et publié, convenu en Annexe 5 ;</w:t>
      </w:r>
    </w:p>
    <w:p>
      <w:pPr>
        <w:pStyle w:val="Compact"/>
        <w:numPr>
          <w:ilvl w:val="0"/>
          <w:numId w:val="1007"/>
        </w:numPr>
      </w:pPr>
      <w:r>
        <w:t xml:space="preserve">l’</w:t>
      </w:r>
      <w:r>
        <w:rPr>
          <w:b/>
          <w:bCs/>
        </w:rPr>
        <w:t xml:space="preserve">impossibilité pour DIAHO d’augmenter unilatéralement les prix sans discussion préalable</w:t>
      </w:r>
      <w:r>
        <w:t xml:space="preserve"> </w:t>
      </w:r>
      <w:r>
        <w:t xml:space="preserve">: toute modification requiert un</w:t>
      </w:r>
      <w:r>
        <w:t xml:space="preserve"> </w:t>
      </w:r>
      <w:r>
        <w:rPr>
          <w:b/>
          <w:bCs/>
        </w:rPr>
        <w:t xml:space="preserve">préavis écrit de six (6) mois</w:t>
      </w:r>
      <w:r>
        <w:t xml:space="preserve">, une</w:t>
      </w:r>
      <w:r>
        <w:t xml:space="preserve"> </w:t>
      </w:r>
      <w:r>
        <w:rPr>
          <w:b/>
          <w:bCs/>
        </w:rPr>
        <w:t xml:space="preserve">justification objective</w:t>
      </w:r>
      <w:r>
        <w:t xml:space="preserve"> </w:t>
      </w:r>
      <w:r>
        <w:t xml:space="preserve">et l’</w:t>
      </w:r>
      <w:r>
        <w:rPr>
          <w:b/>
          <w:bCs/>
        </w:rPr>
        <w:t xml:space="preserve">accord écrit</w:t>
      </w:r>
      <w:r>
        <w:t xml:space="preserve"> </w:t>
      </w:r>
      <w:r>
        <w:t xml:space="preserve">des Parties.</w:t>
      </w:r>
    </w:p>
    <w:p>
      <w:pPr>
        <w:pStyle w:val="FirstParagraph"/>
      </w:pPr>
      <w:r>
        <w:t xml:space="preserve">Les transactions sont libellées en euros (EUR). Aucun minimum de commande n’est applicable pendant les vingt-quatre (24) premiers mois.</w:t>
      </w:r>
    </w:p>
    <w:p>
      <w:pPr>
        <w:pStyle w:val="BodyText"/>
      </w:pPr>
      <w:r>
        <w:rPr>
          <w:b/>
          <w:bCs/>
        </w:rPr>
        <w:t xml:space="preserve">Stock de lancement.</w:t>
      </w:r>
      <w:r>
        <w:t xml:space="preserve"> </w:t>
      </w:r>
      <w:r>
        <w:t xml:space="preserve">Afin de soutenir le démarrage commercial, DIAHO fournira à VETALYX, sans facturation initiale et sans paiement immédiat, des kits de diagnostic pour une valeur totale de cinquante mille euros hors taxes (50 000 EUR HT), calculée sur la base du prix de transfert applicable entre les Parties. Ces kits sont fournis à titre de stock initial de lancement commercial ; leur remboursement par VETALYX à DIAHO est exclusivement progressif et conditionné aux ventes effectivement réalisées sur le Territoire. Sauf accord contraire écrit entre les Parties :</w:t>
      </w:r>
    </w:p>
    <w:p>
      <w:pPr>
        <w:pStyle w:val="Compact"/>
        <w:numPr>
          <w:ilvl w:val="0"/>
          <w:numId w:val="1008"/>
        </w:numPr>
      </w:pPr>
      <w:r>
        <w:t xml:space="preserve">VETALYX rembourse progressivement la valeur des kits fournis par imputation sur les ventes effectivement encaissées ;</w:t>
      </w:r>
    </w:p>
    <w:p>
      <w:pPr>
        <w:pStyle w:val="Compact"/>
        <w:numPr>
          <w:ilvl w:val="0"/>
          <w:numId w:val="1008"/>
        </w:numPr>
      </w:pPr>
      <w:r>
        <w:t xml:space="preserve">aucun remboursement n’est dû tant que les Produits concernés n’ont pas généré de ventes effectives ;</w:t>
      </w:r>
    </w:p>
    <w:p>
      <w:pPr>
        <w:pStyle w:val="Compact"/>
        <w:numPr>
          <w:ilvl w:val="0"/>
          <w:numId w:val="1008"/>
        </w:numPr>
      </w:pPr>
      <w:r>
        <w:t xml:space="preserve">en l’absence de ventes, DIAHO ne pourra réclamer à VETALYX aucun remboursement, paiement, indemnité ou compensation au titre des kits fournis pour le lancement ;</w:t>
      </w:r>
    </w:p>
    <w:p>
      <w:pPr>
        <w:pStyle w:val="Compact"/>
        <w:numPr>
          <w:ilvl w:val="0"/>
          <w:numId w:val="1008"/>
        </w:numPr>
      </w:pPr>
      <w:r>
        <w:t xml:space="preserve">le calendrier et le pourcentage de remboursement par vente sont définis en Annexe 5 ou par accord écrit séparé ;</w:t>
      </w:r>
    </w:p>
    <w:p>
      <w:pPr>
        <w:pStyle w:val="Compact"/>
        <w:numPr>
          <w:ilvl w:val="0"/>
          <w:numId w:val="1008"/>
        </w:numPr>
      </w:pPr>
      <w:r>
        <w:t xml:space="preserve">les kits fournis pourront être utilisés par VETALYX pour des actions de démonstration, validation commerciale, essais clients, formation, évaluation vétérinaire, promotion, constitution de stock initial ou premières ventes, selon la stratégie décidée par VETALYX.</w:t>
      </w:r>
    </w:p>
    <w:p>
      <w:r>
        <w:pict>
          <v:rect style="width:0;height:1.5pt" o:hralign="center" o:hrstd="t" o:hr="t"/>
        </w:pict>
      </w:r>
    </w:p>
    <w:bookmarkEnd w:id="21"/>
    <w:bookmarkStart w:id="22" w:name="article-11-propriété-intellectuelle"/>
    <w:p>
      <w:pPr>
        <w:pStyle w:val="Heading2"/>
      </w:pPr>
      <w:r>
        <w:t xml:space="preserve">Article 11 — Propriété intellectuelle</w:t>
      </w:r>
    </w:p>
    <w:p>
      <w:pPr>
        <w:pStyle w:val="FirstParagraph"/>
      </w:pPr>
      <w:r>
        <w:t xml:space="preserve">DIAHO conserve sa propriété intellectuelle préexistante, ainsi que celle de ses Sociétés Liées et partenaires industriels.</w:t>
      </w:r>
    </w:p>
    <w:p>
      <w:pPr>
        <w:pStyle w:val="BodyText"/>
      </w:pPr>
      <w:r>
        <w:t xml:space="preserve">Les adaptations et Dossiers Réglementaires réalisés par VETALYX sont sa propriété exclusive.</w:t>
      </w:r>
    </w:p>
    <w:p>
      <w:pPr>
        <w:pStyle w:val="BodyText"/>
      </w:pPr>
      <w:r>
        <w:t xml:space="preserve">Toute cession ou licence de propriété intellectuelle entre DIAHO (ou ses Sociétés Liées) et VETALYX, en dehors de la propriété intellectuelle préexistante visée ci-dessus, fera l’objet d’un accord écrit séparé.</w:t>
      </w:r>
    </w:p>
    <w:p>
      <w:pPr>
        <w:pStyle w:val="BodyText"/>
      </w:pPr>
      <w:r>
        <w:rPr>
          <w:b/>
          <w:bCs/>
        </w:rPr>
        <w:t xml:space="preserve">Marques et communication.</w:t>
      </w:r>
      <w:r>
        <w:t xml:space="preserve"> </w:t>
      </w:r>
      <w:r>
        <w:t xml:space="preserve">VETALYX pourra utiliser les marques, dénominations, logos et supports de DIAHO strictement pour les besoins de la promotion, de l’enregistrement et de la commercialisation des Produits sur le Territoire. Toute adaptation des supports, emballages, notices ou documents commerciaux au marché européen pourra être réalisée par VETALYX lorsque cela est nécessaire à la conformité réglementaire, à la compréhension des clients ou à l’efficacité commerciale. Les Parties pourront convenir d’une stratégie de co-branding associant les marques DIAHO et VETALYX. Tout support public majeur utilisant les marques de l’autre Partie devra faire l’objet d’une validation préalable, laquelle ne pourra être refusée sans motif raisonnable.</w:t>
      </w:r>
    </w:p>
    <w:p>
      <w:r>
        <w:pict>
          <v:rect style="width:0;height:1.5pt" o:hralign="center" o:hrstd="t" o:hr="t"/>
        </w:pict>
      </w:r>
    </w:p>
    <w:bookmarkEnd w:id="22"/>
    <w:bookmarkStart w:id="23" w:name="Xf3af369800b5788175f10de58addb4055ad297b"/>
    <w:p>
      <w:pPr>
        <w:pStyle w:val="Heading2"/>
      </w:pPr>
      <w:r>
        <w:t xml:space="preserve">Article 12 — Confidentialité et non-contournement</w:t>
      </w:r>
    </w:p>
    <w:p>
      <w:pPr>
        <w:pStyle w:val="FirstParagraph"/>
      </w:pPr>
      <w:r>
        <w:t xml:space="preserve">Les Parties traitent comme confidentielles toutes les informations échangées. DIAHO s’interdit de contourner VETALYX pour entrer en relation directe avec des clients ou partenaires sur le Territoire.</w:t>
      </w:r>
    </w:p>
    <w:p>
      <w:pPr>
        <w:pStyle w:val="BodyText"/>
      </w:pPr>
      <w:r>
        <w:t xml:space="preserve">Les Sociétés Liées et partenaires chinois de DIAHO sont tenus aux mêmes obligations de confidentialité et de non-contournement. DIAHO garantit le respect de ces obligations par ses Sociétés Liées et partenaires, et répond de leurs manquements envers VETALYX. Les garanties réciproques entre DIAHO et Zheda Dixun sont précisées en Annexe 9.</w:t>
      </w:r>
    </w:p>
    <w:p>
      <w:r>
        <w:pict>
          <v:rect style="width:0;height:1.5pt" o:hralign="center" o:hrstd="t" o:hr="t"/>
        </w:pict>
      </w:r>
    </w:p>
    <w:bookmarkEnd w:id="23"/>
    <w:bookmarkStart w:id="24" w:name="article-13-audit"/>
    <w:p>
      <w:pPr>
        <w:pStyle w:val="Heading2"/>
      </w:pPr>
      <w:r>
        <w:t xml:space="preserve">Article 13 — Audit</w:t>
      </w:r>
    </w:p>
    <w:p>
      <w:pPr>
        <w:pStyle w:val="FirstParagraph"/>
      </w:pPr>
      <w:r>
        <w:t xml:space="preserve">VETALYX pourra, moyennant un préavis raisonnable, organiser ou faire organiser un audit de DIAHO et/ou de tout fabricant ou sous-traitant critique, portant notamment sur le système qualité, la fabrication, le contrôle qualité, la traçabilité et la documentation réglementaire. Les modalités détaillées sont définies dans le Quality Agreement.</w:t>
      </w:r>
    </w:p>
    <w:p>
      <w:r>
        <w:pict>
          <v:rect style="width:0;height:1.5pt" o:hralign="center" o:hrstd="t" o:hr="t"/>
        </w:pict>
      </w:r>
    </w:p>
    <w:bookmarkEnd w:id="24"/>
    <w:bookmarkStart w:id="25" w:name="X28b9f85080fef69335a41c8fb3c770dc5a00f28"/>
    <w:p>
      <w:pPr>
        <w:pStyle w:val="Heading2"/>
      </w:pPr>
      <w:r>
        <w:t xml:space="preserve">Article 14 — Réclamations, rappels et répartition des coûts</w:t>
      </w:r>
    </w:p>
    <w:p>
      <w:pPr>
        <w:pStyle w:val="FirstParagraph"/>
      </w:pPr>
      <w:r>
        <w:t xml:space="preserve">DIAHO informera immédiatement VETALYX de tout incident, défaut, réclamation significative, rappel ou retrait affectant les Produits. VETALYX assurera la coordination des communications avec les clients, distributeurs et autorités compétentes.</w:t>
      </w:r>
    </w:p>
    <w:p>
      <w:pPr>
        <w:pStyle w:val="BodyText"/>
      </w:pPr>
      <w:r>
        <w:t xml:space="preserve">Les coûts raisonnables liés à un rappel, retrait, action corrective ou investigation résultant d’un défaut de conception, de fabrication, de qualité ou de performance imputable à DIAHO seront supportés par DIAHO. Lorsque l’événement est imputable à VETALYX, les coûts correspondants seront supportés par VETALYX. En cas de responsabilité partagée, les Parties détermineront de bonne foi la répartition des coûts.</w:t>
      </w:r>
    </w:p>
    <w:p>
      <w:pPr>
        <w:pStyle w:val="BodyText"/>
      </w:pPr>
      <w:r>
        <w:rPr>
          <w:b/>
          <w:bCs/>
        </w:rPr>
        <w:t xml:space="preserve">Responsabilité et garanties.</w:t>
      </w:r>
      <w:r>
        <w:t xml:space="preserve"> </w:t>
      </w:r>
      <w:r>
        <w:t xml:space="preserve">DIAHO garantit que les Produits fournis seront conformes aux spécifications, documents techniques, normes qualité déclarées et informations transmises à VETALYX. DIAHO garantit que les Produits ne violent pas les droits de propriété intellectuelle de tiers, à sa connaissance, et qu’elle dispose des droits nécessaires pour les fabriquer, vendre et fournir à VETALYX. DIAHO indemnisera VETALYX de toute conséquence dommageable résultant d’un défaut de conception, fabrication, information, documentation, qualité, conformité ou propriété intellectuelle imputable à DIAHO. VETALYX sera responsable des fautes directement imputables à ses propres actions de distribution, promotion ou représentation, sous réserve de l’exactitude des informations fournies par DIAHO. Aucune Partie ne sera responsable des dommages indirects, sauf faute lourde, dol, violation de confidentialité, violation de non-contournement, atteinte aux droits de propriété intellectuelle ou obligation d’indemnisation liée à un tiers.</w:t>
      </w:r>
    </w:p>
    <w:p>
      <w:r>
        <w:pict>
          <v:rect style="width:0;height:1.5pt" o:hralign="center" o:hrstd="t" o:hr="t"/>
        </w:pict>
      </w:r>
    </w:p>
    <w:bookmarkEnd w:id="25"/>
    <w:bookmarkStart w:id="26" w:name="Xdb1e2fc3c88ed6de353d1a1f5bbe8c9e06a39ee"/>
    <w:p>
      <w:pPr>
        <w:pStyle w:val="Heading2"/>
      </w:pPr>
      <w:r>
        <w:t xml:space="preserve">Article 15 — Option de production / localisation industrielle</w:t>
      </w:r>
    </w:p>
    <w:p>
      <w:pPr>
        <w:pStyle w:val="FirstParagraph"/>
      </w:pPr>
      <w:r>
        <w:t xml:space="preserve">VETALYX dispose d’une option de localisation européenne de tout ou partie de la chaîne de valeur des Produits, exercée par décision unilatérale de son Conseil d’Administration. Les Parties disposent de huit (8) mois à compter de la notification pour organiser le transfert de Savoir-Faire (Annexe 7).</w:t>
      </w:r>
    </w:p>
    <w:p>
      <w:r>
        <w:pict>
          <v:rect style="width:0;height:1.5pt" o:hralign="center" o:hrstd="t" o:hr="t"/>
        </w:pict>
      </w:r>
    </w:p>
    <w:bookmarkEnd w:id="26"/>
    <w:bookmarkStart w:id="27" w:name="Xe2741ab1dd10255dc6dea13967d569cb39bdf5c"/>
    <w:p>
      <w:pPr>
        <w:pStyle w:val="Heading2"/>
      </w:pPr>
      <w:r>
        <w:t xml:space="preserve">Article 16 — Conflit d’intérêts et conventions réglementées</w:t>
      </w:r>
    </w:p>
    <w:p>
      <w:pPr>
        <w:pStyle w:val="FirstParagraph"/>
      </w:pPr>
      <w:r>
        <w:t xml:space="preserve">Les Parties reconnaissent que DIAHO est à la fois client de la Mission, fournisseur des Produits et actionnaire fondateur à 40 % de VETALYX. En conséquence :</w:t>
      </w:r>
    </w:p>
    <w:p>
      <w:pPr>
        <w:pStyle w:val="Compact"/>
        <w:numPr>
          <w:ilvl w:val="0"/>
          <w:numId w:val="1009"/>
        </w:numPr>
      </w:pPr>
      <w:r>
        <w:t xml:space="preserve">toute convention entre VETALYX et DIAHO (ou ses Sociétés Liées) relève du régime belge des conflits d’intérêts (Article 5:76 et suivants CSA) et fera l’objet d’une</w:t>
      </w:r>
      <w:r>
        <w:t xml:space="preserve"> </w:t>
      </w:r>
      <w:r>
        <w:rPr>
          <w:b/>
          <w:bCs/>
        </w:rPr>
        <w:t xml:space="preserve">déclaration préalable</w:t>
      </w:r>
      <w:r>
        <w:t xml:space="preserve"> </w:t>
      </w:r>
      <w:r>
        <w:t xml:space="preserve">et, le cas échéant, d’un</w:t>
      </w:r>
      <w:r>
        <w:t xml:space="preserve"> </w:t>
      </w:r>
      <w:r>
        <w:rPr>
          <w:b/>
          <w:bCs/>
        </w:rPr>
        <w:t xml:space="preserve">avis du commissaire/réviseur</w:t>
      </w:r>
      <w:r>
        <w:t xml:space="preserve"> </w:t>
      </w:r>
      <w:r>
        <w:t xml:space="preserve">;</w:t>
      </w:r>
    </w:p>
    <w:p>
      <w:pPr>
        <w:pStyle w:val="Compact"/>
        <w:numPr>
          <w:ilvl w:val="0"/>
          <w:numId w:val="1009"/>
        </w:numPr>
      </w:pPr>
      <w:r>
        <w:t xml:space="preserve">les prix de transfert et la rémunération de la Mission respectent le</w:t>
      </w:r>
      <w:r>
        <w:t xml:space="preserve"> </w:t>
      </w:r>
      <w:r>
        <w:rPr>
          <w:b/>
          <w:bCs/>
        </w:rPr>
        <w:t xml:space="preserve">principe de pleine concurrence</w:t>
      </w:r>
      <w:r>
        <w:t xml:space="preserve"> </w:t>
      </w:r>
      <w:r>
        <w:t xml:space="preserve">(Article 185/2 CIR) ;</w:t>
      </w:r>
    </w:p>
    <w:p>
      <w:pPr>
        <w:pStyle w:val="Compact"/>
        <w:numPr>
          <w:ilvl w:val="0"/>
          <w:numId w:val="1009"/>
        </w:numPr>
      </w:pPr>
      <w:r>
        <w:t xml:space="preserve">les Parties tiennent une</w:t>
      </w:r>
      <w:r>
        <w:t xml:space="preserve"> </w:t>
      </w:r>
      <w:r>
        <w:rPr>
          <w:b/>
          <w:bCs/>
        </w:rPr>
        <w:t xml:space="preserve">documentation écrite</w:t>
      </w:r>
      <w:r>
        <w:t xml:space="preserve"> </w:t>
      </w:r>
      <w:r>
        <w:t xml:space="preserve">systématique de ces conventions.</w:t>
      </w:r>
    </w:p>
    <w:p>
      <w:r>
        <w:pict>
          <v:rect style="width:0;height:1.5pt" o:hralign="center" o:hrstd="t" o:hr="t"/>
        </w:pict>
      </w:r>
    </w:p>
    <w:bookmarkEnd w:id="27"/>
    <w:bookmarkStart w:id="28" w:name="article-17-droit-applicable"/>
    <w:p>
      <w:pPr>
        <w:pStyle w:val="Heading2"/>
      </w:pPr>
      <w:r>
        <w:t xml:space="preserve">Article 17 — Droit applicable</w:t>
      </w:r>
    </w:p>
    <w:p>
      <w:pPr>
        <w:pStyle w:val="FirstParagraph"/>
      </w:pPr>
      <w:r>
        <w:t xml:space="preserve">Le Contrat est régi par le droit belge.</w:t>
      </w:r>
    </w:p>
    <w:p>
      <w:r>
        <w:pict>
          <v:rect style="width:0;height:1.5pt" o:hralign="center" o:hrstd="t" o:hr="t"/>
        </w:pict>
      </w:r>
    </w:p>
    <w:bookmarkEnd w:id="28"/>
    <w:bookmarkStart w:id="29" w:name="article-18-règlement-des-litiges"/>
    <w:p>
      <w:pPr>
        <w:pStyle w:val="Heading2"/>
      </w:pPr>
      <w:r>
        <w:t xml:space="preserve">Article 18 — Règlement des litiges</w:t>
      </w:r>
    </w:p>
    <w:p>
      <w:pPr>
        <w:pStyle w:val="FirstParagraph"/>
      </w:pPr>
      <w:r>
        <w:t xml:space="preserve">Les Parties s’efforceront de résoudre à l’amiable tout différend, par voie de</w:t>
      </w:r>
      <w:r>
        <w:t xml:space="preserve"> </w:t>
      </w:r>
      <w:r>
        <w:rPr>
          <w:b/>
          <w:bCs/>
        </w:rPr>
        <w:t xml:space="preserve">médiation</w:t>
      </w:r>
      <w:r>
        <w:t xml:space="preserve">, dans un délai de soixante (60) jours.</w:t>
      </w:r>
    </w:p>
    <w:p>
      <w:pPr>
        <w:pStyle w:val="BodyText"/>
      </w:pPr>
      <w:r>
        <w:t xml:space="preserve">À défaut de résolution amiable, tout différend sera tranché par</w:t>
      </w:r>
      <w:r>
        <w:t xml:space="preserve"> </w:t>
      </w:r>
      <w:r>
        <w:rPr>
          <w:b/>
          <w:bCs/>
        </w:rPr>
        <w:t xml:space="preserve">arbitrage</w:t>
      </w:r>
      <w:r>
        <w:t xml:space="preserve">, selon le règlement convenu entre les Parties, avec</w:t>
      </w:r>
      <w:r>
        <w:t xml:space="preserve"> </w:t>
      </w:r>
      <w:r>
        <w:rPr>
          <w:b/>
          <w:bCs/>
        </w:rPr>
        <w:t xml:space="preserve">siège en Suisse (Genève)</w:t>
      </w:r>
      <w:r>
        <w:t xml:space="preserve">. L’arbitrage sera conduit en anglais.</w:t>
      </w:r>
    </w:p>
    <w:p>
      <w:pPr>
        <w:pStyle w:val="BodyText"/>
      </w:pPr>
      <w:r>
        <w:t xml:space="preserve">Les mesures conservatoires ou d’urgence pourront être demandées devant les tribunaux de l’entreprise du siège social de VETALYX (Belgique).</w:t>
      </w:r>
    </w:p>
    <w:p>
      <w:r>
        <w:pict>
          <v:rect style="width:0;height:1.5pt" o:hralign="center" o:hrstd="t" o:hr="t"/>
        </w:pict>
      </w:r>
    </w:p>
    <w:bookmarkEnd w:id="29"/>
    <w:bookmarkStart w:id="30" w:name="article-19-langue"/>
    <w:p>
      <w:pPr>
        <w:pStyle w:val="Heading2"/>
      </w:pPr>
      <w:r>
        <w:t xml:space="preserve">Article 19 — Langue</w:t>
      </w:r>
    </w:p>
    <w:p>
      <w:pPr>
        <w:pStyle w:val="FirstParagraph"/>
      </w:pPr>
      <w:r>
        <w:t xml:space="preserve">La</w:t>
      </w:r>
      <w:r>
        <w:t xml:space="preserve"> </w:t>
      </w:r>
      <w:r>
        <w:rPr>
          <w:b/>
          <w:bCs/>
        </w:rPr>
        <w:t xml:space="preserve">version officielle et juridiquement contraignante</w:t>
      </w:r>
      <w:r>
        <w:t xml:space="preserve"> </w:t>
      </w:r>
      <w:r>
        <w:t xml:space="preserve">du Contrat et de ses annexes est établie en</w:t>
      </w:r>
      <w:r>
        <w:t xml:space="preserve"> </w:t>
      </w:r>
      <w:r>
        <w:rPr>
          <w:b/>
          <w:bCs/>
        </w:rPr>
        <w:t xml:space="preserve">anglais</w:t>
      </w:r>
      <w:r>
        <w:t xml:space="preserve">.</w:t>
      </w:r>
    </w:p>
    <w:p>
      <w:pPr>
        <w:pStyle w:val="BodyText"/>
      </w:pPr>
      <w:r>
        <w:t xml:space="preserve">Le français et le chinois sont des</w:t>
      </w:r>
      <w:r>
        <w:t xml:space="preserve"> </w:t>
      </w:r>
      <w:r>
        <w:rPr>
          <w:b/>
          <w:bCs/>
        </w:rPr>
        <w:t xml:space="preserve">versions de travail</w:t>
      </w:r>
      <w:r>
        <w:t xml:space="preserve"> </w:t>
      </w:r>
      <w:r>
        <w:t xml:space="preserve">destinées à faciliter la compréhension de chaque Partie ; en cas de divergence, la version anglaise prévaut.</w:t>
      </w:r>
    </w:p>
    <w:p>
      <w:r>
        <w:pict>
          <v:rect style="width:0;height:1.5pt" o:hralign="center" o:hrstd="t" o:hr="t"/>
        </w:pict>
      </w:r>
    </w:p>
    <w:bookmarkEnd w:id="30"/>
    <w:bookmarkStart w:id="31" w:name="article-20-dispositions-finales"/>
    <w:p>
      <w:pPr>
        <w:pStyle w:val="Heading2"/>
      </w:pPr>
      <w:r>
        <w:t xml:space="preserve">Article 20 — Dispositions finales</w:t>
      </w:r>
    </w:p>
    <w:p>
      <w:pPr>
        <w:pStyle w:val="FirstParagraph"/>
      </w:pPr>
      <w:r>
        <w:rPr>
          <w:b/>
          <w:bCs/>
        </w:rPr>
        <w:t xml:space="preserve">Modification :</w:t>
      </w:r>
      <w:r>
        <w:t xml:space="preserve"> </w:t>
      </w:r>
      <w:r>
        <w:t xml:space="preserve">toute modification est opérée par avenant écrit signé par les deux Parties.</w:t>
      </w:r>
    </w:p>
    <w:p>
      <w:pPr>
        <w:pStyle w:val="BodyText"/>
      </w:pPr>
      <w:r>
        <w:rPr>
          <w:b/>
          <w:bCs/>
        </w:rPr>
        <w:t xml:space="preserve">Intégralité :</w:t>
      </w:r>
      <w:r>
        <w:t xml:space="preserve"> </w:t>
      </w:r>
      <w:r>
        <w:t xml:space="preserve">le Contrat et ses annexes constituent l’accord complet entre les Parties.</w:t>
      </w:r>
    </w:p>
    <w:p>
      <w:pPr>
        <w:pStyle w:val="BodyText"/>
      </w:pPr>
      <w:r>
        <w:rPr>
          <w:b/>
          <w:bCs/>
        </w:rPr>
        <w:t xml:space="preserve">Primauté :</w:t>
      </w:r>
      <w:r>
        <w:t xml:space="preserve"> </w:t>
      </w:r>
      <w:r>
        <w:t xml:space="preserve">en cas de contradiction entre le présent Contrat et le Pacte d’Actionnaires, le Pacte prévaut pour toutes les questions de capital ; le présent Contrat prévaut pour la Mission, les aspects commerciaux et réglementaires.</w:t>
      </w:r>
    </w:p>
    <w:p>
      <w:pPr>
        <w:pStyle w:val="BodyText"/>
      </w:pPr>
      <w:r>
        <w:rPr>
          <w:b/>
          <w:bCs/>
        </w:rPr>
        <w:t xml:space="preserve">Cession et changement de contrôle.</w:t>
      </w:r>
      <w:r>
        <w:t xml:space="preserve"> </w:t>
      </w:r>
      <w:r>
        <w:t xml:space="preserve">DIAHO ne pourra céder, transférer ou apporter tout ou partie de ses droits ou obligations au titre du Contrat sans l’accord écrit préalable de VETALYX. VETALYX pourra céder le Contrat à une société liée, une société de son groupe, un successeur, un repreneur, un investisseur ou une entité poursuivant l’activité de distribution et de représentation des Produits, sous réserve d’en informer DIAHO. En cas de changement de contrôle de DIAHO, de restructuration, fusion, acquisition, cession d’actifs ou modification affectant la fourniture des Produits, DIAHO devra en informer VETALYX sans délai, et les obligations d’exclusivité, de non-contournement, de droit de premier refus et de fourniture documentaire resteront applicables.</w:t>
      </w:r>
    </w:p>
    <w:p>
      <w:pPr>
        <w:pStyle w:val="BodyText"/>
      </w:pPr>
      <w:r>
        <w:rPr>
          <w:b/>
          <w:bCs/>
        </w:rPr>
        <w:t xml:space="preserve">Assurance.</w:t>
      </w:r>
      <w:r>
        <w:t xml:space="preserve"> </w:t>
      </w:r>
      <w:r>
        <w:t xml:space="preserve">Chaque Partie s’engage à maintenir pendant la durée du Contrat une assurance appropriée couvrant ses activités, responsabilités et risques liés à l’exécution du Contrat. DIAHO devra notamment maintenir une assurance couvrant les risques liés à la fabrication, la qualité, la conformité et la responsabilité produit. VETALYX devra maintenir une assurance couvrant ses activités de distribution, représentation réglementaire et développement commercial. Chaque Partie fournira à l’autre, sur demande raisonnable, une attestation d’assurance.</w:t>
      </w:r>
    </w:p>
    <w:p>
      <w:pPr>
        <w:pStyle w:val="BodyText"/>
      </w:pPr>
      <w:r>
        <w:rPr>
          <w:b/>
          <w:bCs/>
        </w:rPr>
        <w:t xml:space="preserve">Force majeure.</w:t>
      </w:r>
      <w:r>
        <w:t xml:space="preserve"> </w:t>
      </w:r>
      <w:r>
        <w:t xml:space="preserve">Aucune Partie ne sera responsable d’un retard ou d’une inexécution résultant d’un événement de force majeure tel que défini par le droit belge, sous réserve que la Partie affectée en informe l’autre Partie dans les meilleurs délais et prenne les mesures raisonnables pour en limiter les effets. Si l’événement de force majeure se poursuit pendant plus de quatre-vingt-dix (90) jours, les Parties se réuniront afin de déterminer les conditions de poursuite, suspension ou cessation du Contrat.</w:t>
      </w:r>
    </w:p>
    <w:p>
      <w:pPr>
        <w:pStyle w:val="BodyText"/>
      </w:pPr>
      <w:r>
        <w:rPr>
          <w:b/>
          <w:bCs/>
        </w:rPr>
        <w:t xml:space="preserve">Indépendance des Parties.</w:t>
      </w:r>
      <w:r>
        <w:t xml:space="preserve"> </w:t>
      </w:r>
      <w:r>
        <w:t xml:space="preserve">Les Parties agissent en qualité de contractants indépendants. Aucune disposition du Contrat ne pourra être interprétée comme créant entre elles une société commune, une relation d’employeur à salarié, un mandat général, une agence commerciale, une franchise ou une relation de représentation autre que le mandat spécifique de Représentant Autorisé Européen prévu au Contrat. VETALYX ne pourra engager DIAHO au-delà des pouvoirs expressément prévus par le Contrat ou par le mandat réglementaire correspondant.</w:t>
      </w:r>
    </w:p>
    <w:p>
      <w:pPr>
        <w:pStyle w:val="BodyText"/>
      </w:pPr>
      <w:r>
        <w:rPr>
          <w:b/>
          <w:bCs/>
        </w:rPr>
        <w:t xml:space="preserve">Notifications.</w:t>
      </w:r>
      <w:r>
        <w:t xml:space="preserve"> </w:t>
      </w:r>
      <w:r>
        <w:t xml:space="preserve">Toute notification au titre du Contrat devra être faite par écrit et envoyée par courrier recommandé, service de messagerie internationale reconnue ou courrier électronique avec accusé de réception aux adresses indiquées ci-dessous. Pour VETALYX : [adresse] [email] À l’attention de : [nom]. Pour DIAHO : [adresse] [email] À l’attention de : [nom]. Chaque Partie pourra modifier ses coordonnées de notification en informant l’autre Partie par écrit.</w:t>
      </w:r>
    </w:p>
    <w:p>
      <w:pPr>
        <w:pStyle w:val="BodyText"/>
      </w:pPr>
      <w:r>
        <w:rPr>
          <w:b/>
          <w:bCs/>
        </w:rPr>
        <w:t xml:space="preserve">Nullité partielle.</w:t>
      </w:r>
      <w:r>
        <w:t xml:space="preserve"> </w:t>
      </w:r>
      <w:r>
        <w:t xml:space="preserve">Si une disposition du Contrat est déclarée nulle, invalide ou inapplicable, les autres dispositions resteront en vigueur. Les Parties s’engagent à remplacer la disposition concernée par une disposition valable produisant, dans la mesure du possible, un effet économique et juridique équivalent.</w:t>
      </w:r>
    </w:p>
    <w:p>
      <w:r>
        <w:pict>
          <v:rect style="width:0;height:1.5pt" o:hralign="center" o:hrstd="t" o:hr="t"/>
        </w:pict>
      </w:r>
    </w:p>
    <w:bookmarkEnd w:id="31"/>
    <w:bookmarkStart w:id="32" w:name="X2e0b271c26dfa614a6e53ec33288390d36a0e79"/>
    <w:p>
      <w:pPr>
        <w:pStyle w:val="Heading2"/>
      </w:pPr>
      <w:r>
        <w:t xml:space="preserve">Article 21 — Engagements de Zheda Dixun (Fabricant)</w:t>
      </w:r>
    </w:p>
    <w:p>
      <w:pPr>
        <w:pStyle w:val="FirstParagraph"/>
      </w:pPr>
      <w:r>
        <w:rPr>
          <w:b/>
          <w:bCs/>
        </w:rPr>
        <w:t xml:space="preserve">21.1. Rôle et portée.</w:t>
      </w:r>
      <w:r>
        <w:t xml:space="preserve"> </w:t>
      </w:r>
      <w:r>
        <w:t xml:space="preserve">Zheda Dixun intervient aux présentes en qualité de</w:t>
      </w:r>
      <w:r>
        <w:t xml:space="preserve"> </w:t>
      </w:r>
      <w:r>
        <w:rPr>
          <w:b/>
          <w:bCs/>
        </w:rPr>
        <w:t xml:space="preserve">Fabricant effectif</w:t>
      </w:r>
      <w:r>
        <w:t xml:space="preserve"> </w:t>
      </w:r>
      <w:r>
        <w:t xml:space="preserve">des Produits Initiaux et d’actionnaire de DIAHO. Par la signature des présentes et/ou de l’</w:t>
      </w:r>
      <w:r>
        <w:rPr>
          <w:b/>
          <w:bCs/>
        </w:rPr>
        <w:t xml:space="preserve">Acte d’Adhésion</w:t>
      </w:r>
      <w:r>
        <w:t xml:space="preserve"> </w:t>
      </w:r>
      <w:r>
        <w:t xml:space="preserve">(Annexe 10), Dixun</w:t>
      </w:r>
      <w:r>
        <w:t xml:space="preserve"> </w:t>
      </w:r>
      <w:r>
        <w:rPr>
          <w:b/>
          <w:bCs/>
        </w:rPr>
        <w:t xml:space="preserve">adhère</w:t>
      </w:r>
      <w:r>
        <w:t xml:space="preserve"> </w:t>
      </w:r>
      <w:r>
        <w:t xml:space="preserve">aux obligations énoncées au présent Article 21 ainsi qu’aux Articles 8, 9, 12, 13 et 15 et à l’Annexe 9, dans la mesure où ils la concernent. Ces engagements sont</w:t>
      </w:r>
      <w:r>
        <w:t xml:space="preserve"> </w:t>
      </w:r>
      <w:r>
        <w:rPr>
          <w:b/>
          <w:bCs/>
        </w:rPr>
        <w:t xml:space="preserve">directement exécutoires</w:t>
      </w:r>
      <w:r>
        <w:t xml:space="preserve"> </w:t>
      </w:r>
      <w:r>
        <w:t xml:space="preserve">par VETALYX et par DIAHO.</w:t>
      </w:r>
    </w:p>
    <w:p>
      <w:pPr>
        <w:pStyle w:val="BodyText"/>
      </w:pPr>
      <w:r>
        <w:rPr>
          <w:b/>
          <w:bCs/>
        </w:rPr>
        <w:t xml:space="preserve">21.2. Qualité et conformité.</w:t>
      </w:r>
      <w:r>
        <w:t xml:space="preserve"> </w:t>
      </w:r>
      <w:r>
        <w:t xml:space="preserve">Dixun garantit que les Produits sont fabriqués conformément aux spécifications applicables (Annexe 2), au Quality Agreement (Annexe 3) et aux exigences réglementaires chinoises et européennes applicables à la fabrication. Dixun applique le change control et s’interdit toute modification de conception, de composition, de fabrication ou de performance des Produits sans l’accord préalable écrit de VETALYX.</w:t>
      </w:r>
    </w:p>
    <w:p>
      <w:pPr>
        <w:pStyle w:val="BodyText"/>
      </w:pPr>
      <w:r>
        <w:rPr>
          <w:b/>
          <w:bCs/>
        </w:rPr>
        <w:t xml:space="preserve">21.3. Documentation réglementaire et technique.</w:t>
      </w:r>
      <w:r>
        <w:t xml:space="preserve"> </w:t>
      </w:r>
      <w:r>
        <w:t xml:space="preserve">Dixun fournit — directement ou par l’intermédiaire de DIAHO — l’ensemble des données, dossiers, certificats et documentations techniques nécessaires aux enregistrements réglementaires des Produits sur le Territoire (Article 8). Elle en garantit l’exactitude, la sincérité et l’exhaustivité.</w:t>
      </w:r>
    </w:p>
    <w:p>
      <w:pPr>
        <w:pStyle w:val="BodyText"/>
      </w:pPr>
      <w:r>
        <w:rPr>
          <w:b/>
          <w:bCs/>
        </w:rPr>
        <w:t xml:space="preserve">21.4. Non-contournement et exclusivité.</w:t>
      </w:r>
      <w:r>
        <w:t xml:space="preserve"> </w:t>
      </w:r>
      <w:r>
        <w:t xml:space="preserve">Dixun s’interdit de vendre, d’offrir ou de fournir, directement ou indirectement, les Produits sur le Territoire autrement que par VETALYX. Elle transmet sans délai à VETALYX et à DIAHO toute demande ou commande provenant du Territoire.</w:t>
      </w:r>
    </w:p>
    <w:p>
      <w:pPr>
        <w:pStyle w:val="BodyText"/>
      </w:pPr>
      <w:r>
        <w:rPr>
          <w:b/>
          <w:bCs/>
        </w:rPr>
        <w:t xml:space="preserve">21.5. Confidentialité.</w:t>
      </w:r>
      <w:r>
        <w:t xml:space="preserve"> </w:t>
      </w:r>
      <w:r>
        <w:t xml:space="preserve">Dixun est tenue aux obligations de confidentialité de l’Article 12 et de confidentialité renforcée de l’Annexe 9.</w:t>
      </w:r>
    </w:p>
    <w:p>
      <w:pPr>
        <w:pStyle w:val="BodyText"/>
      </w:pPr>
      <w:r>
        <w:rPr>
          <w:b/>
          <w:bCs/>
        </w:rPr>
        <w:t xml:space="preserve">21.6. Continuité d’approvisionnement et stabilité des prix.</w:t>
      </w:r>
      <w:r>
        <w:t xml:space="preserve"> </w:t>
      </w:r>
      <w:r>
        <w:t xml:space="preserve">Dixun s’engage à assurer la continuité d’approvisionnement des Produits commandés par VETALYX et à respecter le mécanisme d’encadrement des prix de l’Article 10, sans augmentation unilatérale.</w:t>
      </w:r>
    </w:p>
    <w:p>
      <w:pPr>
        <w:pStyle w:val="BodyText"/>
      </w:pPr>
      <w:r>
        <w:rPr>
          <w:b/>
          <w:bCs/>
        </w:rPr>
        <w:t xml:space="preserve">21.7. Audit.</w:t>
      </w:r>
      <w:r>
        <w:t xml:space="preserve"> </w:t>
      </w:r>
      <w:r>
        <w:t xml:space="preserve">Dixun accepte les audits de l’Article 13 et coopère de bonne foi, notamment en donnant accès à ses sites de fabrication, à son système qualité et à sa documentation.</w:t>
      </w:r>
    </w:p>
    <w:p>
      <w:pPr>
        <w:pStyle w:val="BodyText"/>
      </w:pPr>
      <w:r>
        <w:rPr>
          <w:b/>
          <w:bCs/>
        </w:rPr>
        <w:t xml:space="preserve">21.8. Localisation industrielle.</w:t>
      </w:r>
      <w:r>
        <w:t xml:space="preserve"> </w:t>
      </w:r>
      <w:r>
        <w:t xml:space="preserve">Dixun coopère au transfert de Savoir-Faire et à la localisation industrielle prévus à l’Article 15 et à l’Annexe 7, et consent, le cas échéant, les licences de propriété intellectuelle nécessaires à cette fin, selon un accord séparé. Sans préjudice des termes commerciaux à convenir, la présente clause n’emporte ni cession ni licence de plein droit.</w:t>
      </w:r>
    </w:p>
    <w:p>
      <w:pPr>
        <w:pStyle w:val="BodyText"/>
      </w:pPr>
      <w:r>
        <w:rPr>
          <w:b/>
          <w:bCs/>
        </w:rPr>
        <w:t xml:space="preserve">21.9. Solidarité.</w:t>
      </w:r>
      <w:r>
        <w:t xml:space="preserve"> </w:t>
      </w:r>
      <w:r>
        <w:t xml:space="preserve">Pour les obligations visées au présent Article 21, DIAHO et Dixun sont tenues</w:t>
      </w:r>
      <w:r>
        <w:t xml:space="preserve"> </w:t>
      </w:r>
      <w:r>
        <w:rPr>
          <w:b/>
          <w:bCs/>
        </w:rPr>
        <w:t xml:space="preserve">solidairement</w:t>
      </w:r>
      <w:r>
        <w:t xml:space="preserve"> </w:t>
      </w:r>
      <w:r>
        <w:t xml:space="preserve">envers VETALYX. Les engagements de Dixun ne libèrent pas DIAHO de ses propres obligations ; DIAHO demeure pleinement responsable envers VETALYX, y compris en cas de manquement de Dixun. Aucune contestation entre DIAHO et Dixun, ni aucune disposition de leurs accords internes, n’est opposable à VETALYX.</w:t>
      </w:r>
    </w:p>
    <w:p>
      <w:pPr>
        <w:pStyle w:val="BodyText"/>
      </w:pPr>
      <w:r>
        <w:rPr>
          <w:b/>
          <w:bCs/>
        </w:rPr>
        <w:t xml:space="preserve">21.10. Durée.</w:t>
      </w:r>
      <w:r>
        <w:t xml:space="preserve"> </w:t>
      </w:r>
      <w:r>
        <w:t xml:space="preserve">Les engagements de Dixun suivent la durée du Contrat. À l’issue du Contrat, les obligations de</w:t>
      </w:r>
      <w:r>
        <w:t xml:space="preserve"> </w:t>
      </w:r>
      <w:r>
        <w:rPr>
          <w:b/>
          <w:bCs/>
        </w:rPr>
        <w:t xml:space="preserve">non-contournement</w:t>
      </w:r>
      <w:r>
        <w:t xml:space="preserve"> </w:t>
      </w:r>
      <w:r>
        <w:t xml:space="preserve">(Articles 12 et 21.4) survivent pendant cinq (5) ans, et les obligations de</w:t>
      </w:r>
      <w:r>
        <w:t xml:space="preserve"> </w:t>
      </w:r>
      <w:r>
        <w:rPr>
          <w:b/>
          <w:bCs/>
        </w:rPr>
        <w:t xml:space="preserve">confidentialité</w:t>
      </w:r>
      <w:r>
        <w:t xml:space="preserve"> </w:t>
      </w:r>
      <w:r>
        <w:t xml:space="preserve">(Articles 12 et 21.5) survivent</w:t>
      </w:r>
      <w:r>
        <w:t xml:space="preserve"> </w:t>
      </w:r>
      <w:r>
        <w:rPr>
          <w:b/>
          <w:bCs/>
        </w:rPr>
        <w:t xml:space="preserve">sans limitation de durée</w:t>
      </w:r>
      <w:r>
        <w:t xml:space="preserve"> </w:t>
      </w:r>
      <w:r>
        <w:t xml:space="preserve">aussi longtemps que l’information concernée demeure confidentielle.</w:t>
      </w:r>
    </w:p>
    <w:p>
      <w:r>
        <w:pict>
          <v:rect style="width:0;height:1.5pt" o:hralign="center" o:hrstd="t" o:hr="t"/>
        </w:pict>
      </w:r>
    </w:p>
    <w:bookmarkEnd w:id="32"/>
    <w:bookmarkStart w:id="33" w:name="signatures"/>
    <w:p>
      <w:pPr>
        <w:pStyle w:val="Heading2"/>
      </w:pPr>
      <w:r>
        <w:t xml:space="preserve">SIGNATURES</w:t>
      </w:r>
    </w:p>
    <w:p>
      <w:pPr>
        <w:pStyle w:val="FirstParagraph"/>
      </w:pPr>
      <w:r>
        <w:t xml:space="preserve">Fait à [LIEU], le [DATE], en cinq (5) exemplaires originaux.</w:t>
      </w:r>
    </w:p>
    <w:p>
      <w:pPr>
        <w:pStyle w:val="BodyText"/>
      </w:pPr>
      <w:r>
        <w:rPr>
          <w:b/>
          <w:bCs/>
        </w:rPr>
        <w:t xml:space="preserve">Pour VETALYX :</w:t>
      </w:r>
    </w:p>
    <w:p>
      <w:pPr>
        <w:pStyle w:val="BodyText"/>
      </w:pPr>
      <w:r>
        <w:t xml:space="preserve">Jean-Christophe HAVAUX — Fondateur</w:t>
      </w:r>
      <w:r>
        <w:t xml:space="preserve"> </w:t>
      </w:r>
      <w:r>
        <w:t xml:space="preserve">Signature : __________________</w:t>
      </w:r>
    </w:p>
    <w:p>
      <w:pPr>
        <w:pStyle w:val="BodyText"/>
      </w:pPr>
      <w:r>
        <w:rPr>
          <w:b/>
          <w:bCs/>
        </w:rPr>
        <w:t xml:space="preserve">Pour DIAHO :</w:t>
      </w:r>
    </w:p>
    <w:p>
      <w:pPr>
        <w:pStyle w:val="BodyText"/>
      </w:pPr>
      <w:r>
        <w:t xml:space="preserve">[X] — [X]</w:t>
      </w:r>
      <w:r>
        <w:t xml:space="preserve"> </w:t>
      </w:r>
      <w:r>
        <w:t xml:space="preserve">Signature : __________________</w:t>
      </w:r>
      <w:r>
        <w:t xml:space="preserve"> </w:t>
      </w:r>
      <w:r>
        <w:t xml:space="preserve">Cachet : ☐</w:t>
      </w:r>
    </w:p>
    <w:p>
      <w:pPr>
        <w:pStyle w:val="BodyText"/>
      </w:pPr>
      <w:r>
        <w:rPr>
          <w:b/>
          <w:bCs/>
        </w:rPr>
        <w:t xml:space="preserve">Pour ZHEDA DIXUN — signataire (engagements de l’Article 21) :</w:t>
      </w:r>
    </w:p>
    <w:p>
      <w:pPr>
        <w:pStyle w:val="BodyText"/>
      </w:pPr>
      <w:r>
        <w:t xml:space="preserve">[X] — [X]</w:t>
      </w:r>
      <w:r>
        <w:t xml:space="preserve"> </w:t>
      </w:r>
      <w:r>
        <w:t xml:space="preserve">Signature : __________________</w:t>
      </w:r>
      <w:r>
        <w:t xml:space="preserve"> </w:t>
      </w:r>
      <w:r>
        <w:t xml:space="preserve">Cachet : ☐</w:t>
      </w:r>
    </w:p>
    <w:p>
      <w:pPr>
        <w:pStyle w:val="BlockText"/>
      </w:pPr>
      <w:r>
        <w:rPr>
          <w:b/>
          <w:bCs/>
        </w:rPr>
        <w:t xml:space="preserve">Nom chinois de DIAHO à confirmer avant signature :</w:t>
      </w:r>
      <w:r>
        <w:t xml:space="preserve"> </w:t>
      </w:r>
      <w:r>
        <w:t xml:space="preserve">« </w:t>
      </w:r>
      <w:r>
        <w:rPr>
          <w:rFonts w:hint="eastAsia"/>
        </w:rPr>
        <w:t xml:space="preserve">迪亚霍</w:t>
      </w:r>
      <w:r>
        <w:t xml:space="preserve"> » (utilisé dans le présent Contrat) ou « </w:t>
      </w:r>
      <w:r>
        <w:rPr>
          <w:rFonts w:hint="eastAsia"/>
        </w:rPr>
        <w:t xml:space="preserve">迪鸿</w:t>
      </w:r>
      <w:r>
        <w:t xml:space="preserve"> » — à faire confirmer officiellement par DIAHO.</w:t>
      </w:r>
    </w:p>
    <w:p>
      <w:r>
        <w:pict>
          <v:rect style="width:0;height:1.5pt" o:hralign="center" o:hrstd="t" o:hr="t"/>
        </w:pict>
      </w:r>
    </w:p>
    <w:bookmarkEnd w:id="33"/>
    <w:bookmarkStart w:id="44" w:name="annexes"/>
    <w:p>
      <w:pPr>
        <w:pStyle w:val="Heading2"/>
      </w:pPr>
      <w:r>
        <w:t xml:space="preserve">ANNEXES</w:t>
      </w:r>
    </w:p>
    <w:bookmarkStart w:id="34" w:name="annexe-1-produits-initiaux"/>
    <w:p>
      <w:pPr>
        <w:pStyle w:val="Heading3"/>
      </w:pPr>
      <w:r>
        <w:t xml:space="preserve">Annexe 1 — Produits Initiaux</w:t>
      </w:r>
    </w:p>
    <w:p>
      <w:pPr>
        <w:pStyle w:val="FirstParagraph"/>
      </w:pPr>
      <w:r>
        <w:rPr>
          <w:b/>
          <w:bCs/>
        </w:rPr>
        <w:t xml:space="preserve">Contenu prévu :</w:t>
      </w:r>
      <w:r>
        <w:t xml:space="preserve"> </w:t>
      </w:r>
      <w:r>
        <w:t xml:space="preserve">liste et description des Produits couverts (tests rapides de détection des allergies chien/chat) : nom commercial, référence, fabricant effectif, principe du test, espèce cible, panel d’allergènes, type d’échantillon, statut réglementaire.</w:t>
      </w:r>
      <w:r>
        <w:t xml:space="preserve"> </w:t>
      </w:r>
      <w:r>
        <w:rPr>
          <w:b/>
          <w:bCs/>
        </w:rPr>
        <w:t xml:space="preserve">Responsable :</w:t>
      </w:r>
      <w:r>
        <w:t xml:space="preserve"> </w:t>
      </w:r>
      <w:r>
        <w:t xml:space="preserve">DIAHO</w:t>
      </w:r>
      <w:r>
        <w:t xml:space="preserve"> </w:t>
      </w:r>
      <w:r>
        <w:rPr>
          <w:b/>
          <w:bCs/>
        </w:rPr>
        <w:t xml:space="preserve">Statut :</w:t>
      </w:r>
      <w:r>
        <w:t xml:space="preserve"> </w:t>
      </w:r>
      <w:r>
        <w:t xml:space="preserve">⬜ À finaliser</w:t>
      </w:r>
    </w:p>
    <w:bookmarkEnd w:id="34"/>
    <w:bookmarkStart w:id="35" w:name="X882b6d374a562124912da7b8cefebde29f3242c"/>
    <w:p>
      <w:pPr>
        <w:pStyle w:val="Heading3"/>
      </w:pPr>
      <w:r>
        <w:t xml:space="preserve">Annexe 2 — Spécifications techniques et données scientifiques</w:t>
      </w:r>
    </w:p>
    <w:p>
      <w:pPr>
        <w:pStyle w:val="FirstParagraph"/>
      </w:pPr>
      <w:r>
        <w:rPr>
          <w:b/>
          <w:bCs/>
        </w:rPr>
        <w:t xml:space="preserve">Contenu prévu :</w:t>
      </w:r>
      <w:r>
        <w:t xml:space="preserve"> </w:t>
      </w:r>
      <w:r>
        <w:t xml:space="preserve">spécifications détaillées de chaque Produit (composition, analyte mesuré, sensibilité/spécificité, stabilité, durée de vie, conditions de conservation et de transport, critères d’acceptation à réception) ; études de performance, données de sensibilité/spécificité, comparaisons avec méthodes de référence, données utiles aux vétérinaires prescripteurs, validations cliniques.</w:t>
      </w:r>
      <w:r>
        <w:t xml:space="preserve"> </w:t>
      </w:r>
      <w:r>
        <w:rPr>
          <w:b/>
          <w:bCs/>
        </w:rPr>
        <w:t xml:space="preserve">Responsable :</w:t>
      </w:r>
      <w:r>
        <w:t xml:space="preserve"> </w:t>
      </w:r>
      <w:r>
        <w:t xml:space="preserve">DIAHO</w:t>
      </w:r>
      <w:r>
        <w:t xml:space="preserve"> </w:t>
      </w:r>
      <w:r>
        <w:rPr>
          <w:b/>
          <w:bCs/>
        </w:rPr>
        <w:t xml:space="preserve">Statut :</w:t>
      </w:r>
      <w:r>
        <w:t xml:space="preserve"> </w:t>
      </w:r>
      <w:r>
        <w:t xml:space="preserve">⬜ À finaliser</w:t>
      </w:r>
    </w:p>
    <w:bookmarkEnd w:id="35"/>
    <w:bookmarkStart w:id="36" w:name="annexe-3-quality-agreement"/>
    <w:p>
      <w:pPr>
        <w:pStyle w:val="Heading3"/>
      </w:pPr>
      <w:r>
        <w:t xml:space="preserve">Annexe 3 — Quality Agreement</w:t>
      </w:r>
    </w:p>
    <w:p>
      <w:pPr>
        <w:pStyle w:val="FirstParagraph"/>
      </w:pPr>
      <w:r>
        <w:rPr>
          <w:b/>
          <w:bCs/>
        </w:rPr>
        <w:t xml:space="preserve">Contenu prévu :</w:t>
      </w:r>
      <w:r>
        <w:t xml:space="preserve"> </w:t>
      </w:r>
      <w:r>
        <w:t xml:space="preserve">responsabilités qualité des Parties — rôles (Fabricant Légal / Mandataire), libération des lots, traçabilité, change control, non-conformités/CAPA, réclamations, rappels/FSCA, vigilance, audit, documentation et conservation.</w:t>
      </w:r>
      <w:r>
        <w:t xml:space="preserve"> </w:t>
      </w:r>
      <w:r>
        <w:rPr>
          <w:b/>
          <w:bCs/>
        </w:rPr>
        <w:t xml:space="preserve">Responsable :</w:t>
      </w:r>
      <w:r>
        <w:t xml:space="preserve"> </w:t>
      </w:r>
      <w:r>
        <w:t xml:space="preserve">VETALYX + DIAHO</w:t>
      </w:r>
      <w:r>
        <w:t xml:space="preserve"> </w:t>
      </w:r>
      <w:r>
        <w:rPr>
          <w:b/>
          <w:bCs/>
        </w:rPr>
        <w:t xml:space="preserve">Statut :</w:t>
      </w:r>
      <w:r>
        <w:t xml:space="preserve"> </w:t>
      </w:r>
      <w:r>
        <w:t xml:space="preserve">⏸️ À fournir après constitution de la société (document existant, plusieurs pages — non nécessaire avant la constitution)</w:t>
      </w:r>
    </w:p>
    <w:bookmarkEnd w:id="36"/>
    <w:bookmarkStart w:id="37" w:name="annexe-4-territoire-européen"/>
    <w:p>
      <w:pPr>
        <w:pStyle w:val="Heading3"/>
      </w:pPr>
      <w:r>
        <w:t xml:space="preserve">Annexe 4 — Territoire européen</w:t>
      </w:r>
    </w:p>
    <w:p>
      <w:pPr>
        <w:pStyle w:val="FirstParagraph"/>
      </w:pPr>
      <w:r>
        <w:rPr>
          <w:b/>
          <w:bCs/>
        </w:rPr>
        <w:t xml:space="preserve">Contenu prévu :</w:t>
      </w:r>
      <w:r>
        <w:t xml:space="preserve"> </w:t>
      </w:r>
      <w:r>
        <w:t xml:space="preserve">liste des pays couverts (États membres de l’UE et autres pays européens), pays prioritaires, pays éventuellement exclus ou à traiter séparément.</w:t>
      </w:r>
      <w:r>
        <w:t xml:space="preserve"> </w:t>
      </w:r>
      <w:r>
        <w:rPr>
          <w:b/>
          <w:bCs/>
        </w:rPr>
        <w:t xml:space="preserve">Responsable :</w:t>
      </w:r>
      <w:r>
        <w:t xml:space="preserve"> </w:t>
      </w:r>
      <w:r>
        <w:t xml:space="preserve">VETALYX</w:t>
      </w:r>
      <w:r>
        <w:t xml:space="preserve"> </w:t>
      </w:r>
      <w:r>
        <w:rPr>
          <w:b/>
          <w:bCs/>
        </w:rPr>
        <w:t xml:space="preserve">Statut :</w:t>
      </w:r>
      <w:r>
        <w:t xml:space="preserve"> </w:t>
      </w:r>
      <w:r>
        <w:t xml:space="preserve">⬜ À finaliser</w:t>
      </w:r>
    </w:p>
    <w:bookmarkEnd w:id="37"/>
    <w:bookmarkStart w:id="38" w:name="annexe-5-conditions-commerciales"/>
    <w:p>
      <w:pPr>
        <w:pStyle w:val="Heading3"/>
      </w:pPr>
      <w:r>
        <w:t xml:space="preserve">Annexe 5 — Conditions commerciales</w:t>
      </w:r>
    </w:p>
    <w:p>
      <w:pPr>
        <w:pStyle w:val="FirstParagraph"/>
      </w:pPr>
      <w:r>
        <w:rPr>
          <w:b/>
          <w:bCs/>
        </w:rPr>
        <w:t xml:space="preserve">Contenu prévu :</w:t>
      </w:r>
      <w:r>
        <w:t xml:space="preserve"> </w:t>
      </w:r>
      <w:r>
        <w:t xml:space="preserve">prix de transfert (principe de pleine concurrence), mécanisme d’encadrement des prix (période de revue, indexation), Incoterms, délais de livraison, modalités de paiement, échéancier de facturation de la Mission (100 000 € + 20 000 €).</w:t>
      </w:r>
      <w:r>
        <w:t xml:space="preserve"> </w:t>
      </w:r>
      <w:r>
        <w:rPr>
          <w:b/>
          <w:bCs/>
        </w:rPr>
        <w:t xml:space="preserve">Responsable :</w:t>
      </w:r>
      <w:r>
        <w:t xml:space="preserve"> </w:t>
      </w:r>
      <w:r>
        <w:t xml:space="preserve">VETALYX + DIAHO</w:t>
      </w:r>
      <w:r>
        <w:t xml:space="preserve"> </w:t>
      </w:r>
      <w:r>
        <w:rPr>
          <w:b/>
          <w:bCs/>
        </w:rPr>
        <w:t xml:space="preserve">Statut :</w:t>
      </w:r>
      <w:r>
        <w:t xml:space="preserve"> </w:t>
      </w:r>
      <w:r>
        <w:t xml:space="preserve">⬜ À finaliser</w:t>
      </w:r>
    </w:p>
    <w:bookmarkEnd w:id="38"/>
    <w:bookmarkStart w:id="39" w:name="X1ec41150f3ce544fe2d63380e09bec1e1a898c9"/>
    <w:p>
      <w:pPr>
        <w:pStyle w:val="Heading3"/>
      </w:pPr>
      <w:r>
        <w:t xml:space="preserve">Annexe 6 — Mandat de Représentant Autorisé Européen</w:t>
      </w:r>
    </w:p>
    <w:p>
      <w:pPr>
        <w:pStyle w:val="FirstParagraph"/>
      </w:pPr>
      <w:r>
        <w:rPr>
          <w:b/>
          <w:bCs/>
        </w:rPr>
        <w:t xml:space="preserve">Contenu prévu :</w:t>
      </w:r>
      <w:r>
        <w:t xml:space="preserve"> </w:t>
      </w:r>
      <w:r>
        <w:t xml:space="preserve">étendue du mandat de Représentant Autorisé Européen (représentation auprès des autorités, réponse aux demandes administratives, gestion des incidents et réclamations, coordination des rappels), obligations de DIAHO, pouvoirs documentaires et signatures.</w:t>
      </w:r>
      <w:r>
        <w:t xml:space="preserve"> </w:t>
      </w:r>
      <w:r>
        <w:rPr>
          <w:b/>
          <w:bCs/>
        </w:rPr>
        <w:t xml:space="preserve">Responsable :</w:t>
      </w:r>
      <w:r>
        <w:t xml:space="preserve"> </w:t>
      </w:r>
      <w:r>
        <w:t xml:space="preserve">VETALYX</w:t>
      </w:r>
      <w:r>
        <w:t xml:space="preserve"> </w:t>
      </w:r>
      <w:r>
        <w:rPr>
          <w:b/>
          <w:bCs/>
        </w:rPr>
        <w:t xml:space="preserve">Statut :</w:t>
      </w:r>
      <w:r>
        <w:t xml:space="preserve"> </w:t>
      </w:r>
      <w:r>
        <w:t xml:space="preserve">⬜ À finaliser</w:t>
      </w:r>
    </w:p>
    <w:bookmarkEnd w:id="39"/>
    <w:bookmarkStart w:id="40" w:name="Xf53b22b09e91a0ef5051e707272b0e8c2a44cf9"/>
    <w:p>
      <w:pPr>
        <w:pStyle w:val="Heading3"/>
      </w:pPr>
      <w:r>
        <w:t xml:space="preserve">Annexe 7 — Transfert de savoir-faire et localisation industrielle</w:t>
      </w:r>
    </w:p>
    <w:p>
      <w:pPr>
        <w:pStyle w:val="FirstParagraph"/>
      </w:pPr>
      <w:r>
        <w:rPr>
          <w:b/>
          <w:bCs/>
        </w:rPr>
        <w:t xml:space="preserve">Contenu prévu :</w:t>
      </w:r>
      <w:r>
        <w:t xml:space="preserve"> </w:t>
      </w:r>
      <w:r>
        <w:t xml:space="preserve">cadre du transfert progressif en Europe (assemblage, conditionnement, étiquetage, contrôle qualité, production partielle ou complète), protection du Savoir-Faire, calendrier indicatif, sélection de partenaires européens.</w:t>
      </w:r>
      <w:r>
        <w:t xml:space="preserve"> </w:t>
      </w:r>
      <w:r>
        <w:rPr>
          <w:b/>
          <w:bCs/>
        </w:rPr>
        <w:t xml:space="preserve">Responsable :</w:t>
      </w:r>
      <w:r>
        <w:t xml:space="preserve"> </w:t>
      </w:r>
      <w:r>
        <w:t xml:space="preserve">VETALYX + DIAHO</w:t>
      </w:r>
      <w:r>
        <w:t xml:space="preserve"> </w:t>
      </w:r>
      <w:r>
        <w:rPr>
          <w:b/>
          <w:bCs/>
        </w:rPr>
        <w:t xml:space="preserve">Statut :</w:t>
      </w:r>
      <w:r>
        <w:t xml:space="preserve"> </w:t>
      </w:r>
      <w:r>
        <w:t xml:space="preserve">⬜ À finaliser</w:t>
      </w:r>
    </w:p>
    <w:bookmarkEnd w:id="40"/>
    <w:bookmarkStart w:id="41" w:name="X203158071b5203102923b137af19a38c24826a8"/>
    <w:p>
      <w:pPr>
        <w:pStyle w:val="Heading3"/>
      </w:pPr>
      <w:r>
        <w:t xml:space="preserve">Annexe 8 — Produits futurs et droit de premier refus</w:t>
      </w:r>
    </w:p>
    <w:p>
      <w:pPr>
        <w:pStyle w:val="FirstParagraph"/>
      </w:pPr>
      <w:r>
        <w:rPr>
          <w:b/>
          <w:bCs/>
        </w:rPr>
        <w:t xml:space="preserve">Contenu prévu :</w:t>
      </w:r>
      <w:r>
        <w:t xml:space="preserve"> </w:t>
      </w:r>
      <w:r>
        <w:t xml:space="preserve">modalités du droit de premier refus de VETALYX sur les Produits Futurs, dossier de proposition, délais d’évaluation, conditions d’intégration au Contrat.</w:t>
      </w:r>
      <w:r>
        <w:t xml:space="preserve"> </w:t>
      </w:r>
      <w:r>
        <w:rPr>
          <w:b/>
          <w:bCs/>
        </w:rPr>
        <w:t xml:space="preserve">Responsable :</w:t>
      </w:r>
      <w:r>
        <w:t xml:space="preserve"> </w:t>
      </w:r>
      <w:r>
        <w:t xml:space="preserve">VETALYX</w:t>
      </w:r>
      <w:r>
        <w:t xml:space="preserve"> </w:t>
      </w:r>
      <w:r>
        <w:rPr>
          <w:b/>
          <w:bCs/>
        </w:rPr>
        <w:t xml:space="preserve">Statut :</w:t>
      </w:r>
      <w:r>
        <w:t xml:space="preserve"> </w:t>
      </w:r>
      <w:r>
        <w:t xml:space="preserve">⬜ À finaliser</w:t>
      </w:r>
    </w:p>
    <w:bookmarkEnd w:id="41"/>
    <w:bookmarkStart w:id="42" w:name="Xe0e7936c8a4a396f97f999f60e44e6cb76dcf74"/>
    <w:p>
      <w:pPr>
        <w:pStyle w:val="Heading3"/>
      </w:pPr>
      <w:r>
        <w:t xml:space="preserve">Annexe 9 — Confidentialité renforcée et non-contournement</w:t>
      </w:r>
    </w:p>
    <w:p>
      <w:pPr>
        <w:pStyle w:val="FirstParagraph"/>
      </w:pPr>
      <w:r>
        <w:rPr>
          <w:b/>
          <w:bCs/>
        </w:rPr>
        <w:t xml:space="preserve">Contenu prévu :</w:t>
      </w:r>
      <w:r>
        <w:t xml:space="preserve"> </w:t>
      </w:r>
      <w:r>
        <w:t xml:space="preserve">renforcement de la protection des clients, prospects, distributeurs, partenaires et contacts identifiés par VETALYX ; application aux Sociétés Liées et fabricants de DIAHO ;</w:t>
      </w:r>
      <w:r>
        <w:t xml:space="preserve"> </w:t>
      </w:r>
      <w:r>
        <w:rPr>
          <w:b/>
          <w:bCs/>
        </w:rPr>
        <w:t xml:space="preserve">garanties réciproques DIAHO ↔ Zheda Dixun</w:t>
      </w:r>
      <w:r>
        <w:t xml:space="preserve"> </w:t>
      </w:r>
      <w:r>
        <w:t xml:space="preserve">; sanctions contractuelles en cas de violation.</w:t>
      </w:r>
      <w:r>
        <w:t xml:space="preserve"> </w:t>
      </w:r>
      <w:r>
        <w:rPr>
          <w:b/>
          <w:bCs/>
        </w:rPr>
        <w:t xml:space="preserve">Responsable :</w:t>
      </w:r>
      <w:r>
        <w:t xml:space="preserve"> </w:t>
      </w:r>
      <w:r>
        <w:t xml:space="preserve">VETALYX</w:t>
      </w:r>
      <w:r>
        <w:t xml:space="preserve"> </w:t>
      </w:r>
      <w:r>
        <w:rPr>
          <w:b/>
          <w:bCs/>
        </w:rPr>
        <w:t xml:space="preserve">Statut :</w:t>
      </w:r>
      <w:r>
        <w:t xml:space="preserve"> </w:t>
      </w:r>
      <w:r>
        <w:t xml:space="preserve">⬜ À finaliser</w:t>
      </w:r>
    </w:p>
    <w:p>
      <w:r>
        <w:pict>
          <v:rect style="width:0;height:1.5pt" o:hralign="center" o:hrstd="t" o:hr="t"/>
        </w:pict>
      </w:r>
    </w:p>
    <w:bookmarkEnd w:id="42"/>
    <w:bookmarkStart w:id="43" w:name="annexe-10-acte-dadhésion-de-zheda-dixun"/>
    <w:p>
      <w:pPr>
        <w:pStyle w:val="Heading3"/>
      </w:pPr>
      <w:r>
        <w:t xml:space="preserve">Annexe 10 — Acte d’Adhésion de Zheda Dixun</w:t>
      </w:r>
    </w:p>
    <w:p>
      <w:pPr>
        <w:pStyle w:val="FirstParagraph"/>
      </w:pPr>
      <w:r>
        <w:rPr>
          <w:b/>
          <w:bCs/>
        </w:rPr>
        <w:t xml:space="preserve">Contenu prévu :</w:t>
      </w:r>
      <w:r>
        <w:t xml:space="preserve"> </w:t>
      </w:r>
      <w:r>
        <w:t xml:space="preserve">acte distinct par lequel Zheda Dixun, société chinoise actionnaire de DIAHO et Fabricant effectif des Produits, déclare avoir pris connaissance du Contrat-cadre et de ses annexes, et</w:t>
      </w:r>
      <w:r>
        <w:t xml:space="preserve"> </w:t>
      </w:r>
      <w:r>
        <w:rPr>
          <w:b/>
          <w:bCs/>
        </w:rPr>
        <w:t xml:space="preserve">adhère expressément</w:t>
      </w:r>
      <w:r>
        <w:t xml:space="preserve"> </w:t>
      </w:r>
      <w:r>
        <w:t xml:space="preserve">aux obligations de l’Article 21 ainsi qu’aux Articles 8, 9, 12, 13 et 15 et à l’Annexe 9, dans la mesure où ils la concernent. Signature + sceau social de Dixun (le sceau social vaut engagement en droit chinois).</w:t>
      </w:r>
    </w:p>
    <w:p>
      <w:pPr>
        <w:pStyle w:val="BodyText"/>
      </w:pPr>
      <w:r>
        <w:rPr>
          <w:b/>
          <w:bCs/>
        </w:rPr>
        <w:t xml:space="preserve">Responsable :</w:t>
      </w:r>
      <w:r>
        <w:t xml:space="preserve"> </w:t>
      </w:r>
      <w:r>
        <w:t xml:space="preserve">VETALYX</w:t>
      </w:r>
      <w:r>
        <w:t xml:space="preserve"> </w:t>
      </w:r>
      <w:r>
        <w:rPr>
          <w:b/>
          <w:bCs/>
        </w:rPr>
        <w:t xml:space="preserve">Statut :</w:t>
      </w:r>
      <w:r>
        <w:t xml:space="preserve"> </w:t>
      </w:r>
      <w:r>
        <w:t xml:space="preserve">⬜ À finaliser (modèle à signer avec le Contrat)</w:t>
      </w:r>
    </w:p>
    <w:p>
      <w:r>
        <w:pict>
          <v:rect style="width:0;height:1.5pt" o:hralign="center" o:hrstd="t" o:hr="t"/>
        </w:pict>
      </w:r>
    </w:p>
    <w:bookmarkEnd w:id="43"/>
    <w:bookmarkEnd w:id="44"/>
    <w:bookmarkStart w:id="45" w:name="X641b26fe5ff5973d5cf99cb36220fd29806b858"/>
    <w:p>
      <w:pPr>
        <w:pStyle w:val="Heading2"/>
      </w:pPr>
      <w:r>
        <w:t xml:space="preserve">POINTS OUVERTS À TRANCHER AVANT VALIDATION</w:t>
      </w:r>
    </w:p>
    <w:p>
      <w:pPr>
        <w:pStyle w:val="Compact"/>
        <w:numPr>
          <w:ilvl w:val="0"/>
          <w:numId w:val="1010"/>
        </w:numPr>
      </w:pPr>
      <w:r>
        <w:rPr>
          <w:b/>
          <w:bCs/>
        </w:rPr>
        <w:t xml:space="preserve">Nom chinois de DIAHO</w:t>
      </w:r>
      <w:r>
        <w:t xml:space="preserve"> </w:t>
      </w:r>
      <w:r>
        <w:t xml:space="preserve">— confirmer « </w:t>
      </w:r>
      <w:r>
        <w:rPr>
          <w:rFonts w:hint="eastAsia"/>
        </w:rPr>
        <w:t xml:space="preserve">迪亚霍</w:t>
      </w:r>
      <w:r>
        <w:t xml:space="preserve"> » vs « </w:t>
      </w:r>
      <w:r>
        <w:rPr>
          <w:rFonts w:hint="eastAsia"/>
        </w:rPr>
        <w:t xml:space="preserve">迪鸿</w:t>
      </w:r>
      <w:r>
        <w:t xml:space="preserve"> ».</w:t>
      </w:r>
    </w:p>
    <w:p>
      <w:pPr>
        <w:pStyle w:val="Compact"/>
        <w:numPr>
          <w:ilvl w:val="0"/>
          <w:numId w:val="1010"/>
        </w:numPr>
      </w:pPr>
      <w:r>
        <w:rPr>
          <w:b/>
          <w:bCs/>
        </w:rPr>
        <w:t xml:space="preserve">Mécanisme des prix</w:t>
      </w:r>
      <w:r>
        <w:t xml:space="preserve"> </w:t>
      </w:r>
      <w:r>
        <w:t xml:space="preserve">— valider la période de revue (12 mois) et l’indice d’indexation en Annexe 5.</w:t>
      </w:r>
    </w:p>
    <w:p>
      <w:pPr>
        <w:pStyle w:val="Compact"/>
        <w:numPr>
          <w:ilvl w:val="0"/>
          <w:numId w:val="1010"/>
        </w:numPr>
      </w:pPr>
      <w:r>
        <w:rPr>
          <w:b/>
          <w:bCs/>
        </w:rPr>
        <w:t xml:space="preserve">Règlement d’arbitrage</w:t>
      </w:r>
      <w:r>
        <w:t xml:space="preserve"> </w:t>
      </w:r>
      <w:r>
        <w:t xml:space="preserve">— choisir le règlement applicable (ex. CCI / Swiss Rules) et la langue (anglais).</w:t>
      </w:r>
    </w:p>
    <w:p>
      <w:pPr>
        <w:pStyle w:val="Compact"/>
        <w:numPr>
          <w:ilvl w:val="0"/>
          <w:numId w:val="1010"/>
        </w:numPr>
      </w:pPr>
      <w:r>
        <w:rPr>
          <w:b/>
          <w:bCs/>
        </w:rPr>
        <w:t xml:space="preserve">Version officielle anglaise</w:t>
      </w:r>
      <w:r>
        <w:t xml:space="preserve"> </w:t>
      </w:r>
      <w:r>
        <w:t xml:space="preserve">— à produire après validation de la présente version française (Jade 🦩), conformément à l’Article 19.</w:t>
      </w:r>
    </w:p>
    <w:p>
      <w:r>
        <w:pict>
          <v:rect style="width:0;height:1.5pt" o:hralign="center" o:hrstd="t" o:hr="t"/>
        </w:pict>
      </w:r>
    </w:p>
    <w:bookmarkEnd w:id="45"/>
    <w:bookmarkStart w:id="46" w:name="références"/>
    <w:p>
      <w:pPr>
        <w:pStyle w:val="Heading2"/>
      </w:pPr>
      <w:r>
        <w:t xml:space="preserve">RÉFÉRENCES</w:t>
      </w:r>
    </w:p>
    <w:p>
      <w:pPr>
        <w:pStyle w:val="Compact"/>
        <w:numPr>
          <w:ilvl w:val="0"/>
          <w:numId w:val="1011"/>
        </w:numPr>
      </w:pPr>
      <w:r>
        <w:t xml:space="preserve">Socle v3 :</w:t>
      </w:r>
      <w:r>
        <w:t xml:space="preserve"> </w:t>
      </w:r>
      <w:r>
        <w:rPr>
          <w:rStyle w:val="VerbatimChar"/>
        </w:rPr>
        <w:t xml:space="preserve">FF-Contrat-Cadre_VETALYX_DIAHO_Renard_2026-08-18_v3-mission-preparation-strategique.md</w:t>
      </w:r>
    </w:p>
    <w:p>
      <w:pPr>
        <w:pStyle w:val="Compact"/>
        <w:numPr>
          <w:ilvl w:val="0"/>
          <w:numId w:val="1011"/>
        </w:numPr>
      </w:pPr>
      <w:r>
        <w:t xml:space="preserve">Réponse aux révisions DIAHO :</w:t>
      </w:r>
      <w:r>
        <w:t xml:space="preserve"> </w:t>
      </w:r>
      <w:r>
        <w:rPr>
          <w:rStyle w:val="VerbatimChar"/>
        </w:rPr>
        <w:t xml:space="preserve">2026-09-25_reponse-revisions-contrat-cadre-vetalyx-diaho_v2.md</w:t>
      </w:r>
    </w:p>
    <w:p>
      <w:pPr>
        <w:pStyle w:val="Compact"/>
        <w:numPr>
          <w:ilvl w:val="0"/>
          <w:numId w:val="1011"/>
        </w:numPr>
      </w:pPr>
      <w:r>
        <w:t xml:space="preserve">Arbitrages JC : 01/10 (apport en espèces, capital 10 000 € / 4 000 € libéré) et 05/10 (langue EN, statuts FR)</w:t>
      </w:r>
    </w:p>
    <w:p>
      <w:pPr>
        <w:pStyle w:val="Compact"/>
        <w:numPr>
          <w:ilvl w:val="0"/>
          <w:numId w:val="1011"/>
        </w:numPr>
      </w:pPr>
      <w:r>
        <w:t xml:space="preserve">Pacte d’actionnaires :</w:t>
      </w:r>
      <w:r>
        <w:t xml:space="preserve"> </w:t>
      </w:r>
      <w:r>
        <w:rPr>
          <w:rStyle w:val="VerbatimChar"/>
        </w:rPr>
        <w:t xml:space="preserve">legal/pacte-actionnaires-vetalyx-v2.md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2026-10-06T13:21:25Z</dcterms:created>
  <dcterms:modified xsi:type="dcterms:W3CDTF">2026-10-06T13:21:25Z</dcterms:modified>
</cp:coreProperties>
</file>

<file path=docProps/custom.xml><?xml version="1.0" encoding="utf-8"?>
<Properties xmlns="http://schemas.openxmlformats.org/officeDocument/2006/custom-properties" xmlns:vt="http://schemas.openxmlformats.org/officeDocument/2006/docPropsVTypes"/>
</file>