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899FF" w14:textId="77777777" w:rsidR="00533B9C" w:rsidRDefault="00000000">
      <w:pPr>
        <w:pStyle w:val="Heading1"/>
      </w:pPr>
      <w:bookmarkStart w:id="0" w:name="accord-sous-seing-privé"/>
      <w:r>
        <w:t>ACCORD SOUS SEING PRIVÉ</w:t>
      </w:r>
    </w:p>
    <w:p w14:paraId="0C7A1027" w14:textId="77777777" w:rsidR="00533B9C" w:rsidRDefault="00000000">
      <w:pPr>
        <w:pStyle w:val="Heading2"/>
      </w:pPr>
      <w:bookmarkStart w:id="1" w:name="X6454f9aecb89f85ec36cfdc4c6413dbd1d7c994"/>
      <w:r>
        <w:t>Engagement d’entrée au capital de VETALYX en faveur de DIAHO</w:t>
      </w:r>
    </w:p>
    <w:p w14:paraId="35292D4A" w14:textId="77777777" w:rsidR="00533B9C" w:rsidRDefault="00000000">
      <w:pPr>
        <w:pStyle w:val="Heading2"/>
      </w:pPr>
      <w:bookmarkStart w:id="2" w:name="Xec743ef50c6d387eebd0b2e7978ed982f583afa"/>
      <w:bookmarkEnd w:id="1"/>
      <w:r>
        <w:t>en contrepartie d’un apport en propriété intellectuelle</w:t>
      </w:r>
    </w:p>
    <w:p w14:paraId="09F7D970" w14:textId="77777777" w:rsidR="00533B9C" w:rsidRDefault="00000000">
      <w:pPr>
        <w:pStyle w:val="Heading1"/>
      </w:pPr>
      <w:bookmarkStart w:id="3" w:name="私下协议书"/>
      <w:bookmarkEnd w:id="0"/>
      <w:bookmarkEnd w:id="2"/>
      <w:r>
        <w:rPr>
          <w:rFonts w:hint="eastAsia"/>
        </w:rPr>
        <w:t>私下协议书</w:t>
      </w:r>
    </w:p>
    <w:p w14:paraId="64C86B68" w14:textId="77777777" w:rsidR="00533B9C" w:rsidRDefault="00000000">
      <w:pPr>
        <w:pStyle w:val="Heading2"/>
      </w:pPr>
      <w:bookmarkStart w:id="4" w:name="vetalyx股东承诺接受diaho入股"/>
      <w:r>
        <w:rPr>
          <w:rFonts w:hint="eastAsia"/>
        </w:rPr>
        <w:t>VETALYX</w:t>
      </w:r>
      <w:r>
        <w:rPr>
          <w:rFonts w:hint="eastAsia"/>
        </w:rPr>
        <w:t>股东承诺接受</w:t>
      </w:r>
      <w:r>
        <w:rPr>
          <w:rFonts w:hint="eastAsia"/>
        </w:rPr>
        <w:t>DIAHO</w:t>
      </w:r>
      <w:r>
        <w:rPr>
          <w:rFonts w:hint="eastAsia"/>
        </w:rPr>
        <w:t>入股</w:t>
      </w:r>
    </w:p>
    <w:p w14:paraId="2F6DBE87" w14:textId="77777777" w:rsidR="00533B9C" w:rsidRDefault="00000000">
      <w:pPr>
        <w:pStyle w:val="Heading2"/>
      </w:pPr>
      <w:bookmarkStart w:id="5" w:name="以知识产权出资为对价"/>
      <w:bookmarkEnd w:id="4"/>
      <w:r>
        <w:rPr>
          <w:rFonts w:hint="eastAsia"/>
        </w:rPr>
        <w:t>以知识产权出资为对价</w:t>
      </w:r>
    </w:p>
    <w:p w14:paraId="2F39D704" w14:textId="77777777" w:rsidR="00533B9C" w:rsidRDefault="00423071">
      <w:r>
        <w:rPr>
          <w:noProof/>
        </w:rPr>
      </w:r>
      <w:r>
        <w:pict w14:anchorId="4A209055">
          <v:rect id="Horizontal Line 1" o:spid="_x0000_s1043"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303973A6" w14:textId="77777777" w:rsidR="00533B9C" w:rsidRDefault="00000000">
      <w:pPr>
        <w:pStyle w:val="FirstParagraph"/>
      </w:pPr>
      <w:r>
        <w:rPr>
          <w:b/>
          <w:bCs/>
        </w:rPr>
        <w:t>Version :</w:t>
      </w:r>
      <w:r>
        <w:t xml:space="preserve"> v2 — Final | </w:t>
      </w:r>
      <w:r>
        <w:rPr>
          <w:rFonts w:hint="eastAsia"/>
          <w:b/>
          <w:bCs/>
        </w:rPr>
        <w:t>版本：</w:t>
      </w:r>
      <w:r>
        <w:t xml:space="preserve"> v2 — </w:t>
      </w:r>
      <w:r>
        <w:rPr>
          <w:rFonts w:hint="eastAsia"/>
        </w:rPr>
        <w:t>终稿</w:t>
      </w:r>
      <w:r>
        <w:br/>
      </w:r>
      <w:r>
        <w:rPr>
          <w:b/>
          <w:bCs/>
        </w:rPr>
        <w:t>Date :</w:t>
      </w:r>
      <w:r>
        <w:t xml:space="preserve"> 31 mai 2026 | </w:t>
      </w:r>
      <w:r>
        <w:rPr>
          <w:rFonts w:hint="eastAsia"/>
          <w:b/>
          <w:bCs/>
        </w:rPr>
        <w:t>日期：</w:t>
      </w:r>
      <w:r>
        <w:t xml:space="preserve"> </w:t>
      </w:r>
      <w:r>
        <w:rPr>
          <w:rFonts w:hint="eastAsia"/>
        </w:rPr>
        <w:t>2026</w:t>
      </w:r>
      <w:r>
        <w:rPr>
          <w:rFonts w:hint="eastAsia"/>
        </w:rPr>
        <w:t>年</w:t>
      </w:r>
      <w:r>
        <w:rPr>
          <w:rFonts w:hint="eastAsia"/>
        </w:rPr>
        <w:t>5</w:t>
      </w:r>
      <w:r>
        <w:rPr>
          <w:rFonts w:hint="eastAsia"/>
        </w:rPr>
        <w:t>月</w:t>
      </w:r>
      <w:r>
        <w:rPr>
          <w:rFonts w:hint="eastAsia"/>
        </w:rPr>
        <w:t>31</w:t>
      </w:r>
      <w:r>
        <w:rPr>
          <w:rFonts w:hint="eastAsia"/>
        </w:rPr>
        <w:t>日</w:t>
      </w:r>
      <w:r>
        <w:br/>
      </w:r>
      <w:r>
        <w:rPr>
          <w:b/>
          <w:bCs/>
        </w:rPr>
        <w:t>Rédigé par :</w:t>
      </w:r>
      <w:r>
        <w:t xml:space="preserve"> [[Renard]] 🦊 — Conseil juridique VETALYX / PKA | </w:t>
      </w:r>
      <w:r>
        <w:rPr>
          <w:rFonts w:hint="eastAsia"/>
          <w:b/>
          <w:bCs/>
        </w:rPr>
        <w:t>起草人：</w:t>
      </w:r>
      <w:r>
        <w:t xml:space="preserve"> [[Renard]] 🦊 — VETALYX / </w:t>
      </w:r>
      <w:r>
        <w:rPr>
          <w:rFonts w:hint="eastAsia"/>
        </w:rPr>
        <w:t>PKA</w:t>
      </w:r>
      <w:r>
        <w:rPr>
          <w:rFonts w:hint="eastAsia"/>
        </w:rPr>
        <w:t>法律顾问</w:t>
      </w:r>
      <w:r>
        <w:br/>
      </w:r>
      <w:r>
        <w:rPr>
          <w:b/>
          <w:bCs/>
        </w:rPr>
        <w:t>Traduit par :</w:t>
      </w:r>
      <w:r>
        <w:t xml:space="preserve"> [[Jade]] 🦩 — Traductrice juridique FR/ZH | </w:t>
      </w:r>
      <w:r>
        <w:rPr>
          <w:rFonts w:hint="eastAsia"/>
          <w:b/>
          <w:bCs/>
        </w:rPr>
        <w:t>译者：</w:t>
      </w:r>
      <w:r>
        <w:t xml:space="preserve"> [[Jade]] 🦩 — </w:t>
      </w:r>
      <w:r>
        <w:rPr>
          <w:rFonts w:hint="eastAsia"/>
        </w:rPr>
        <w:t>法中法律翻译</w:t>
      </w:r>
    </w:p>
    <w:p w14:paraId="27167BFA" w14:textId="77777777" w:rsidR="00533B9C" w:rsidRDefault="00423071">
      <w:r>
        <w:rPr>
          <w:noProof/>
        </w:rPr>
      </w:r>
      <w:r>
        <w:pict w14:anchorId="2D5A903A">
          <v:rect id="Horizontal Line 2" o:spid="_x0000_s1042"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7414CDAE" w14:textId="77777777" w:rsidR="00533B9C" w:rsidRDefault="00000000">
      <w:pPr>
        <w:pStyle w:val="Heading2"/>
      </w:pPr>
      <w:bookmarkStart w:id="6" w:name="entre-les-soussignés-缔约方"/>
      <w:bookmarkEnd w:id="5"/>
      <w:r>
        <w:t xml:space="preserve">ENTRE LES SOUSSIGNÉS | </w:t>
      </w:r>
      <w:r>
        <w:rPr>
          <w:rFonts w:hint="eastAsia"/>
        </w:rPr>
        <w:t>缔约方</w:t>
      </w:r>
    </w:p>
    <w:p w14:paraId="5D2386B8" w14:textId="77777777" w:rsidR="00533B9C" w:rsidRDefault="00000000">
      <w:pPr>
        <w:pStyle w:val="FirstParagraph"/>
      </w:pPr>
      <w:r>
        <w:rPr>
          <w:b/>
          <w:bCs/>
        </w:rPr>
        <w:t>LES ACTIONNAIRES FONDATEURS DE VETALYX</w:t>
      </w:r>
      <w:r>
        <w:t xml:space="preserve"> (ci-après les « Fondateurs ») :</w:t>
      </w:r>
    </w:p>
    <w:p w14:paraId="4A5423DE" w14:textId="77777777" w:rsidR="00533B9C" w:rsidRDefault="00000000">
      <w:pPr>
        <w:pStyle w:val="BodyText"/>
      </w:pPr>
      <w:r>
        <w:rPr>
          <w:rFonts w:hint="eastAsia"/>
          <w:b/>
          <w:bCs/>
        </w:rPr>
        <w:t>VETALYX</w:t>
      </w:r>
      <w:r>
        <w:rPr>
          <w:rFonts w:hint="eastAsia"/>
          <w:b/>
          <w:bCs/>
        </w:rPr>
        <w:t>创始股东</w:t>
      </w:r>
      <w:r>
        <w:rPr>
          <w:rFonts w:hint="eastAsia"/>
        </w:rPr>
        <w:t>（以下简称”创始人”）：</w:t>
      </w:r>
    </w:p>
    <w:p w14:paraId="36F41A16" w14:textId="77777777" w:rsidR="00533B9C" w:rsidRDefault="00000000">
      <w:pPr>
        <w:pStyle w:val="Compact"/>
        <w:numPr>
          <w:ilvl w:val="0"/>
          <w:numId w:val="1"/>
        </w:numPr>
      </w:pPr>
      <w:r>
        <w:rPr>
          <w:b/>
          <w:bCs/>
        </w:rPr>
        <w:t>[PRÉNOM NOM]</w:t>
      </w:r>
      <w:r>
        <w:t xml:space="preserve">, né(e) le [DATE] à [LIEU], de nationalité [NATIONALITÉ], demeurant [ADRESSE] </w:t>
      </w:r>
      <w:r>
        <w:rPr>
          <w:rFonts w:hint="eastAsia"/>
          <w:b/>
          <w:bCs/>
        </w:rPr>
        <w:t>[</w:t>
      </w:r>
      <w:r>
        <w:rPr>
          <w:rFonts w:hint="eastAsia"/>
          <w:b/>
          <w:bCs/>
        </w:rPr>
        <w:t>姓名</w:t>
      </w:r>
      <w:r>
        <w:rPr>
          <w:rFonts w:hint="eastAsia"/>
          <w:b/>
          <w:bCs/>
        </w:rPr>
        <w:t>]</w:t>
      </w:r>
      <w:r>
        <w:rPr>
          <w:rFonts w:hint="eastAsia"/>
        </w:rPr>
        <w:t>，生于</w:t>
      </w:r>
      <w:r>
        <w:rPr>
          <w:rFonts w:hint="eastAsia"/>
        </w:rPr>
        <w:t>[</w:t>
      </w:r>
      <w:r>
        <w:rPr>
          <w:rFonts w:hint="eastAsia"/>
        </w:rPr>
        <w:t>日期</w:t>
      </w:r>
      <w:r>
        <w:rPr>
          <w:rFonts w:hint="eastAsia"/>
        </w:rPr>
        <w:t>]</w:t>
      </w:r>
      <w:r>
        <w:rPr>
          <w:rFonts w:hint="eastAsia"/>
        </w:rPr>
        <w:t>，出生地</w:t>
      </w:r>
      <w:r>
        <w:rPr>
          <w:rFonts w:hint="eastAsia"/>
        </w:rPr>
        <w:t>[</w:t>
      </w:r>
      <w:r>
        <w:rPr>
          <w:rFonts w:hint="eastAsia"/>
        </w:rPr>
        <w:t>地点</w:t>
      </w:r>
      <w:r>
        <w:rPr>
          <w:rFonts w:hint="eastAsia"/>
        </w:rPr>
        <w:t>]</w:t>
      </w:r>
      <w:r>
        <w:rPr>
          <w:rFonts w:hint="eastAsia"/>
        </w:rPr>
        <w:t>，国籍</w:t>
      </w:r>
      <w:r>
        <w:rPr>
          <w:rFonts w:hint="eastAsia"/>
        </w:rPr>
        <w:t>[</w:t>
      </w:r>
      <w:r>
        <w:rPr>
          <w:rFonts w:hint="eastAsia"/>
        </w:rPr>
        <w:t>国籍</w:t>
      </w:r>
      <w:r>
        <w:rPr>
          <w:rFonts w:hint="eastAsia"/>
        </w:rPr>
        <w:t>]</w:t>
      </w:r>
      <w:r>
        <w:rPr>
          <w:rFonts w:hint="eastAsia"/>
        </w:rPr>
        <w:t>，住址</w:t>
      </w:r>
      <w:r>
        <w:rPr>
          <w:rFonts w:hint="eastAsia"/>
        </w:rPr>
        <w:t>[</w:t>
      </w:r>
      <w:r>
        <w:rPr>
          <w:rFonts w:hint="eastAsia"/>
        </w:rPr>
        <w:t>地址</w:t>
      </w:r>
      <w:r>
        <w:rPr>
          <w:rFonts w:hint="eastAsia"/>
        </w:rPr>
        <w:t>]</w:t>
      </w:r>
    </w:p>
    <w:p w14:paraId="4C02D9A2" w14:textId="77777777" w:rsidR="00533B9C" w:rsidRDefault="00000000">
      <w:pPr>
        <w:pStyle w:val="Compact"/>
        <w:numPr>
          <w:ilvl w:val="0"/>
          <w:numId w:val="1"/>
        </w:numPr>
      </w:pPr>
      <w:r>
        <w:rPr>
          <w:b/>
          <w:bCs/>
        </w:rPr>
        <w:t>[PRÉNOM NOM]</w:t>
      </w:r>
      <w:r>
        <w:t xml:space="preserve">, né(e) le [DATE] à [LIEU], de nationalité [NATIONALITÉ], demeurant [ADRESSE] </w:t>
      </w:r>
      <w:r>
        <w:rPr>
          <w:rFonts w:hint="eastAsia"/>
          <w:b/>
          <w:bCs/>
        </w:rPr>
        <w:t>[</w:t>
      </w:r>
      <w:r>
        <w:rPr>
          <w:rFonts w:hint="eastAsia"/>
          <w:b/>
          <w:bCs/>
        </w:rPr>
        <w:t>姓名</w:t>
      </w:r>
      <w:r>
        <w:rPr>
          <w:rFonts w:hint="eastAsia"/>
          <w:b/>
          <w:bCs/>
        </w:rPr>
        <w:t>]</w:t>
      </w:r>
      <w:r>
        <w:rPr>
          <w:rFonts w:hint="eastAsia"/>
        </w:rPr>
        <w:t>，生于</w:t>
      </w:r>
      <w:r>
        <w:rPr>
          <w:rFonts w:hint="eastAsia"/>
        </w:rPr>
        <w:t>[</w:t>
      </w:r>
      <w:r>
        <w:rPr>
          <w:rFonts w:hint="eastAsia"/>
        </w:rPr>
        <w:t>日期</w:t>
      </w:r>
      <w:r>
        <w:rPr>
          <w:rFonts w:hint="eastAsia"/>
        </w:rPr>
        <w:t>]</w:t>
      </w:r>
      <w:r>
        <w:rPr>
          <w:rFonts w:hint="eastAsia"/>
        </w:rPr>
        <w:t>，出生地</w:t>
      </w:r>
      <w:r>
        <w:rPr>
          <w:rFonts w:hint="eastAsia"/>
        </w:rPr>
        <w:t>[</w:t>
      </w:r>
      <w:r>
        <w:rPr>
          <w:rFonts w:hint="eastAsia"/>
        </w:rPr>
        <w:t>地点</w:t>
      </w:r>
      <w:r>
        <w:rPr>
          <w:rFonts w:hint="eastAsia"/>
        </w:rPr>
        <w:t>]</w:t>
      </w:r>
      <w:r>
        <w:rPr>
          <w:rFonts w:hint="eastAsia"/>
        </w:rPr>
        <w:t>，国籍</w:t>
      </w:r>
      <w:r>
        <w:rPr>
          <w:rFonts w:hint="eastAsia"/>
        </w:rPr>
        <w:t>[</w:t>
      </w:r>
      <w:r>
        <w:rPr>
          <w:rFonts w:hint="eastAsia"/>
        </w:rPr>
        <w:t>国籍</w:t>
      </w:r>
      <w:r>
        <w:rPr>
          <w:rFonts w:hint="eastAsia"/>
        </w:rPr>
        <w:t>]</w:t>
      </w:r>
      <w:r>
        <w:rPr>
          <w:rFonts w:hint="eastAsia"/>
        </w:rPr>
        <w:t>，住址</w:t>
      </w:r>
      <w:r>
        <w:rPr>
          <w:rFonts w:hint="eastAsia"/>
        </w:rPr>
        <w:t>[</w:t>
      </w:r>
      <w:r>
        <w:rPr>
          <w:rFonts w:hint="eastAsia"/>
        </w:rPr>
        <w:t>地址</w:t>
      </w:r>
      <w:r>
        <w:rPr>
          <w:rFonts w:hint="eastAsia"/>
        </w:rPr>
        <w:t>]</w:t>
      </w:r>
    </w:p>
    <w:p w14:paraId="4D997E48" w14:textId="77777777" w:rsidR="00533B9C" w:rsidRDefault="00000000">
      <w:pPr>
        <w:pStyle w:val="Compact"/>
        <w:numPr>
          <w:ilvl w:val="0"/>
          <w:numId w:val="1"/>
        </w:numPr>
      </w:pPr>
      <w:r>
        <w:rPr>
          <w:b/>
          <w:bCs/>
        </w:rPr>
        <w:t>[PRÉNOM NOM]</w:t>
      </w:r>
      <w:r>
        <w:t xml:space="preserve">, né(e) le [DATE] à [LIEU], de nationalité [NATIONALITÉ], demeurant [ADRESSE] </w:t>
      </w:r>
      <w:r>
        <w:rPr>
          <w:rFonts w:hint="eastAsia"/>
          <w:b/>
          <w:bCs/>
        </w:rPr>
        <w:t>[</w:t>
      </w:r>
      <w:r>
        <w:rPr>
          <w:rFonts w:hint="eastAsia"/>
          <w:b/>
          <w:bCs/>
        </w:rPr>
        <w:t>姓名</w:t>
      </w:r>
      <w:r>
        <w:rPr>
          <w:rFonts w:hint="eastAsia"/>
          <w:b/>
          <w:bCs/>
        </w:rPr>
        <w:t>]</w:t>
      </w:r>
      <w:r>
        <w:rPr>
          <w:rFonts w:hint="eastAsia"/>
        </w:rPr>
        <w:t>，生于</w:t>
      </w:r>
      <w:r>
        <w:rPr>
          <w:rFonts w:hint="eastAsia"/>
        </w:rPr>
        <w:t>[</w:t>
      </w:r>
      <w:r>
        <w:rPr>
          <w:rFonts w:hint="eastAsia"/>
        </w:rPr>
        <w:t>日期</w:t>
      </w:r>
      <w:r>
        <w:rPr>
          <w:rFonts w:hint="eastAsia"/>
        </w:rPr>
        <w:t>]</w:t>
      </w:r>
      <w:r>
        <w:rPr>
          <w:rFonts w:hint="eastAsia"/>
        </w:rPr>
        <w:t>，出生地</w:t>
      </w:r>
      <w:r>
        <w:rPr>
          <w:rFonts w:hint="eastAsia"/>
        </w:rPr>
        <w:t>[</w:t>
      </w:r>
      <w:r>
        <w:rPr>
          <w:rFonts w:hint="eastAsia"/>
        </w:rPr>
        <w:t>地点</w:t>
      </w:r>
      <w:r>
        <w:rPr>
          <w:rFonts w:hint="eastAsia"/>
        </w:rPr>
        <w:t>]</w:t>
      </w:r>
      <w:r>
        <w:rPr>
          <w:rFonts w:hint="eastAsia"/>
        </w:rPr>
        <w:t>，国籍</w:t>
      </w:r>
      <w:r>
        <w:rPr>
          <w:rFonts w:hint="eastAsia"/>
        </w:rPr>
        <w:t>[</w:t>
      </w:r>
      <w:r>
        <w:rPr>
          <w:rFonts w:hint="eastAsia"/>
        </w:rPr>
        <w:t>国籍</w:t>
      </w:r>
      <w:r>
        <w:rPr>
          <w:rFonts w:hint="eastAsia"/>
        </w:rPr>
        <w:t>]</w:t>
      </w:r>
      <w:r>
        <w:rPr>
          <w:rFonts w:hint="eastAsia"/>
        </w:rPr>
        <w:t>，住址</w:t>
      </w:r>
      <w:r>
        <w:rPr>
          <w:rFonts w:hint="eastAsia"/>
        </w:rPr>
        <w:t>[</w:t>
      </w:r>
      <w:r>
        <w:rPr>
          <w:rFonts w:hint="eastAsia"/>
        </w:rPr>
        <w:t>地址</w:t>
      </w:r>
      <w:r>
        <w:rPr>
          <w:rFonts w:hint="eastAsia"/>
        </w:rPr>
        <w:t>]</w:t>
      </w:r>
    </w:p>
    <w:p w14:paraId="66DFD0CB" w14:textId="77777777" w:rsidR="00533B9C" w:rsidRDefault="00000000">
      <w:pPr>
        <w:pStyle w:val="Compact"/>
        <w:numPr>
          <w:ilvl w:val="0"/>
          <w:numId w:val="1"/>
        </w:numPr>
      </w:pPr>
      <w:r>
        <w:rPr>
          <w:b/>
          <w:bCs/>
        </w:rPr>
        <w:t>Jean-Christophe HAVAUX</w:t>
      </w:r>
      <w:r>
        <w:t xml:space="preserve">, né(e) le [DATE] à [LIEU], de nationalité belge, demeurant [ADRESSE] </w:t>
      </w:r>
      <w:r>
        <w:rPr>
          <w:rFonts w:hint="eastAsia"/>
          <w:b/>
          <w:bCs/>
        </w:rPr>
        <w:t>让</w:t>
      </w:r>
      <w:r>
        <w:rPr>
          <w:rFonts w:hint="eastAsia"/>
          <w:b/>
          <w:bCs/>
        </w:rPr>
        <w:t>-</w:t>
      </w:r>
      <w:r>
        <w:rPr>
          <w:rFonts w:hint="eastAsia"/>
          <w:b/>
          <w:bCs/>
        </w:rPr>
        <w:t>克里斯托夫·阿沃</w:t>
      </w:r>
      <w:r>
        <w:rPr>
          <w:rFonts w:hint="eastAsia"/>
        </w:rPr>
        <w:t>，生于</w:t>
      </w:r>
      <w:r>
        <w:rPr>
          <w:rFonts w:hint="eastAsia"/>
        </w:rPr>
        <w:t>[</w:t>
      </w:r>
      <w:r>
        <w:rPr>
          <w:rFonts w:hint="eastAsia"/>
        </w:rPr>
        <w:t>日期</w:t>
      </w:r>
      <w:r>
        <w:rPr>
          <w:rFonts w:hint="eastAsia"/>
        </w:rPr>
        <w:t>]</w:t>
      </w:r>
      <w:r>
        <w:rPr>
          <w:rFonts w:hint="eastAsia"/>
        </w:rPr>
        <w:t>，出生地</w:t>
      </w:r>
      <w:r>
        <w:rPr>
          <w:rFonts w:hint="eastAsia"/>
        </w:rPr>
        <w:t>[</w:t>
      </w:r>
      <w:r>
        <w:rPr>
          <w:rFonts w:hint="eastAsia"/>
        </w:rPr>
        <w:t>地点</w:t>
      </w:r>
      <w:r>
        <w:rPr>
          <w:rFonts w:hint="eastAsia"/>
        </w:rPr>
        <w:t>]</w:t>
      </w:r>
      <w:r>
        <w:rPr>
          <w:rFonts w:hint="eastAsia"/>
        </w:rPr>
        <w:t>，比利时国籍，住址</w:t>
      </w:r>
      <w:r>
        <w:rPr>
          <w:rFonts w:hint="eastAsia"/>
        </w:rPr>
        <w:t>[</w:t>
      </w:r>
      <w:r>
        <w:rPr>
          <w:rFonts w:hint="eastAsia"/>
        </w:rPr>
        <w:t>地址</w:t>
      </w:r>
      <w:r>
        <w:rPr>
          <w:rFonts w:hint="eastAsia"/>
        </w:rPr>
        <w:t>]</w:t>
      </w:r>
    </w:p>
    <w:p w14:paraId="1F0E7072" w14:textId="77777777" w:rsidR="00533B9C" w:rsidRDefault="00000000">
      <w:pPr>
        <w:pStyle w:val="FirstParagraph"/>
      </w:pPr>
      <w:r>
        <w:t xml:space="preserve">Agissant en leur nom propre et en leur qualité d’actionnaires fondateurs de la société </w:t>
      </w:r>
      <w:r>
        <w:rPr>
          <w:b/>
          <w:bCs/>
        </w:rPr>
        <w:t>VETALYX</w:t>
      </w:r>
      <w:r>
        <w:t xml:space="preserve">, société à responsabilité limitée en cours de constitution selon le droit belge, dont le siège social sera établi à [ADRESSE], ci-après dénommée « </w:t>
      </w:r>
      <w:r>
        <w:rPr>
          <w:b/>
          <w:bCs/>
        </w:rPr>
        <w:t>VETALYX</w:t>
      </w:r>
      <w:r>
        <w:t xml:space="preserve"> ».</w:t>
      </w:r>
    </w:p>
    <w:p w14:paraId="148E6427" w14:textId="77777777" w:rsidR="00533B9C" w:rsidRDefault="00000000">
      <w:pPr>
        <w:pStyle w:val="BodyText"/>
      </w:pPr>
      <w:r>
        <w:rPr>
          <w:rFonts w:hint="eastAsia"/>
        </w:rPr>
        <w:lastRenderedPageBreak/>
        <w:t>各人以本人名义及</w:t>
      </w:r>
      <w:r>
        <w:rPr>
          <w:b/>
          <w:bCs/>
        </w:rPr>
        <w:t>VETALYX</w:t>
      </w:r>
      <w:r>
        <w:rPr>
          <w:rFonts w:hint="eastAsia"/>
        </w:rPr>
        <w:t>公司创始股东身份行事。</w:t>
      </w:r>
      <w:r>
        <w:rPr>
          <w:rFonts w:hint="eastAsia"/>
        </w:rPr>
        <w:t>VETALYX</w:t>
      </w:r>
      <w:r>
        <w:rPr>
          <w:rFonts w:hint="eastAsia"/>
        </w:rPr>
        <w:t>为依比利时法律设立中的有限责任公司，注册地址拟设于</w:t>
      </w:r>
      <w:r>
        <w:rPr>
          <w:rFonts w:hint="eastAsia"/>
        </w:rPr>
        <w:t>[</w:t>
      </w:r>
      <w:r>
        <w:rPr>
          <w:rFonts w:hint="eastAsia"/>
        </w:rPr>
        <w:t>地址</w:t>
      </w:r>
      <w:r>
        <w:rPr>
          <w:rFonts w:hint="eastAsia"/>
        </w:rPr>
        <w:t>]</w:t>
      </w:r>
      <w:r>
        <w:rPr>
          <w:rFonts w:hint="eastAsia"/>
        </w:rPr>
        <w:t>，以下简称”</w:t>
      </w:r>
      <w:r>
        <w:rPr>
          <w:b/>
          <w:bCs/>
        </w:rPr>
        <w:t>VETALYX</w:t>
      </w:r>
      <w:r>
        <w:t>”</w:t>
      </w:r>
      <w:r>
        <w:t>。</w:t>
      </w:r>
    </w:p>
    <w:p w14:paraId="2712E38E" w14:textId="77777777" w:rsidR="00533B9C" w:rsidRDefault="00000000">
      <w:pPr>
        <w:pStyle w:val="BodyText"/>
      </w:pPr>
      <w:r>
        <w:rPr>
          <w:b/>
          <w:bCs/>
        </w:rPr>
        <w:t xml:space="preserve">D’UNE PART, | </w:t>
      </w:r>
      <w:r>
        <w:rPr>
          <w:rFonts w:hint="eastAsia"/>
          <w:b/>
          <w:bCs/>
        </w:rPr>
        <w:t>甲方，</w:t>
      </w:r>
    </w:p>
    <w:p w14:paraId="116A4871" w14:textId="77777777" w:rsidR="00533B9C" w:rsidRDefault="00000000">
      <w:pPr>
        <w:pStyle w:val="BodyText"/>
      </w:pPr>
      <w:r>
        <w:rPr>
          <w:b/>
          <w:bCs/>
        </w:rPr>
        <w:t xml:space="preserve">ET | </w:t>
      </w:r>
      <w:r>
        <w:rPr>
          <w:rFonts w:hint="eastAsia"/>
          <w:b/>
          <w:bCs/>
        </w:rPr>
        <w:t>与</w:t>
      </w:r>
    </w:p>
    <w:p w14:paraId="35A4F766" w14:textId="77777777" w:rsidR="00533B9C" w:rsidRDefault="00000000">
      <w:pPr>
        <w:pStyle w:val="BodyText"/>
      </w:pPr>
      <w:r>
        <w:rPr>
          <w:b/>
          <w:bCs/>
        </w:rPr>
        <w:t>LA SOCIÉTÉ DIAHO</w:t>
      </w:r>
      <w:r>
        <w:t>, société de droit chinois [X], dont le siège social est sis [X], immatriculée sous le numéro [X], représentée par [X], en sa qualité de [X], dûment habilité(e) à cet effet,</w:t>
      </w:r>
    </w:p>
    <w:p w14:paraId="47F6C224" w14:textId="77777777" w:rsidR="00533B9C" w:rsidRDefault="00000000">
      <w:pPr>
        <w:pStyle w:val="BodyText"/>
      </w:pPr>
      <w:r>
        <w:rPr>
          <w:rFonts w:hint="eastAsia"/>
          <w:b/>
          <w:bCs/>
        </w:rPr>
        <w:t>迪鸿（</w:t>
      </w:r>
      <w:r>
        <w:rPr>
          <w:rFonts w:hint="eastAsia"/>
          <w:b/>
          <w:bCs/>
        </w:rPr>
        <w:t>DIAHO</w:t>
      </w:r>
      <w:r>
        <w:rPr>
          <w:rFonts w:hint="eastAsia"/>
          <w:b/>
          <w:bCs/>
        </w:rPr>
        <w:t>）公司</w:t>
      </w:r>
      <w:r>
        <w:rPr>
          <w:rFonts w:hint="eastAsia"/>
        </w:rPr>
        <w:t>，依中国法律设立的</w:t>
      </w:r>
      <w:r>
        <w:rPr>
          <w:rFonts w:hint="eastAsia"/>
        </w:rPr>
        <w:t>[X]</w:t>
      </w:r>
      <w:r>
        <w:rPr>
          <w:rFonts w:hint="eastAsia"/>
        </w:rPr>
        <w:t>，注册地址：</w:t>
      </w:r>
      <w:r>
        <w:rPr>
          <w:rFonts w:hint="eastAsia"/>
        </w:rPr>
        <w:t>[X]</w:t>
      </w:r>
      <w:r>
        <w:rPr>
          <w:rFonts w:hint="eastAsia"/>
        </w:rPr>
        <w:t>，统一社会信用代码：</w:t>
      </w:r>
      <w:r>
        <w:rPr>
          <w:rFonts w:hint="eastAsia"/>
        </w:rPr>
        <w:t>[X]</w:t>
      </w:r>
      <w:r>
        <w:rPr>
          <w:rFonts w:hint="eastAsia"/>
        </w:rPr>
        <w:t>，由</w:t>
      </w:r>
      <w:r>
        <w:rPr>
          <w:rFonts w:hint="eastAsia"/>
        </w:rPr>
        <w:t>[X]</w:t>
      </w:r>
      <w:r>
        <w:rPr>
          <w:rFonts w:hint="eastAsia"/>
        </w:rPr>
        <w:t>以</w:t>
      </w:r>
      <w:r>
        <w:rPr>
          <w:rFonts w:hint="eastAsia"/>
        </w:rPr>
        <w:t>[X]</w:t>
      </w:r>
      <w:r>
        <w:rPr>
          <w:rFonts w:hint="eastAsia"/>
        </w:rPr>
        <w:t>身份代表，其签署本协议已获有效授权，</w:t>
      </w:r>
    </w:p>
    <w:p w14:paraId="0AB453D2" w14:textId="77777777" w:rsidR="00533B9C" w:rsidRDefault="00000000">
      <w:pPr>
        <w:pStyle w:val="BodyText"/>
      </w:pPr>
      <w:r>
        <w:t xml:space="preserve">ci-après dénommée « </w:t>
      </w:r>
      <w:r>
        <w:rPr>
          <w:b/>
          <w:bCs/>
        </w:rPr>
        <w:t>DIAHO</w:t>
      </w:r>
      <w:r>
        <w:t xml:space="preserve"> », | </w:t>
      </w:r>
      <w:r>
        <w:rPr>
          <w:rFonts w:hint="eastAsia"/>
        </w:rPr>
        <w:t>以下简称”</w:t>
      </w:r>
      <w:r>
        <w:rPr>
          <w:rFonts w:hint="eastAsia"/>
          <w:b/>
          <w:bCs/>
        </w:rPr>
        <w:t>迪鸿</w:t>
      </w:r>
      <w:r>
        <w:rPr>
          <w:rFonts w:hint="eastAsia"/>
        </w:rPr>
        <w:t>”，</w:t>
      </w:r>
    </w:p>
    <w:p w14:paraId="3EE521D0" w14:textId="77777777" w:rsidR="00533B9C" w:rsidRDefault="00000000">
      <w:pPr>
        <w:pStyle w:val="BodyText"/>
      </w:pPr>
      <w:r>
        <w:rPr>
          <w:b/>
          <w:bCs/>
        </w:rPr>
        <w:t xml:space="preserve">D’AUTRE PART, | </w:t>
      </w:r>
      <w:r>
        <w:rPr>
          <w:rFonts w:hint="eastAsia"/>
          <w:b/>
          <w:bCs/>
        </w:rPr>
        <w:t>乙方。</w:t>
      </w:r>
    </w:p>
    <w:p w14:paraId="54396ABB" w14:textId="77777777" w:rsidR="00533B9C" w:rsidRDefault="00000000">
      <w:pPr>
        <w:pStyle w:val="BodyText"/>
      </w:pPr>
      <w:r>
        <w:t xml:space="preserve">Les Fondateurs et DIAHO étant ci-après désignés collectivement les « </w:t>
      </w:r>
      <w:r>
        <w:rPr>
          <w:b/>
          <w:bCs/>
        </w:rPr>
        <w:t>Parties</w:t>
      </w:r>
      <w:r>
        <w:t xml:space="preserve"> ».</w:t>
      </w:r>
    </w:p>
    <w:p w14:paraId="3D0008C2" w14:textId="77777777" w:rsidR="00533B9C" w:rsidRDefault="00000000">
      <w:pPr>
        <w:pStyle w:val="BodyText"/>
      </w:pPr>
      <w:r>
        <w:rPr>
          <w:rFonts w:hint="eastAsia"/>
        </w:rPr>
        <w:t>创始人与迪鸿以下合称”</w:t>
      </w:r>
      <w:r>
        <w:rPr>
          <w:rFonts w:hint="eastAsia"/>
          <w:b/>
          <w:bCs/>
        </w:rPr>
        <w:t>各方</w:t>
      </w:r>
      <w:r>
        <w:t>”</w:t>
      </w:r>
      <w:r>
        <w:t>。</w:t>
      </w:r>
    </w:p>
    <w:p w14:paraId="14B3C59F" w14:textId="77777777" w:rsidR="00533B9C" w:rsidRDefault="00423071">
      <w:r>
        <w:rPr>
          <w:noProof/>
        </w:rPr>
      </w:r>
      <w:r>
        <w:pict w14:anchorId="14B4C18E">
          <v:rect id="Horizontal Line 3" o:spid="_x0000_s1041"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5D3DE79B" w14:textId="77777777" w:rsidR="00533B9C" w:rsidRDefault="00000000">
      <w:pPr>
        <w:pStyle w:val="Heading2"/>
      </w:pPr>
      <w:bookmarkStart w:id="7" w:name="préambule-前言"/>
      <w:bookmarkEnd w:id="6"/>
      <w:r>
        <w:t xml:space="preserve">PRÉAMBULE | </w:t>
      </w:r>
      <w:r>
        <w:rPr>
          <w:rFonts w:hint="eastAsia"/>
        </w:rPr>
        <w:t>前言</w:t>
      </w:r>
    </w:p>
    <w:p w14:paraId="057E71E4" w14:textId="77777777" w:rsidR="00533B9C" w:rsidRDefault="00000000">
      <w:pPr>
        <w:pStyle w:val="FirstParagraph"/>
      </w:pPr>
      <w:r>
        <w:rPr>
          <w:b/>
          <w:bCs/>
        </w:rPr>
        <w:t>A.</w:t>
      </w:r>
      <w:r>
        <w:t xml:space="preserve"> Les Fondateurs sont en cours de constitution de VETALYX, société dont le capital sera réparti à parité entre les quatre Fondateurs, chacun détenant vingt-cinq pour cent (25 %) du capital et des droits de vote.</w:t>
      </w:r>
    </w:p>
    <w:p w14:paraId="6CFE1B12" w14:textId="77777777" w:rsidR="00533B9C" w:rsidRDefault="00000000">
      <w:pPr>
        <w:pStyle w:val="BodyText"/>
      </w:pPr>
      <w:r>
        <w:rPr>
          <w:b/>
          <w:bCs/>
        </w:rPr>
        <w:t>A.</w:t>
      </w:r>
      <w:r>
        <w:t xml:space="preserve"> </w:t>
      </w:r>
      <w:r>
        <w:rPr>
          <w:rFonts w:hint="eastAsia"/>
        </w:rPr>
        <w:t>创始人正在设立</w:t>
      </w:r>
      <w:r>
        <w:rPr>
          <w:rFonts w:hint="eastAsia"/>
        </w:rPr>
        <w:t>VETALYX</w:t>
      </w:r>
      <w:r>
        <w:rPr>
          <w:rFonts w:hint="eastAsia"/>
        </w:rPr>
        <w:t>公司，公司注册资本由四名创始人平均持有，每人持有注册资本及表决权的百分之二十五（</w:t>
      </w:r>
      <w:r>
        <w:rPr>
          <w:rFonts w:hint="eastAsia"/>
        </w:rPr>
        <w:t>25%</w:t>
      </w:r>
      <w:r>
        <w:rPr>
          <w:rFonts w:hint="eastAsia"/>
        </w:rPr>
        <w:t>）。</w:t>
      </w:r>
    </w:p>
    <w:p w14:paraId="5EE3F8B7" w14:textId="77777777" w:rsidR="00533B9C" w:rsidRDefault="00000000">
      <w:pPr>
        <w:pStyle w:val="BodyText"/>
      </w:pPr>
      <w:r>
        <w:rPr>
          <w:b/>
          <w:bCs/>
        </w:rPr>
        <w:t>B.</w:t>
      </w:r>
      <w:r>
        <w:t xml:space="preserve"> DIAHO est une société chinoise spécialisée dans le développement, la fabrication et la commercialisation de kits vétérinaires de diagnostic allergie, détentrice d’un savoir-faire, de brevets, de formules et de procédés de fabrication constituant un patrimoine de propriété intellectuelle substantiel (ci-après les « Actifs [[Pi]] »).</w:t>
      </w:r>
    </w:p>
    <w:p w14:paraId="6AC969DB" w14:textId="77777777" w:rsidR="00533B9C" w:rsidRDefault="00000000">
      <w:pPr>
        <w:pStyle w:val="BodyText"/>
      </w:pPr>
      <w:r>
        <w:rPr>
          <w:b/>
          <w:bCs/>
        </w:rPr>
        <w:t>B.</w:t>
      </w:r>
      <w:r>
        <w:t xml:space="preserve"> </w:t>
      </w:r>
      <w:r>
        <w:rPr>
          <w:rFonts w:hint="eastAsia"/>
        </w:rPr>
        <w:t>迪鸿为中国公司，专营兽用过敏诊断试剂盒的研发、生产与销售，持有构成重大知识产权资产的专有技术、专利、配方及生产工艺（以下简称”知识产权资产”）。</w:t>
      </w:r>
    </w:p>
    <w:p w14:paraId="23C4DFFD" w14:textId="77777777" w:rsidR="00533B9C" w:rsidRDefault="00000000">
      <w:pPr>
        <w:pStyle w:val="BodyText"/>
      </w:pPr>
      <w:r>
        <w:rPr>
          <w:b/>
          <w:bCs/>
        </w:rPr>
        <w:t>C.</w:t>
      </w:r>
      <w:r>
        <w:t xml:space="preserve"> VETALYX et DIAHO ont conclu, en date du [X], un Contrat Cadre de Partenariat Stratégique (ci-après le « Contrat Cadre ») qui prévoit notamment, en ses Articles 7, 8 et 9 : - L’option accordée à VETALYX d’exercer un droit exclusif de production des produits vétérinaires ; - Qu’en cas d’exercice de cette option de production, DIAHO transfère ses Actifs [[Pi]] à VETALYX ; - Qu’en contrepartie de ce transfert, DIAHO entre au capital de VETALYX à hauteur de </w:t>
      </w:r>
      <w:r>
        <w:rPr>
          <w:b/>
          <w:bCs/>
        </w:rPr>
        <w:t>quarante pour cent (40 %)</w:t>
      </w:r>
      <w:r>
        <w:t xml:space="preserve"> du capital post-augmentation.</w:t>
      </w:r>
    </w:p>
    <w:p w14:paraId="7463FDDC" w14:textId="77777777" w:rsidR="00533B9C" w:rsidRDefault="00000000">
      <w:pPr>
        <w:pStyle w:val="BodyText"/>
      </w:pPr>
      <w:r>
        <w:rPr>
          <w:b/>
          <w:bCs/>
        </w:rPr>
        <w:lastRenderedPageBreak/>
        <w:t>C.</w:t>
      </w:r>
      <w:r>
        <w:t xml:space="preserve"> </w:t>
      </w:r>
      <w:r>
        <w:rPr>
          <w:rFonts w:hint="eastAsia"/>
        </w:rPr>
        <w:t>VETALYX</w:t>
      </w:r>
      <w:r>
        <w:rPr>
          <w:rFonts w:hint="eastAsia"/>
        </w:rPr>
        <w:t>与迪鸿已于</w:t>
      </w:r>
      <w:r>
        <w:rPr>
          <w:rFonts w:hint="eastAsia"/>
        </w:rPr>
        <w:t>[</w:t>
      </w:r>
      <w:r>
        <w:rPr>
          <w:rFonts w:hint="eastAsia"/>
        </w:rPr>
        <w:t>框架协议日期</w:t>
      </w:r>
      <w:r>
        <w:rPr>
          <w:rFonts w:hint="eastAsia"/>
        </w:rPr>
        <w:t>]</w:t>
      </w:r>
      <w:r>
        <w:rPr>
          <w:rFonts w:hint="eastAsia"/>
        </w:rPr>
        <w:t>签订战略合作框架协议（以下简称”框架协议”），该协议第</w:t>
      </w:r>
      <w:r>
        <w:rPr>
          <w:rFonts w:hint="eastAsia"/>
        </w:rPr>
        <w:t>7</w:t>
      </w:r>
      <w:r>
        <w:rPr>
          <w:rFonts w:hint="eastAsia"/>
        </w:rPr>
        <w:t>、</w:t>
      </w:r>
      <w:r>
        <w:rPr>
          <w:rFonts w:hint="eastAsia"/>
        </w:rPr>
        <w:t>8</w:t>
      </w:r>
      <w:r>
        <w:rPr>
          <w:rFonts w:hint="eastAsia"/>
        </w:rPr>
        <w:t>、</w:t>
      </w:r>
      <w:r>
        <w:rPr>
          <w:rFonts w:hint="eastAsia"/>
        </w:rPr>
        <w:t>9</w:t>
      </w:r>
      <w:r>
        <w:rPr>
          <w:rFonts w:hint="eastAsia"/>
        </w:rPr>
        <w:t>条规定：</w:t>
      </w:r>
      <w:r>
        <w:t xml:space="preserve"> - </w:t>
      </w:r>
      <w:r>
        <w:rPr>
          <w:rFonts w:hint="eastAsia"/>
        </w:rPr>
        <w:t>授予</w:t>
      </w:r>
      <w:r>
        <w:rPr>
          <w:rFonts w:hint="eastAsia"/>
        </w:rPr>
        <w:t>VETALYX</w:t>
      </w:r>
      <w:r>
        <w:rPr>
          <w:rFonts w:hint="eastAsia"/>
        </w:rPr>
        <w:t>行使兽医产品独家生产权的选择权；</w:t>
      </w:r>
      <w:r>
        <w:t xml:space="preserve"> - </w:t>
      </w:r>
      <w:r>
        <w:rPr>
          <w:rFonts w:hint="eastAsia"/>
        </w:rPr>
        <w:t>VETALYX</w:t>
      </w:r>
      <w:r>
        <w:rPr>
          <w:rFonts w:hint="eastAsia"/>
        </w:rPr>
        <w:t>一旦行使该生产选择权，迪鸿须将其知识产权资产转让给</w:t>
      </w:r>
      <w:r>
        <w:rPr>
          <w:rFonts w:hint="eastAsia"/>
        </w:rPr>
        <w:t>VETALYX</w:t>
      </w:r>
      <w:r>
        <w:rPr>
          <w:rFonts w:hint="eastAsia"/>
        </w:rPr>
        <w:t>；</w:t>
      </w:r>
      <w:r>
        <w:t xml:space="preserve"> - </w:t>
      </w:r>
      <w:r>
        <w:rPr>
          <w:rFonts w:hint="eastAsia"/>
        </w:rPr>
        <w:t>作为该转让的对价，迪鸿以增资后注册资本</w:t>
      </w:r>
      <w:r>
        <w:rPr>
          <w:rFonts w:hint="eastAsia"/>
          <w:b/>
          <w:bCs/>
        </w:rPr>
        <w:t>百分之四十（</w:t>
      </w:r>
      <w:r>
        <w:rPr>
          <w:rFonts w:hint="eastAsia"/>
          <w:b/>
          <w:bCs/>
        </w:rPr>
        <w:t>40%</w:t>
      </w:r>
      <w:r>
        <w:rPr>
          <w:rFonts w:hint="eastAsia"/>
          <w:b/>
          <w:bCs/>
        </w:rPr>
        <w:t>）</w:t>
      </w:r>
      <w:r>
        <w:rPr>
          <w:rFonts w:hint="eastAsia"/>
        </w:rPr>
        <w:t>的比例入股</w:t>
      </w:r>
      <w:r>
        <w:rPr>
          <w:rFonts w:hint="eastAsia"/>
        </w:rPr>
        <w:t>VETALYX</w:t>
      </w:r>
      <w:r>
        <w:rPr>
          <w:rFonts w:hint="eastAsia"/>
        </w:rPr>
        <w:t>。</w:t>
      </w:r>
    </w:p>
    <w:p w14:paraId="4BEEED8B" w14:textId="77777777" w:rsidR="00533B9C" w:rsidRDefault="00000000">
      <w:pPr>
        <w:pStyle w:val="BodyText"/>
      </w:pPr>
      <w:r>
        <w:rPr>
          <w:b/>
          <w:bCs/>
        </w:rPr>
        <w:t>D.</w:t>
      </w:r>
      <w:r>
        <w:t xml:space="preserve"> Les Fondateurs souhaitent, par le présent accord, donner à DIAHO une garantie écrite, ferme et opposable, de l’engagement qu’ils prennent personnellement, en tant qu’actionnaires actuels de VETALYX, de mettre en œuvre toutes les opérations nécessaires à l’entrée de DIAHO au capital de VETALYX dans les conditions prévues au Contrat Cadre et au présent accord.</w:t>
      </w:r>
    </w:p>
    <w:p w14:paraId="431FC3C2" w14:textId="77777777" w:rsidR="00533B9C" w:rsidRDefault="00000000">
      <w:pPr>
        <w:pStyle w:val="BodyText"/>
      </w:pPr>
      <w:r>
        <w:rPr>
          <w:b/>
          <w:bCs/>
        </w:rPr>
        <w:t>D.</w:t>
      </w:r>
      <w:r>
        <w:t xml:space="preserve"> </w:t>
      </w:r>
      <w:r>
        <w:rPr>
          <w:rFonts w:hint="eastAsia"/>
        </w:rPr>
        <w:t>创始人希望通过本协议，以书面形式向迪鸿提供具有约束力且可对抗第三方的承诺，即各创始人以</w:t>
      </w:r>
      <w:r>
        <w:rPr>
          <w:rFonts w:hint="eastAsia"/>
        </w:rPr>
        <w:t>VETALYX</w:t>
      </w:r>
      <w:r>
        <w:rPr>
          <w:rFonts w:hint="eastAsia"/>
        </w:rPr>
        <w:t>现有股东身份，个人承诺推进迪鸿按框架协议及本协议规定条件入股</w:t>
      </w:r>
      <w:r>
        <w:rPr>
          <w:rFonts w:hint="eastAsia"/>
        </w:rPr>
        <w:t>VETALYX</w:t>
      </w:r>
      <w:r>
        <w:rPr>
          <w:rFonts w:hint="eastAsia"/>
        </w:rPr>
        <w:t>所必需的全部操作。</w:t>
      </w:r>
    </w:p>
    <w:p w14:paraId="1D19E4A0" w14:textId="77777777" w:rsidR="00533B9C" w:rsidRDefault="00000000">
      <w:pPr>
        <w:pStyle w:val="BodyText"/>
      </w:pPr>
      <w:r>
        <w:rPr>
          <w:b/>
          <w:bCs/>
        </w:rPr>
        <w:t>E.</w:t>
      </w:r>
      <w:r>
        <w:t xml:space="preserve"> Le présent accord a pour objet de définir les conditions, modalités et délais d’exécution de cette entrée au capital, conformément au droit [belge (Code des Sociétés et des Associations — CSA/WVV) / français (Code de commerce)] applicable.</w:t>
      </w:r>
    </w:p>
    <w:p w14:paraId="281BD86C" w14:textId="77777777" w:rsidR="00533B9C" w:rsidRDefault="00000000">
      <w:pPr>
        <w:pStyle w:val="BodyText"/>
      </w:pPr>
      <w:r>
        <w:rPr>
          <w:b/>
          <w:bCs/>
        </w:rPr>
        <w:t>E.</w:t>
      </w:r>
      <w:r>
        <w:t xml:space="preserve"> </w:t>
      </w:r>
      <w:r>
        <w:rPr>
          <w:rFonts w:hint="eastAsia"/>
        </w:rPr>
        <w:t>本协议旨在依据适用的</w:t>
      </w:r>
      <w:r>
        <w:rPr>
          <w:rFonts w:hint="eastAsia"/>
        </w:rPr>
        <w:t>[</w:t>
      </w:r>
      <w:r>
        <w:rPr>
          <w:rFonts w:hint="eastAsia"/>
        </w:rPr>
        <w:t>比利时《公司与协会法典》（</w:t>
      </w:r>
      <w:r>
        <w:rPr>
          <w:rFonts w:hint="eastAsia"/>
        </w:rPr>
        <w:t>CSA/WVV</w:t>
      </w:r>
      <w:r>
        <w:rPr>
          <w:rFonts w:hint="eastAsia"/>
        </w:rPr>
        <w:t>）</w:t>
      </w:r>
      <w:r>
        <w:rPr>
          <w:rFonts w:hint="eastAsia"/>
        </w:rPr>
        <w:t>/</w:t>
      </w:r>
      <w:r>
        <w:rPr>
          <w:rFonts w:hint="eastAsia"/>
        </w:rPr>
        <w:t>法国《商法典》</w:t>
      </w:r>
      <w:r>
        <w:rPr>
          <w:rFonts w:hint="eastAsia"/>
        </w:rPr>
        <w:t>]</w:t>
      </w:r>
      <w:r>
        <w:rPr>
          <w:rFonts w:hint="eastAsia"/>
        </w:rPr>
        <w:t>，界定上述入股的条件、方式及期限。</w:t>
      </w:r>
    </w:p>
    <w:p w14:paraId="782DD3B8" w14:textId="77777777" w:rsidR="00533B9C" w:rsidRDefault="00423071">
      <w:r>
        <w:rPr>
          <w:noProof/>
        </w:rPr>
      </w:r>
      <w:r>
        <w:pict w14:anchorId="0CAD5747">
          <v:rect id="Horizontal Line 4" o:spid="_x0000_s1040"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324F8761" w14:textId="77777777" w:rsidR="00533B9C" w:rsidRDefault="00000000">
      <w:pPr>
        <w:pStyle w:val="Heading2"/>
      </w:pPr>
      <w:bookmarkStart w:id="8" w:name="X8770a690caec0bece3202f33bdf2fc0d144886c"/>
      <w:bookmarkEnd w:id="7"/>
      <w:r>
        <w:t xml:space="preserve">CECI EXPOSÉ, IL EST CONVENU CE QUI SUIT : | </w:t>
      </w:r>
      <w:r>
        <w:rPr>
          <w:rFonts w:hint="eastAsia"/>
        </w:rPr>
        <w:t>有鉴于此，各方协商一致，达成如下协议：</w:t>
      </w:r>
    </w:p>
    <w:p w14:paraId="4381ECC8" w14:textId="77777777" w:rsidR="00533B9C" w:rsidRDefault="00423071">
      <w:r>
        <w:rPr>
          <w:noProof/>
        </w:rPr>
      </w:r>
      <w:r>
        <w:pict w14:anchorId="14F1C8B4">
          <v:rect id="Horizontal Line 5" o:spid="_x0000_s1039"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7BB4F617" w14:textId="77777777" w:rsidR="00533B9C" w:rsidRDefault="00000000">
      <w:pPr>
        <w:pStyle w:val="Heading2"/>
      </w:pPr>
      <w:bookmarkStart w:id="9" w:name="Xdfaa745f1de0a584d8e0dd810909926eb5f6a90"/>
      <w:bookmarkEnd w:id="8"/>
      <w:r>
        <w:t xml:space="preserve">TITRE I — ENGAGEMENT FERME DES FONDATEURS | </w:t>
      </w:r>
      <w:r>
        <w:rPr>
          <w:rFonts w:hint="eastAsia"/>
        </w:rPr>
        <w:t>第一章</w:t>
      </w:r>
      <w:r>
        <w:t xml:space="preserve"> — </w:t>
      </w:r>
      <w:r>
        <w:rPr>
          <w:rFonts w:hint="eastAsia"/>
        </w:rPr>
        <w:t>创始人的明确承诺</w:t>
      </w:r>
    </w:p>
    <w:p w14:paraId="3F8285F9" w14:textId="77777777" w:rsidR="00533B9C" w:rsidRDefault="00000000">
      <w:pPr>
        <w:pStyle w:val="Heading3"/>
      </w:pPr>
      <w:bookmarkStart w:id="10" w:name="article-1-objet-de-lengagement-第一条-承诺事项"/>
      <w:r>
        <w:t xml:space="preserve">Article 1 — Objet de l’engagement | </w:t>
      </w:r>
      <w:r>
        <w:rPr>
          <w:rFonts w:hint="eastAsia"/>
        </w:rPr>
        <w:t>第一条</w:t>
      </w:r>
      <w:r>
        <w:t xml:space="preserve"> — </w:t>
      </w:r>
      <w:r>
        <w:rPr>
          <w:rFonts w:hint="eastAsia"/>
        </w:rPr>
        <w:t>承诺事项</w:t>
      </w:r>
    </w:p>
    <w:p w14:paraId="42481F6F" w14:textId="77777777" w:rsidR="00533B9C" w:rsidRDefault="00000000">
      <w:pPr>
        <w:pStyle w:val="FirstParagraph"/>
      </w:pPr>
      <w:r>
        <w:t>Les Fondateurs s’engagent irrévocablement et solidairement, dès lors que les Conditions Suspensives définies à l’Article 5 du présent accord sont réunies, à :</w:t>
      </w:r>
    </w:p>
    <w:p w14:paraId="725CE8AC" w14:textId="77777777" w:rsidR="00533B9C" w:rsidRDefault="00000000">
      <w:pPr>
        <w:pStyle w:val="BodyText"/>
      </w:pPr>
      <w:r>
        <w:rPr>
          <w:rFonts w:hint="eastAsia"/>
        </w:rPr>
        <w:t>一旦本协议第五条规定的停止条件成就，创始人不可撤销地共同承诺：</w:t>
      </w:r>
    </w:p>
    <w:p w14:paraId="35866ACA" w14:textId="77777777" w:rsidR="00533B9C" w:rsidRDefault="00000000">
      <w:pPr>
        <w:numPr>
          <w:ilvl w:val="0"/>
          <w:numId w:val="2"/>
        </w:numPr>
      </w:pPr>
      <w:r>
        <w:t xml:space="preserve">Convoquer et tenir une assemblée générale extraordinaire de VETALYX aux fins d’approuver une augmentation de capital réservée à DIAHO ; </w:t>
      </w:r>
      <w:r>
        <w:rPr>
          <w:rFonts w:hint="eastAsia"/>
        </w:rPr>
        <w:t>召集并召开</w:t>
      </w:r>
      <w:r>
        <w:rPr>
          <w:rFonts w:hint="eastAsia"/>
        </w:rPr>
        <w:t>VETALYX</w:t>
      </w:r>
      <w:r>
        <w:rPr>
          <w:rFonts w:hint="eastAsia"/>
        </w:rPr>
        <w:t>临时股东大会，以审议批准为迪鸿保留的增资方案；</w:t>
      </w:r>
    </w:p>
    <w:p w14:paraId="63EACE26" w14:textId="77777777" w:rsidR="00533B9C" w:rsidRDefault="00000000">
      <w:pPr>
        <w:numPr>
          <w:ilvl w:val="0"/>
          <w:numId w:val="2"/>
        </w:numPr>
      </w:pPr>
      <w:r>
        <w:t xml:space="preserve">Voter en faveur de ladite augmentation de capital et de toutes les résolutions nécessaires à son exécution ; </w:t>
      </w:r>
      <w:r>
        <w:rPr>
          <w:rFonts w:hint="eastAsia"/>
        </w:rPr>
        <w:t>对上述增资决议及其执行所需的全部决议投票赞成；</w:t>
      </w:r>
    </w:p>
    <w:p w14:paraId="3E83719F" w14:textId="77777777" w:rsidR="00533B9C" w:rsidRDefault="00000000">
      <w:pPr>
        <w:numPr>
          <w:ilvl w:val="0"/>
          <w:numId w:val="2"/>
        </w:numPr>
      </w:pPr>
      <w:r>
        <w:lastRenderedPageBreak/>
        <w:t xml:space="preserve">Procéder à la modification des statuts de VETALYX en conséquence ; </w:t>
      </w:r>
      <w:r>
        <w:rPr>
          <w:rFonts w:hint="eastAsia"/>
        </w:rPr>
        <w:t>相应修改</w:t>
      </w:r>
      <w:r>
        <w:rPr>
          <w:rFonts w:hint="eastAsia"/>
        </w:rPr>
        <w:t>VETALYX</w:t>
      </w:r>
      <w:r>
        <w:rPr>
          <w:rFonts w:hint="eastAsia"/>
        </w:rPr>
        <w:t>公司章程；</w:t>
      </w:r>
    </w:p>
    <w:p w14:paraId="0CCB1C12" w14:textId="77777777" w:rsidR="00533B9C" w:rsidRDefault="00000000">
      <w:pPr>
        <w:numPr>
          <w:ilvl w:val="0"/>
          <w:numId w:val="2"/>
        </w:numPr>
      </w:pPr>
      <w:r>
        <w:t xml:space="preserve">Accomplir l’ensemble des formalités légales, administratives et de publicité requises par le droit applicable ; </w:t>
      </w:r>
      <w:r>
        <w:rPr>
          <w:rFonts w:hint="eastAsia"/>
        </w:rPr>
        <w:t>完成适用法律规定的全部法律、行政及公示手续；</w:t>
      </w:r>
    </w:p>
    <w:p w14:paraId="50716D25" w14:textId="77777777" w:rsidR="00533B9C" w:rsidRDefault="00000000">
      <w:pPr>
        <w:numPr>
          <w:ilvl w:val="0"/>
          <w:numId w:val="2"/>
        </w:numPr>
      </w:pPr>
      <w:r>
        <w:t xml:space="preserve">Délivrer à DIAHO des actions nouvelles représentant </w:t>
      </w:r>
      <w:r>
        <w:rPr>
          <w:b/>
          <w:bCs/>
        </w:rPr>
        <w:t>quarante pour cent (40 %)</w:t>
      </w:r>
      <w:r>
        <w:t xml:space="preserve"> du capital social de VETALYX, calculé après réalisation de l’augmentation de capital (ci-après le « Capital Post-Augmentation »). </w:t>
      </w:r>
      <w:r>
        <w:rPr>
          <w:rFonts w:hint="eastAsia"/>
        </w:rPr>
        <w:t>向迪鸿发行新股，使其持有增资完成后</w:t>
      </w:r>
      <w:r>
        <w:rPr>
          <w:rFonts w:hint="eastAsia"/>
        </w:rPr>
        <w:t>VETALYX</w:t>
      </w:r>
      <w:r>
        <w:rPr>
          <w:rFonts w:hint="eastAsia"/>
        </w:rPr>
        <w:t>注册资本的</w:t>
      </w:r>
      <w:r>
        <w:rPr>
          <w:rFonts w:hint="eastAsia"/>
          <w:b/>
          <w:bCs/>
        </w:rPr>
        <w:t>百分之四十（</w:t>
      </w:r>
      <w:r>
        <w:rPr>
          <w:rFonts w:hint="eastAsia"/>
          <w:b/>
          <w:bCs/>
        </w:rPr>
        <w:t>40%</w:t>
      </w:r>
      <w:r>
        <w:rPr>
          <w:rFonts w:hint="eastAsia"/>
          <w:b/>
          <w:bCs/>
        </w:rPr>
        <w:t>）</w:t>
      </w:r>
      <w:r>
        <w:rPr>
          <w:rFonts w:hint="eastAsia"/>
        </w:rPr>
        <w:t>（以下简称”增资后资本”）。</w:t>
      </w:r>
    </w:p>
    <w:p w14:paraId="41F36611" w14:textId="77777777" w:rsidR="00533B9C" w:rsidRDefault="00000000">
      <w:pPr>
        <w:pStyle w:val="Heading3"/>
      </w:pPr>
      <w:bookmarkStart w:id="11" w:name="X64f5b92bbfe251697bbcfd4bd2c0d738656f370"/>
      <w:bookmarkEnd w:id="10"/>
      <w:r>
        <w:t xml:space="preserve">Article 2 — Caractère ferme et irrévocable | </w:t>
      </w:r>
      <w:r>
        <w:rPr>
          <w:rFonts w:hint="eastAsia"/>
        </w:rPr>
        <w:t>第二条</w:t>
      </w:r>
      <w:r>
        <w:t xml:space="preserve"> — </w:t>
      </w:r>
      <w:r>
        <w:rPr>
          <w:rFonts w:hint="eastAsia"/>
        </w:rPr>
        <w:t>承诺的确定性与不可撤销性</w:t>
      </w:r>
    </w:p>
    <w:p w14:paraId="6311D6FD" w14:textId="77777777" w:rsidR="00533B9C" w:rsidRDefault="00000000">
      <w:pPr>
        <w:pStyle w:val="FirstParagraph"/>
      </w:pPr>
      <w:r>
        <w:t>L’engagement visé à l’Article 1 est ferme, irrévocable et opposable à chacun des Fondateurs personnellement. Aucun Fondateur ne pourra se soustraire à cet engagement dès lors que les Conditions Suspensives sont réalisées, y compris en cas de cession de tout ou partie de ses actions à un tiers, le cessionnaire reprenant l’engagement aux termes de l’Article 12 ci-après.</w:t>
      </w:r>
    </w:p>
    <w:p w14:paraId="2973CB7D" w14:textId="77777777" w:rsidR="00533B9C" w:rsidRDefault="00000000">
      <w:pPr>
        <w:pStyle w:val="BodyText"/>
      </w:pPr>
      <w:r>
        <w:rPr>
          <w:rFonts w:hint="eastAsia"/>
        </w:rPr>
        <w:t>第一条所述承诺对每位创始人个人具有确定性、不可撤销性及可对抗第三方的效力。停止条件一旦成就，任何创始人均不得规避该承诺，包括在其将全部或部分股份转让给第三方的情形下，受让人须依第十二条规定承继该承诺。</w:t>
      </w:r>
    </w:p>
    <w:p w14:paraId="319F60FC" w14:textId="77777777" w:rsidR="00533B9C" w:rsidRDefault="00000000">
      <w:pPr>
        <w:pStyle w:val="Heading3"/>
      </w:pPr>
      <w:bookmarkStart w:id="12" w:name="Xe77e034db760f5f44a36e283a4003de56da0b6d"/>
      <w:bookmarkEnd w:id="11"/>
      <w:r>
        <w:t xml:space="preserve">Article 3 — Calcul de la participation de 40 % et clause anti-dilution préalable | </w:t>
      </w:r>
      <w:r>
        <w:rPr>
          <w:rFonts w:hint="eastAsia"/>
        </w:rPr>
        <w:t>第三条</w:t>
      </w:r>
      <w:r>
        <w:t xml:space="preserve"> — </w:t>
      </w:r>
      <w:r>
        <w:rPr>
          <w:rFonts w:hint="eastAsia"/>
        </w:rPr>
        <w:t>40%</w:t>
      </w:r>
      <w:r>
        <w:rPr>
          <w:rFonts w:hint="eastAsia"/>
        </w:rPr>
        <w:t>股权比例的计算及预稀释条款</w:t>
      </w:r>
    </w:p>
    <w:p w14:paraId="1E9B5C18" w14:textId="77777777" w:rsidR="00533B9C" w:rsidRDefault="00000000">
      <w:pPr>
        <w:pStyle w:val="FirstParagraph"/>
      </w:pPr>
      <w:r>
        <w:t xml:space="preserve">3.1. </w:t>
      </w:r>
      <w:r>
        <w:rPr>
          <w:b/>
          <w:bCs/>
        </w:rPr>
        <w:t xml:space="preserve">Principe de calcul | </w:t>
      </w:r>
      <w:r>
        <w:rPr>
          <w:rFonts w:hint="eastAsia"/>
          <w:b/>
          <w:bCs/>
        </w:rPr>
        <w:t>计算原则</w:t>
      </w:r>
    </w:p>
    <w:p w14:paraId="4A586FF9" w14:textId="77777777" w:rsidR="00533B9C" w:rsidRDefault="00000000">
      <w:pPr>
        <w:pStyle w:val="BodyText"/>
      </w:pPr>
      <w:r>
        <w:t xml:space="preserve">À titre d’illustration, si le capital de VETALYX au moment de l’exercice de l’option est composé de </w:t>
      </w:r>
      <w:r>
        <w:rPr>
          <w:b/>
          <w:bCs/>
        </w:rPr>
        <w:t>[X] actions</w:t>
      </w:r>
      <w:r>
        <w:t xml:space="preserve"> détenues exclusivement par les quatre Fondateurs à parité (25 % chacun), l’augmentation de capital en faveur de DIAHO donnera lieu à l’émission d’un nombre d’actions nouvelles tel que DIAHO détienne, après augmentation, quarante pour cent (40 %) du capital total, soit :</w:t>
      </w:r>
    </w:p>
    <w:p w14:paraId="3DCC87C9" w14:textId="77777777" w:rsidR="00533B9C" w:rsidRDefault="00000000">
      <w:pPr>
        <w:pStyle w:val="BodyText"/>
      </w:pPr>
      <w:r>
        <w:rPr>
          <w:rFonts w:hint="eastAsia"/>
        </w:rPr>
        <w:t>举例说明：若</w:t>
      </w:r>
      <w:r>
        <w:rPr>
          <w:rFonts w:hint="eastAsia"/>
        </w:rPr>
        <w:t>VETALYX</w:t>
      </w:r>
      <w:r>
        <w:rPr>
          <w:rFonts w:hint="eastAsia"/>
        </w:rPr>
        <w:t>行使选择权时，注册资本仅由四名创始人平均持有（各</w:t>
      </w:r>
      <w:r>
        <w:rPr>
          <w:rFonts w:hint="eastAsia"/>
        </w:rPr>
        <w:t>25%</w:t>
      </w:r>
      <w:r>
        <w:rPr>
          <w:rFonts w:hint="eastAsia"/>
        </w:rPr>
        <w:t>）的</w:t>
      </w:r>
      <w:r>
        <w:rPr>
          <w:rFonts w:hint="eastAsia"/>
          <w:b/>
          <w:bCs/>
        </w:rPr>
        <w:t>[X]</w:t>
      </w:r>
      <w:r>
        <w:rPr>
          <w:rFonts w:hint="eastAsia"/>
          <w:b/>
          <w:bCs/>
        </w:rPr>
        <w:t>股</w:t>
      </w:r>
      <w:r>
        <w:rPr>
          <w:rFonts w:hint="eastAsia"/>
        </w:rPr>
        <w:t>构成，则为迪鸿实施的增资须发行若干新股，使迪鸿增资后持有总资本的百分之四十（</w:t>
      </w:r>
      <w:r>
        <w:rPr>
          <w:rFonts w:hint="eastAsia"/>
        </w:rPr>
        <w:t>40%</w:t>
      </w:r>
      <w:r>
        <w:rPr>
          <w:rFonts w:hint="eastAsia"/>
        </w:rPr>
        <w:t>），即：</w:t>
      </w:r>
    </w:p>
    <w:p w14:paraId="4A5767EB" w14:textId="77777777" w:rsidR="00533B9C" w:rsidRDefault="00000000">
      <w:pPr>
        <w:pStyle w:val="BlockText"/>
      </w:pPr>
      <w:r>
        <w:t xml:space="preserve">Nombre d’actions nouvelles = (40 / 60) × Nombre d’actions existantes </w:t>
      </w:r>
      <w:r>
        <w:rPr>
          <w:rFonts w:hint="eastAsia"/>
        </w:rPr>
        <w:t>新发行股份数</w:t>
      </w:r>
      <w:r>
        <w:t xml:space="preserve"> = </w:t>
      </w:r>
      <w:r>
        <w:rPr>
          <w:rFonts w:hint="eastAsia"/>
        </w:rPr>
        <w:t>（</w:t>
      </w:r>
      <w:r>
        <w:rPr>
          <w:rFonts w:hint="eastAsia"/>
        </w:rPr>
        <w:t>40</w:t>
      </w:r>
      <w:r>
        <w:t xml:space="preserve"> / </w:t>
      </w:r>
      <w:r>
        <w:rPr>
          <w:rFonts w:hint="eastAsia"/>
        </w:rPr>
        <w:t>60</w:t>
      </w:r>
      <w:r>
        <w:rPr>
          <w:rFonts w:hint="eastAsia"/>
        </w:rPr>
        <w:t>）×</w:t>
      </w:r>
      <w:r>
        <w:t xml:space="preserve"> </w:t>
      </w:r>
      <w:r>
        <w:rPr>
          <w:rFonts w:hint="eastAsia"/>
        </w:rPr>
        <w:t>现有股份数</w:t>
      </w:r>
    </w:p>
    <w:p w14:paraId="6A820C2C" w14:textId="77777777" w:rsidR="00533B9C" w:rsidRDefault="00000000">
      <w:pPr>
        <w:pStyle w:val="FirstParagraph"/>
      </w:pPr>
      <w:r>
        <w:t xml:space="preserve">Les quatre Fondateurs verront chacun leur participation ramenée à </w:t>
      </w:r>
      <w:r>
        <w:rPr>
          <w:b/>
          <w:bCs/>
        </w:rPr>
        <w:t>quinze pour cent (15 %)</w:t>
      </w:r>
      <w:r>
        <w:t xml:space="preserve"> du Capital Post-Augmentation [4 × 15 % = 60 %], sauf accord distinct modifiant leur répartition relative.</w:t>
      </w:r>
    </w:p>
    <w:p w14:paraId="3A5F0732" w14:textId="77777777" w:rsidR="00533B9C" w:rsidRDefault="00000000">
      <w:pPr>
        <w:pStyle w:val="BodyText"/>
      </w:pPr>
      <w:r>
        <w:t xml:space="preserve">3.2. </w:t>
      </w:r>
      <w:r>
        <w:rPr>
          <w:b/>
          <w:bCs/>
        </w:rPr>
        <w:t xml:space="preserve">Ajustement en cas d’entrée d’investisseurs tiers préalables | </w:t>
      </w:r>
      <w:r>
        <w:rPr>
          <w:rFonts w:hint="eastAsia"/>
          <w:b/>
          <w:bCs/>
        </w:rPr>
        <w:t>预先第三方投资者入股时的调整</w:t>
      </w:r>
    </w:p>
    <w:p w14:paraId="1A19F23E" w14:textId="77777777" w:rsidR="00533B9C" w:rsidRDefault="00000000">
      <w:pPr>
        <w:pStyle w:val="BodyText"/>
      </w:pPr>
      <w:r>
        <w:lastRenderedPageBreak/>
        <w:t>Si, avant l’exercice de l’option de production par VETALYX, un ou plusieurs investisseurs tiers sont entrés au capital de VETALYX (ci-après les « Investisseurs Préalables »), la participation de quarante pour cent (40 %) initialement prévue pour DIAHO sera recalculée afin de refléter la dilution subie par les Fondateurs.</w:t>
      </w:r>
    </w:p>
    <w:p w14:paraId="706EEA78" w14:textId="77777777" w:rsidR="00533B9C" w:rsidRDefault="00000000">
      <w:pPr>
        <w:pStyle w:val="BodyText"/>
      </w:pPr>
      <w:r>
        <w:rPr>
          <w:rFonts w:hint="eastAsia"/>
        </w:rPr>
        <w:t>如果在</w:t>
      </w:r>
      <w:r>
        <w:rPr>
          <w:rFonts w:hint="eastAsia"/>
        </w:rPr>
        <w:t>VETALYX</w:t>
      </w:r>
      <w:r>
        <w:rPr>
          <w:rFonts w:hint="eastAsia"/>
        </w:rPr>
        <w:t>行使生产选择权之前，已有一名</w:t>
      </w:r>
      <w:r>
        <w:t xml:space="preserve"> or </w:t>
      </w:r>
      <w:r>
        <w:rPr>
          <w:rFonts w:hint="eastAsia"/>
        </w:rPr>
        <w:t>多名第三方投资者入股</w:t>
      </w:r>
      <w:r>
        <w:rPr>
          <w:rFonts w:hint="eastAsia"/>
        </w:rPr>
        <w:t>VETALYX</w:t>
      </w:r>
      <w:r>
        <w:rPr>
          <w:rFonts w:hint="eastAsia"/>
        </w:rPr>
        <w:t>（以下简称”预先投资者”），则原定给予迪鸿的百分之四十（</w:t>
      </w:r>
      <w:r>
        <w:rPr>
          <w:rFonts w:hint="eastAsia"/>
        </w:rPr>
        <w:t>40%</w:t>
      </w:r>
      <w:r>
        <w:rPr>
          <w:rFonts w:hint="eastAsia"/>
        </w:rPr>
        <w:t>）股权比例将重新计算，以反映创始人所遭受的稀释。</w:t>
      </w:r>
    </w:p>
    <w:p w14:paraId="6A25F567" w14:textId="77777777" w:rsidR="00533B9C" w:rsidRDefault="00000000">
      <w:pPr>
        <w:pStyle w:val="BodyText"/>
      </w:pPr>
      <w:r>
        <w:t>L’objectif est que DIAHO soit dilué par les Investisseurs Préalables dans les mêmes proportions que les Fondateurs. La quote-part de DIAHO sera alors calculée sur la base du « bloc des Fondateurs » (soit 100 % du capital initial) et réduite au prorata de la participation détenue par les Investisseurs Préalables au jour de l’augmentation de capital.</w:t>
      </w:r>
    </w:p>
    <w:p w14:paraId="38BDC64B" w14:textId="77777777" w:rsidR="00533B9C" w:rsidRDefault="00000000">
      <w:pPr>
        <w:pStyle w:val="BodyText"/>
      </w:pPr>
      <w:r>
        <w:rPr>
          <w:rFonts w:hint="eastAsia"/>
        </w:rPr>
        <w:t>其原则是：迪鸿应按与创始人相同的比例被预先投资者稀释。届时，迪鸿的持股比例将以”创始人股权块”（即初始资本的</w:t>
      </w:r>
      <w:r>
        <w:rPr>
          <w:rFonts w:hint="eastAsia"/>
        </w:rPr>
        <w:t>100%</w:t>
      </w:r>
      <w:r>
        <w:rPr>
          <w:rFonts w:hint="eastAsia"/>
        </w:rPr>
        <w:t>）为基数进行计算，并按增资之日预先投资者所持有的股份比例等比例缩减。</w:t>
      </w:r>
    </w:p>
    <w:p w14:paraId="4D445B57" w14:textId="77777777" w:rsidR="00533B9C" w:rsidRDefault="00000000">
      <w:pPr>
        <w:pStyle w:val="BlockText"/>
      </w:pPr>
      <w:r>
        <w:t xml:space="preserve">Formule : Quote-part finale DIAHO = 40 % × (100 % - % détenu par les Investisseurs Préalables) </w:t>
      </w:r>
      <w:r>
        <w:rPr>
          <w:rFonts w:hint="eastAsia"/>
        </w:rPr>
        <w:t>计算公式：迪鸿最终持股比例</w:t>
      </w:r>
      <w:r>
        <w:t xml:space="preserve"> = 40% × </w:t>
      </w:r>
      <w:r>
        <w:rPr>
          <w:rFonts w:hint="eastAsia"/>
        </w:rPr>
        <w:t>（</w:t>
      </w:r>
      <w:r>
        <w:rPr>
          <w:rFonts w:hint="eastAsia"/>
        </w:rPr>
        <w:t>100%</w:t>
      </w:r>
      <w:r>
        <w:t xml:space="preserve"> - </w:t>
      </w:r>
      <w:r>
        <w:rPr>
          <w:rFonts w:hint="eastAsia"/>
        </w:rPr>
        <w:t>预先投资者持股比例）</w:t>
      </w:r>
    </w:p>
    <w:p w14:paraId="5270FA29" w14:textId="77777777" w:rsidR="00533B9C" w:rsidRDefault="00000000">
      <w:pPr>
        <w:pStyle w:val="FirstParagraph"/>
      </w:pPr>
      <w:r>
        <w:rPr>
          <w:i/>
          <w:iCs/>
        </w:rPr>
        <w:t>Exemple : Si des investisseurs détiennent 20 % du capital avant l’entrée de DIAHO, la quote-part de DIAHO sera de 40 % × (100 % - 20 %) = 32 % du Capital Post-Augmentation.</w:t>
      </w:r>
    </w:p>
    <w:p w14:paraId="7EC72DB4" w14:textId="77777777" w:rsidR="00533B9C" w:rsidRDefault="00000000">
      <w:pPr>
        <w:pStyle w:val="BodyText"/>
      </w:pPr>
      <w:r>
        <w:rPr>
          <w:rFonts w:hint="eastAsia"/>
          <w:i/>
          <w:iCs/>
        </w:rPr>
        <w:t>示例：若在迪鸿入股前，预先投资者已持有</w:t>
      </w:r>
      <w:r>
        <w:rPr>
          <w:rFonts w:hint="eastAsia"/>
          <w:i/>
          <w:iCs/>
        </w:rPr>
        <w:t>20%</w:t>
      </w:r>
      <w:r>
        <w:rPr>
          <w:rFonts w:hint="eastAsia"/>
          <w:i/>
          <w:iCs/>
        </w:rPr>
        <w:t>的股份，则迪鸿的持股比例将为</w:t>
      </w:r>
      <w:r>
        <w:rPr>
          <w:i/>
          <w:iCs/>
        </w:rPr>
        <w:t xml:space="preserve"> 40% × (100% - 20%) = </w:t>
      </w:r>
      <w:r>
        <w:rPr>
          <w:rFonts w:hint="eastAsia"/>
          <w:i/>
          <w:iCs/>
        </w:rPr>
        <w:t>增资后总资本的</w:t>
      </w:r>
      <w:r>
        <w:rPr>
          <w:rFonts w:hint="eastAsia"/>
          <w:i/>
          <w:iCs/>
        </w:rPr>
        <w:t>32%</w:t>
      </w:r>
      <w:r>
        <w:rPr>
          <w:rFonts w:hint="eastAsia"/>
          <w:i/>
          <w:iCs/>
        </w:rPr>
        <w:t>。</w:t>
      </w:r>
    </w:p>
    <w:p w14:paraId="5339E3C4" w14:textId="77777777" w:rsidR="00533B9C" w:rsidRDefault="00000000">
      <w:pPr>
        <w:pStyle w:val="BodyText"/>
      </w:pPr>
      <w:r>
        <w:rPr>
          <w:rFonts w:hint="eastAsia"/>
        </w:rPr>
        <w:t>四名创始人各自的持股比例将相应降至增资后资本的</w:t>
      </w:r>
      <w:r>
        <w:rPr>
          <w:rFonts w:hint="eastAsia"/>
          <w:b/>
          <w:bCs/>
        </w:rPr>
        <w:t>百分之十五（</w:t>
      </w:r>
      <w:r>
        <w:rPr>
          <w:rFonts w:hint="eastAsia"/>
          <w:b/>
          <w:bCs/>
        </w:rPr>
        <w:t>15%</w:t>
      </w:r>
      <w:r>
        <w:rPr>
          <w:rFonts w:hint="eastAsia"/>
          <w:b/>
          <w:bCs/>
        </w:rPr>
        <w:t>）</w:t>
      </w:r>
      <w:r>
        <w:rPr>
          <w:rFonts w:hint="eastAsia"/>
        </w:rPr>
        <w:t>【</w:t>
      </w:r>
      <w:r>
        <w:rPr>
          <w:rFonts w:hint="eastAsia"/>
        </w:rPr>
        <w:t>4</w:t>
      </w:r>
      <w:r>
        <w:rPr>
          <w:rFonts w:hint="eastAsia"/>
        </w:rPr>
        <w:t>×</w:t>
      </w:r>
      <w:r>
        <w:rPr>
          <w:rFonts w:hint="eastAsia"/>
        </w:rPr>
        <w:t>15%=60%</w:t>
      </w:r>
      <w:r>
        <w:rPr>
          <w:rFonts w:hint="eastAsia"/>
        </w:rPr>
        <w:t>】，除非另有协议改变其相互持股比例。</w:t>
      </w:r>
    </w:p>
    <w:p w14:paraId="6EE3AD1E" w14:textId="77777777" w:rsidR="00533B9C" w:rsidRDefault="00423071">
      <w:r>
        <w:rPr>
          <w:noProof/>
        </w:rPr>
      </w:r>
      <w:r>
        <w:pict w14:anchorId="376EEB87">
          <v:rect id="Horizontal Line 6" o:spid="_x0000_s1038"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5462E5B5" w14:textId="77777777" w:rsidR="00533B9C" w:rsidRDefault="00000000">
      <w:pPr>
        <w:pStyle w:val="Heading2"/>
      </w:pPr>
      <w:bookmarkStart w:id="13" w:name="Xde2972af3be31c4abe4094996dd4fdf36cab7f9"/>
      <w:bookmarkEnd w:id="9"/>
      <w:bookmarkEnd w:id="12"/>
      <w:r>
        <w:t xml:space="preserve">TITRE II — NATURE ET PÉRIMÈTRE DE LA CONTREPARTIE | </w:t>
      </w:r>
      <w:r>
        <w:rPr>
          <w:rFonts w:hint="eastAsia"/>
        </w:rPr>
        <w:t>第二章</w:t>
      </w:r>
      <w:r>
        <w:t xml:space="preserve"> — </w:t>
      </w:r>
      <w:r>
        <w:rPr>
          <w:rFonts w:hint="eastAsia"/>
        </w:rPr>
        <w:t>对价的性质与范围</w:t>
      </w:r>
    </w:p>
    <w:p w14:paraId="5822C30B" w14:textId="77777777" w:rsidR="00533B9C" w:rsidRDefault="00000000">
      <w:pPr>
        <w:pStyle w:val="Heading3"/>
      </w:pPr>
      <w:bookmarkStart w:id="14" w:name="X3c7feb13cee5bb54812c6316fb4d683453fa1e1"/>
      <w:r>
        <w:t xml:space="preserve">Article 4 — Apport en nature : propriété intellectuelle | </w:t>
      </w:r>
      <w:r>
        <w:rPr>
          <w:rFonts w:hint="eastAsia"/>
        </w:rPr>
        <w:t>第四条</w:t>
      </w:r>
      <w:r>
        <w:t xml:space="preserve"> — </w:t>
      </w:r>
      <w:r>
        <w:rPr>
          <w:rFonts w:hint="eastAsia"/>
        </w:rPr>
        <w:t>实物出资：知识产权</w:t>
      </w:r>
    </w:p>
    <w:p w14:paraId="6ECA549D" w14:textId="77777777" w:rsidR="00533B9C" w:rsidRDefault="00000000">
      <w:pPr>
        <w:pStyle w:val="FirstParagraph"/>
      </w:pPr>
      <w:r>
        <w:t xml:space="preserve">4.1. La contrepartie exclusive de l’émission des actions nouvelles au profit de DIAHO est constituée d’un </w:t>
      </w:r>
      <w:r>
        <w:rPr>
          <w:b/>
          <w:bCs/>
        </w:rPr>
        <w:t>apport en nature</w:t>
      </w:r>
      <w:r>
        <w:t xml:space="preserve"> portant sur les Actifs [[Pi]] décrits ci-après et à l’Annexe A du présent accord.</w:t>
      </w:r>
    </w:p>
    <w:p w14:paraId="631CEC37" w14:textId="77777777" w:rsidR="00533B9C" w:rsidRDefault="00000000">
      <w:pPr>
        <w:pStyle w:val="BodyText"/>
      </w:pPr>
      <w:r>
        <w:t xml:space="preserve">4.1. </w:t>
      </w:r>
      <w:r>
        <w:rPr>
          <w:rFonts w:hint="eastAsia"/>
        </w:rPr>
        <w:t>向迪鸿发行新股的唯一对价为</w:t>
      </w:r>
      <w:r>
        <w:rPr>
          <w:rFonts w:hint="eastAsia"/>
          <w:b/>
          <w:bCs/>
        </w:rPr>
        <w:t>实物出资</w:t>
      </w:r>
      <w:r>
        <w:rPr>
          <w:rFonts w:hint="eastAsia"/>
        </w:rPr>
        <w:t>，即</w:t>
      </w:r>
      <w:r>
        <w:rPr>
          <w:rFonts w:hint="eastAsia"/>
          <w:highlight w:val="yellow"/>
        </w:rPr>
        <w:t>以下文及本协议附件</w:t>
      </w:r>
      <w:r>
        <w:rPr>
          <w:rFonts w:hint="eastAsia"/>
          <w:highlight w:val="yellow"/>
        </w:rPr>
        <w:t>A</w:t>
      </w:r>
      <w:r>
        <w:rPr>
          <w:rFonts w:hint="eastAsia"/>
          <w:highlight w:val="yellow"/>
        </w:rPr>
        <w:t>所述知识产权资产出资。</w:t>
      </w:r>
    </w:p>
    <w:p w14:paraId="679EEA72" w14:textId="77777777" w:rsidR="00533B9C" w:rsidRDefault="00000000">
      <w:pPr>
        <w:pStyle w:val="BodyText"/>
      </w:pPr>
      <w:r>
        <w:t>4.2. Les Actifs [[Pi]] comprennent, sans que cette liste soit limitative :</w:t>
      </w:r>
    </w:p>
    <w:p w14:paraId="7A589365" w14:textId="77777777" w:rsidR="00533B9C" w:rsidRDefault="00000000">
      <w:pPr>
        <w:pStyle w:val="BodyText"/>
      </w:pPr>
      <w:r>
        <w:lastRenderedPageBreak/>
        <w:t xml:space="preserve">4.2. </w:t>
      </w:r>
      <w:r>
        <w:rPr>
          <w:rFonts w:hint="eastAsia"/>
        </w:rPr>
        <w:t>知识产权资产包括但不限于以下内容：</w:t>
      </w:r>
    </w:p>
    <w:p w14:paraId="569509E7" w14:textId="77777777" w:rsidR="00533B9C" w:rsidRDefault="00000000">
      <w:pPr>
        <w:numPr>
          <w:ilvl w:val="0"/>
          <w:numId w:val="3"/>
        </w:numPr>
      </w:pPr>
      <w:r>
        <w:rPr>
          <w:b/>
          <w:bCs/>
        </w:rPr>
        <w:t>Brevets et droits assimilés</w:t>
      </w:r>
      <w:r>
        <w:t xml:space="preserve"> : l’ensemble des brevets déposés, en cours de dépôt ou détenus par DIAHO, relatifs aux kits vétérinaires de diagnostic allergie, tels que listés à l’Annexe A ;</w:t>
      </w:r>
    </w:p>
    <w:p w14:paraId="30D29FBE" w14:textId="77777777" w:rsidR="00533B9C" w:rsidRDefault="00000000">
      <w:pPr>
        <w:numPr>
          <w:ilvl w:val="0"/>
          <w:numId w:val="3"/>
        </w:numPr>
        <w:rPr>
          <w:highlight w:val="yellow"/>
        </w:rPr>
      </w:pPr>
      <w:r>
        <w:rPr>
          <w:rFonts w:hint="eastAsia"/>
          <w:b/>
          <w:bCs/>
          <w:highlight w:val="yellow"/>
        </w:rPr>
        <w:t>专利及同类权利</w:t>
      </w:r>
      <w:r>
        <w:rPr>
          <w:rFonts w:hint="eastAsia"/>
          <w:highlight w:val="yellow"/>
        </w:rPr>
        <w:t>：迪鸿已申请、申请中或持有的与兽用过敏诊断试剂盒相关的全部专利，详见附件</w:t>
      </w:r>
      <w:r>
        <w:rPr>
          <w:rFonts w:hint="eastAsia"/>
          <w:highlight w:val="yellow"/>
        </w:rPr>
        <w:t>A</w:t>
      </w:r>
      <w:r>
        <w:rPr>
          <w:rFonts w:hint="eastAsia"/>
          <w:highlight w:val="yellow"/>
        </w:rPr>
        <w:t>；</w:t>
      </w:r>
    </w:p>
    <w:p w14:paraId="7FEECFC4" w14:textId="77777777" w:rsidR="00533B9C" w:rsidRDefault="00000000">
      <w:pPr>
        <w:ind w:left="360"/>
        <w:rPr>
          <w:color w:val="FF0000"/>
          <w:highlight w:val="yellow"/>
        </w:rPr>
      </w:pPr>
      <w:r>
        <w:rPr>
          <w:rFonts w:hint="eastAsia"/>
          <w:color w:val="FF0000"/>
          <w:highlight w:val="yellow"/>
        </w:rPr>
        <w:t>A:</w:t>
      </w:r>
      <w:r>
        <w:rPr>
          <w:rFonts w:hint="eastAsia"/>
          <w:color w:val="FF0000"/>
          <w:highlight w:val="yellow"/>
        </w:rPr>
        <w:t>目前迪鸿生物无专利及相关知识产权</w:t>
      </w:r>
      <w:r>
        <w:rPr>
          <w:rFonts w:ascii="Segoe UI" w:eastAsia="Segoe UI" w:hAnsi="Segoe UI" w:cs="Segoe UI"/>
          <w:color w:val="FF0000"/>
          <w:highlight w:val="yellow"/>
          <w:shd w:val="clear" w:color="auto" w:fill="FFFFFF"/>
        </w:rPr>
        <w:t>Currently, Di</w:t>
      </w:r>
      <w:r>
        <w:rPr>
          <w:rFonts w:ascii="Segoe UI" w:hAnsi="Segoe UI" w:cs="Segoe UI" w:hint="eastAsia"/>
          <w:color w:val="FF0000"/>
          <w:highlight w:val="yellow"/>
          <w:shd w:val="clear" w:color="auto" w:fill="FFFFFF"/>
        </w:rPr>
        <w:t>aHo</w:t>
      </w:r>
      <w:r>
        <w:rPr>
          <w:rFonts w:ascii="Segoe UI" w:eastAsia="Segoe UI" w:hAnsi="Segoe UI" w:cs="Segoe UI"/>
          <w:color w:val="FF0000"/>
          <w:highlight w:val="yellow"/>
          <w:shd w:val="clear" w:color="auto" w:fill="FFFFFF"/>
        </w:rPr>
        <w:t xml:space="preserve"> does not hold any patents or related intellectual property rights</w:t>
      </w:r>
      <w:r>
        <w:rPr>
          <w:rFonts w:ascii="Segoe UI" w:hAnsi="Segoe UI" w:cs="Segoe UI" w:hint="eastAsia"/>
          <w:color w:val="FF0000"/>
          <w:highlight w:val="yellow"/>
          <w:shd w:val="clear" w:color="auto" w:fill="FFFFFF"/>
        </w:rPr>
        <w:t>.</w:t>
      </w:r>
    </w:p>
    <w:p w14:paraId="5C5BE2F9" w14:textId="77777777" w:rsidR="00533B9C" w:rsidRDefault="00000000">
      <w:pPr>
        <w:numPr>
          <w:ilvl w:val="0"/>
          <w:numId w:val="3"/>
        </w:numPr>
      </w:pPr>
      <w:r>
        <w:rPr>
          <w:b/>
          <w:bCs/>
        </w:rPr>
        <w:t>Formules et procédés de fabrication</w:t>
      </w:r>
      <w:r>
        <w:t xml:space="preserve"> : les formulations chimiques, biologiques ou biochimiques, et les procédés de fabrication associés aux Produits, sous toutes leurs formes documentées (cahiers de laboratoire, fiches techniques, modes opératoires normalisés) ;</w:t>
      </w:r>
    </w:p>
    <w:p w14:paraId="2EA9D1BD" w14:textId="77777777" w:rsidR="00533B9C" w:rsidRDefault="00000000">
      <w:pPr>
        <w:numPr>
          <w:ilvl w:val="0"/>
          <w:numId w:val="3"/>
        </w:numPr>
      </w:pPr>
      <w:r>
        <w:rPr>
          <w:rFonts w:hint="eastAsia"/>
          <w:b/>
          <w:bCs/>
          <w:highlight w:val="yellow"/>
        </w:rPr>
        <w:t>配方及生产工艺</w:t>
      </w:r>
      <w:r>
        <w:rPr>
          <w:rFonts w:hint="eastAsia"/>
        </w:rPr>
        <w:t>：与产品相关的化学、生物或生化配方及生产工艺，包括其所有文件形式（实验室记录本、技术规格表、标准操作规程）；</w:t>
      </w:r>
    </w:p>
    <w:p w14:paraId="43E00BF0" w14:textId="77777777" w:rsidR="00533B9C" w:rsidRDefault="00000000">
      <w:pPr>
        <w:numPr>
          <w:ilvl w:val="0"/>
          <w:numId w:val="3"/>
        </w:numPr>
      </w:pPr>
      <w:r>
        <w:rPr>
          <w:b/>
          <w:bCs/>
        </w:rPr>
        <w:t>Savoir-faire</w:t>
      </w:r>
      <w:r>
        <w:t xml:space="preserve"> (</w:t>
      </w:r>
      <w:r>
        <w:rPr>
          <w:i/>
          <w:iCs/>
        </w:rPr>
        <w:t>know-how</w:t>
      </w:r>
      <w:r>
        <w:t>) : l’ensemble des connaissances techniques, pratiques et opérationnelles, qu’elles soient ou non documentées, nécessaires à la fabrication des kits vétérinaires de diagnostic allergie, y compris les paramètres de production, les recettes de formulation et les méthodes de contrôle qualité ;</w:t>
      </w:r>
    </w:p>
    <w:p w14:paraId="1AB9C90A" w14:textId="77777777" w:rsidR="00533B9C" w:rsidRDefault="00000000">
      <w:pPr>
        <w:numPr>
          <w:ilvl w:val="0"/>
          <w:numId w:val="3"/>
        </w:numPr>
      </w:pPr>
      <w:r>
        <w:rPr>
          <w:rFonts w:hint="eastAsia"/>
          <w:b/>
          <w:bCs/>
          <w:highlight w:val="yellow"/>
        </w:rPr>
        <w:t>专有技术</w:t>
      </w:r>
      <w:r>
        <w:rPr>
          <w:rFonts w:hint="eastAsia"/>
        </w:rPr>
        <w:t>（</w:t>
      </w:r>
      <w:r>
        <w:rPr>
          <w:rFonts w:hint="eastAsia"/>
        </w:rPr>
        <w:t>know-how</w:t>
      </w:r>
      <w:r>
        <w:rPr>
          <w:rFonts w:hint="eastAsia"/>
        </w:rPr>
        <w:t>）：制造兽用过敏诊断试剂盒所需的全部技术性、实践性及操作性知识，无论是否已存档，包括生产参数、配方规程及质量控制方法；</w:t>
      </w:r>
    </w:p>
    <w:p w14:paraId="0171C68F" w14:textId="77777777" w:rsidR="00533B9C" w:rsidRDefault="00000000">
      <w:pPr>
        <w:numPr>
          <w:ilvl w:val="0"/>
          <w:numId w:val="3"/>
        </w:numPr>
      </w:pPr>
      <w:r>
        <w:rPr>
          <w:b/>
          <w:bCs/>
        </w:rPr>
        <w:t>Données cliniques et études d’efficacité</w:t>
      </w:r>
      <w:r>
        <w:t xml:space="preserve"> : les données expérimentales, résultats d’études, dossiers de validation clinique et rapports analytiques disponibles au jour de l’apport ;</w:t>
      </w:r>
    </w:p>
    <w:p w14:paraId="062B1DA3" w14:textId="77777777" w:rsidR="00533B9C" w:rsidRDefault="00000000">
      <w:pPr>
        <w:numPr>
          <w:ilvl w:val="0"/>
          <w:numId w:val="3"/>
        </w:numPr>
      </w:pPr>
      <w:r>
        <w:rPr>
          <w:rFonts w:hint="eastAsia"/>
          <w:b/>
          <w:bCs/>
          <w:highlight w:val="yellow"/>
        </w:rPr>
        <w:t>临床数据及有效性研究</w:t>
      </w:r>
      <w:r>
        <w:rPr>
          <w:rFonts w:hint="eastAsia"/>
          <w:highlight w:val="yellow"/>
        </w:rPr>
        <w:t>：出</w:t>
      </w:r>
      <w:r>
        <w:rPr>
          <w:rFonts w:hint="eastAsia"/>
        </w:rPr>
        <w:t>资之日可获取的实验数据、研究结果、临床验证档案及分析报告；</w:t>
      </w:r>
    </w:p>
    <w:p w14:paraId="0536CC95" w14:textId="77777777" w:rsidR="00533B9C" w:rsidRDefault="00000000">
      <w:pPr>
        <w:numPr>
          <w:ilvl w:val="0"/>
          <w:numId w:val="3"/>
        </w:numPr>
      </w:pPr>
      <w:r>
        <w:rPr>
          <w:b/>
          <w:bCs/>
        </w:rPr>
        <w:t>Dossiers réglementaires</w:t>
      </w:r>
      <w:r>
        <w:t xml:space="preserve"> : l’ensemble des dossiers d’enregistrement et d’homologation existants, notamment les enregistrements obtenus en République Populaire de Chine ou dans d’autres juridictions, ainsi que toute documentation technique susceptible de faciliter l’obtention d’une Autorisation de Mise sur le Marché en Europe ;</w:t>
      </w:r>
    </w:p>
    <w:p w14:paraId="7F3ECCD8" w14:textId="77777777" w:rsidR="00533B9C" w:rsidRDefault="00000000">
      <w:pPr>
        <w:numPr>
          <w:ilvl w:val="0"/>
          <w:numId w:val="3"/>
        </w:numPr>
      </w:pPr>
      <w:r>
        <w:rPr>
          <w:rFonts w:hint="eastAsia"/>
          <w:b/>
          <w:bCs/>
          <w:highlight w:val="yellow"/>
        </w:rPr>
        <w:t>监管档案</w:t>
      </w:r>
      <w:r>
        <w:rPr>
          <w:rFonts w:hint="eastAsia"/>
          <w:highlight w:val="yellow"/>
        </w:rPr>
        <w:t>：现有</w:t>
      </w:r>
      <w:r>
        <w:rPr>
          <w:rFonts w:hint="eastAsia"/>
        </w:rPr>
        <w:t>的全部注册及批准档案，尤其是在中华人民共和国或其他司法管辖区取得的注册证，以及可能有助于在欧洲取得上市许可的全部技术文件；</w:t>
      </w:r>
    </w:p>
    <w:p w14:paraId="5858EDBA" w14:textId="77777777" w:rsidR="00533B9C" w:rsidRDefault="00000000">
      <w:pPr>
        <w:numPr>
          <w:ilvl w:val="0"/>
          <w:numId w:val="3"/>
        </w:numPr>
      </w:pPr>
      <w:r>
        <w:rPr>
          <w:b/>
          <w:bCs/>
        </w:rPr>
        <w:t>Marques et droits associés</w:t>
      </w:r>
      <w:r>
        <w:t xml:space="preserve"> : les droits sur les marques relatives aux Produits pour les marchés hors Europe [à préciser selon accord distinct avec DIAHO].</w:t>
      </w:r>
    </w:p>
    <w:p w14:paraId="2253342A" w14:textId="77777777" w:rsidR="00533B9C" w:rsidRDefault="00000000">
      <w:pPr>
        <w:numPr>
          <w:ilvl w:val="0"/>
          <w:numId w:val="3"/>
        </w:numPr>
      </w:pPr>
      <w:r>
        <w:rPr>
          <w:rFonts w:hint="eastAsia"/>
          <w:b/>
          <w:bCs/>
          <w:highlight w:val="yellow"/>
        </w:rPr>
        <w:lastRenderedPageBreak/>
        <w:t>商标及相关权利</w:t>
      </w:r>
      <w:r>
        <w:rPr>
          <w:rFonts w:hint="eastAsia"/>
        </w:rPr>
        <w:t>：</w:t>
      </w:r>
      <w:r>
        <w:rPr>
          <w:rFonts w:hint="eastAsia"/>
          <w:highlight w:val="yellow"/>
        </w:rPr>
        <w:t>产品在欧洲以外市场的商标权利</w:t>
      </w:r>
      <w:r>
        <w:rPr>
          <w:rFonts w:hint="eastAsia"/>
        </w:rPr>
        <w:t>【依与迪鸿另行达成的协议予以明确】。</w:t>
      </w:r>
    </w:p>
    <w:p w14:paraId="270464EE" w14:textId="77777777" w:rsidR="00533B9C" w:rsidRDefault="00000000">
      <w:pPr>
        <w:ind w:left="360"/>
        <w:rPr>
          <w:color w:val="FF0000"/>
          <w:highlight w:val="yellow"/>
        </w:rPr>
      </w:pPr>
      <w:r>
        <w:rPr>
          <w:rFonts w:hint="eastAsia"/>
          <w:color w:val="FF0000"/>
          <w:highlight w:val="yellow"/>
        </w:rPr>
        <w:t>A:</w:t>
      </w:r>
      <w:r>
        <w:rPr>
          <w:rFonts w:hint="eastAsia"/>
          <w:color w:val="FF0000"/>
          <w:highlight w:val="yellow"/>
        </w:rPr>
        <w:t>有待商讨确认。</w:t>
      </w:r>
      <w:r>
        <w:rPr>
          <w:rFonts w:ascii="Segoe UI" w:eastAsia="Segoe UI" w:hAnsi="Segoe UI" w:cs="Segoe UI"/>
          <w:color w:val="FF0000"/>
          <w:highlight w:val="yellow"/>
          <w:shd w:val="clear" w:color="auto" w:fill="FFFFFF"/>
        </w:rPr>
        <w:t>To be discussed and confirmed</w:t>
      </w:r>
      <w:r>
        <w:rPr>
          <w:rFonts w:ascii="Segoe UI" w:hAnsi="Segoe UI" w:cs="Segoe UI" w:hint="eastAsia"/>
          <w:color w:val="FF0000"/>
          <w:highlight w:val="yellow"/>
          <w:shd w:val="clear" w:color="auto" w:fill="FFFFFF"/>
        </w:rPr>
        <w:t>.</w:t>
      </w:r>
    </w:p>
    <w:p w14:paraId="6D050666" w14:textId="77777777" w:rsidR="00533B9C" w:rsidRDefault="00000000">
      <w:pPr>
        <w:pStyle w:val="FirstParagraph"/>
      </w:pPr>
      <w:r>
        <w:t>4.3. DIAHO garantit être titulaire ou licenciée avec pouvoir de céder des droits listés en Annexe A, et qu’ils sont libres de tout droit préférentiel, nantissement, sûreté ou engagement exclusif incompatible avec le présent apport.</w:t>
      </w:r>
    </w:p>
    <w:p w14:paraId="1AD4828C" w14:textId="77777777" w:rsidR="00533B9C" w:rsidRDefault="00000000">
      <w:pPr>
        <w:pStyle w:val="BodyText"/>
      </w:pPr>
      <w:r>
        <w:t xml:space="preserve">4.3. </w:t>
      </w:r>
      <w:r>
        <w:rPr>
          <w:rFonts w:hint="eastAsia"/>
        </w:rPr>
        <w:t>迪鸿保证其系附件</w:t>
      </w:r>
      <w:r>
        <w:rPr>
          <w:rFonts w:hint="eastAsia"/>
        </w:rPr>
        <w:t>A</w:t>
      </w:r>
      <w:r>
        <w:rPr>
          <w:rFonts w:hint="eastAsia"/>
        </w:rPr>
        <w:t>所列权利的所有权人或具有转让权的被许可人，且上述权利不存在任何与本次出资不相容的优先权、质押、担保或排他性承诺。</w:t>
      </w:r>
    </w:p>
    <w:p w14:paraId="47F9E753" w14:textId="77777777" w:rsidR="00533B9C" w:rsidRDefault="00000000">
      <w:pPr>
        <w:pStyle w:val="BodyText"/>
      </w:pPr>
      <w:r>
        <w:t xml:space="preserve">4.4. La </w:t>
      </w:r>
      <w:r>
        <w:rPr>
          <w:b/>
          <w:bCs/>
        </w:rPr>
        <w:t>valorisation définitive</w:t>
      </w:r>
      <w:r>
        <w:t xml:space="preserve"> des Actifs [[Pi]] est déterminée selon les modalités prévues à l’Article 6 du présent accord. Elle constitue la valeur d’émission des actions nouvelles attribuées à DIAHO.</w:t>
      </w:r>
    </w:p>
    <w:p w14:paraId="42960F76" w14:textId="77777777" w:rsidR="00533B9C" w:rsidRDefault="00000000">
      <w:pPr>
        <w:pStyle w:val="BodyText"/>
      </w:pPr>
      <w:r>
        <w:t xml:space="preserve">4.4. </w:t>
      </w:r>
      <w:r>
        <w:rPr>
          <w:rFonts w:hint="eastAsia"/>
        </w:rPr>
        <w:t>知识产权资产的</w:t>
      </w:r>
      <w:r>
        <w:rPr>
          <w:rFonts w:hint="eastAsia"/>
          <w:b/>
          <w:bCs/>
        </w:rPr>
        <w:t>最终估值</w:t>
      </w:r>
      <w:r>
        <w:rPr>
          <w:rFonts w:hint="eastAsia"/>
        </w:rPr>
        <w:t>按本协议第六条规定的方式确定，构成向迪鸿发行新股的发行价格。</w:t>
      </w:r>
    </w:p>
    <w:p w14:paraId="74D35A68" w14:textId="77777777" w:rsidR="00533B9C" w:rsidRDefault="00423071">
      <w:r>
        <w:rPr>
          <w:noProof/>
        </w:rPr>
      </w:r>
      <w:r>
        <w:pict w14:anchorId="0AFBD575">
          <v:rect id="Horizontal Line 7" o:spid="_x0000_s1037"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3025448A" w14:textId="77777777" w:rsidR="00533B9C" w:rsidRDefault="00000000">
      <w:pPr>
        <w:pStyle w:val="Heading2"/>
      </w:pPr>
      <w:bookmarkStart w:id="15" w:name="Xb5dc30901f6c9e19520ae89ec213f003bf9cbaf"/>
      <w:bookmarkEnd w:id="13"/>
      <w:bookmarkEnd w:id="14"/>
      <w:r>
        <w:t xml:space="preserve">TITRE III — CONDITIONS SUSPENSIVES | </w:t>
      </w:r>
      <w:r>
        <w:rPr>
          <w:rFonts w:hint="eastAsia"/>
        </w:rPr>
        <w:t>第三章</w:t>
      </w:r>
      <w:r>
        <w:t xml:space="preserve"> — </w:t>
      </w:r>
      <w:r>
        <w:rPr>
          <w:rFonts w:hint="eastAsia"/>
        </w:rPr>
        <w:t>停止条件</w:t>
      </w:r>
    </w:p>
    <w:p w14:paraId="6197EBB8" w14:textId="77777777" w:rsidR="00533B9C" w:rsidRDefault="00000000">
      <w:pPr>
        <w:pStyle w:val="Heading3"/>
      </w:pPr>
      <w:bookmarkStart w:id="16" w:name="Xe3d4ca019b0ead904b25b69272a5f5af2b2699a"/>
      <w:r>
        <w:t xml:space="preserve">Article 5 — Conditions suspensives | </w:t>
      </w:r>
      <w:r>
        <w:rPr>
          <w:rFonts w:hint="eastAsia"/>
        </w:rPr>
        <w:t>第五条</w:t>
      </w:r>
      <w:r>
        <w:t xml:space="preserve"> — </w:t>
      </w:r>
      <w:r>
        <w:rPr>
          <w:rFonts w:hint="eastAsia"/>
        </w:rPr>
        <w:t>停止条件</w:t>
      </w:r>
    </w:p>
    <w:p w14:paraId="20C32785" w14:textId="77777777" w:rsidR="00533B9C" w:rsidRDefault="00000000">
      <w:pPr>
        <w:pStyle w:val="FirstParagraph"/>
      </w:pPr>
      <w:r>
        <w:t xml:space="preserve">5.1. L’ensemble des engagements des Fondateurs au titre du présent accord est soumis à la réalisation </w:t>
      </w:r>
      <w:r>
        <w:rPr>
          <w:b/>
          <w:bCs/>
        </w:rPr>
        <w:t>cumulative</w:t>
      </w:r>
      <w:r>
        <w:t xml:space="preserve"> des conditions suspensives suivantes (ci-après les « Conditions Suspensives ») :</w:t>
      </w:r>
    </w:p>
    <w:p w14:paraId="79CFD46E" w14:textId="77777777" w:rsidR="00533B9C" w:rsidRDefault="00000000">
      <w:pPr>
        <w:pStyle w:val="BodyText"/>
      </w:pPr>
      <w:r>
        <w:t xml:space="preserve">5.1. </w:t>
      </w:r>
      <w:r>
        <w:rPr>
          <w:rFonts w:hint="eastAsia"/>
        </w:rPr>
        <w:t>创始人依本协议所负全部义务，须待以下停止条件</w:t>
      </w:r>
      <w:r>
        <w:rPr>
          <w:rFonts w:hint="eastAsia"/>
          <w:b/>
          <w:bCs/>
        </w:rPr>
        <w:t>同时成就</w:t>
      </w:r>
      <w:r>
        <w:rPr>
          <w:rFonts w:hint="eastAsia"/>
        </w:rPr>
        <w:t>后方生效（以下简称”停止条件”）：</w:t>
      </w:r>
    </w:p>
    <w:p w14:paraId="00EC1089" w14:textId="77777777" w:rsidR="00533B9C" w:rsidRDefault="00000000">
      <w:pPr>
        <w:pStyle w:val="BodyText"/>
      </w:pPr>
      <w:r>
        <w:rPr>
          <w:b/>
          <w:bCs/>
        </w:rPr>
        <w:t>Condition 1 — Exercice formel de l’option de production</w:t>
      </w:r>
      <w:r>
        <w:t xml:space="preserve"> VETALYX notifie à DIAHO, par écrit et par lettre recommandée avec accusé de réception (ou tout équivalent électronique avec valeur probante reconnue), son intention d’exercer l’option de production prévue à l’Article 6 du Contrat Cadre. Cette notification vaut exercice irrévocable de l’option.</w:t>
      </w:r>
    </w:p>
    <w:p w14:paraId="42E0D68F" w14:textId="77777777" w:rsidR="00533B9C" w:rsidRDefault="00000000">
      <w:pPr>
        <w:pStyle w:val="BodyText"/>
      </w:pPr>
      <w:r>
        <w:rPr>
          <w:rFonts w:hint="eastAsia"/>
          <w:b/>
          <w:bCs/>
        </w:rPr>
        <w:t>条件一</w:t>
      </w:r>
      <w:r>
        <w:rPr>
          <w:b/>
          <w:bCs/>
        </w:rPr>
        <w:t xml:space="preserve"> — </w:t>
      </w:r>
      <w:r>
        <w:rPr>
          <w:rFonts w:hint="eastAsia"/>
          <w:b/>
          <w:bCs/>
        </w:rPr>
        <w:t>正式行使生产选择权</w:t>
      </w:r>
      <w:r>
        <w:t xml:space="preserve"> </w:t>
      </w:r>
      <w:r>
        <w:rPr>
          <w:rFonts w:hint="eastAsia"/>
        </w:rPr>
        <w:t>VETALYX</w:t>
      </w:r>
      <w:r>
        <w:rPr>
          <w:rFonts w:hint="eastAsia"/>
        </w:rPr>
        <w:t>以书面形式并通过挂号信（附回执）或具有公认证明力的电子等效方式通知迪鸿，表明其行使框架协议第六条规定的生产选择权。该通知构成对选择权的不可撤销行使。</w:t>
      </w:r>
    </w:p>
    <w:p w14:paraId="077F9323" w14:textId="77777777" w:rsidR="00533B9C" w:rsidRDefault="00000000">
      <w:pPr>
        <w:pStyle w:val="BodyText"/>
      </w:pPr>
      <w:r>
        <w:rPr>
          <w:b/>
          <w:bCs/>
        </w:rPr>
        <w:t>Condition 2 — Accord unanime des Fondateurs sur la valorisation</w:t>
      </w:r>
      <w:r>
        <w:t xml:space="preserve"> Les quatre Fondateurs approuvent unanimement la valorisation des Actifs [[Pi]] telle que résultant du rapport du Commissaire aux apports / Réviseur d’entreprises visé à la Condition 3. À défaut d’unanimité dans le délai prévu à l’Article 8, la procédure de résolution des différends de l’Article 14 s’applique.</w:t>
      </w:r>
    </w:p>
    <w:p w14:paraId="28E416D7" w14:textId="77777777" w:rsidR="00533B9C" w:rsidRDefault="00000000">
      <w:pPr>
        <w:pStyle w:val="BodyText"/>
      </w:pPr>
      <w:r>
        <w:rPr>
          <w:rFonts w:hint="eastAsia"/>
          <w:b/>
          <w:bCs/>
        </w:rPr>
        <w:t>条件二</w:t>
      </w:r>
      <w:r>
        <w:rPr>
          <w:b/>
          <w:bCs/>
        </w:rPr>
        <w:t xml:space="preserve"> — </w:t>
      </w:r>
      <w:r>
        <w:rPr>
          <w:rFonts w:hint="eastAsia"/>
          <w:b/>
          <w:bCs/>
        </w:rPr>
        <w:t>创始人对估值的一致同意</w:t>
      </w:r>
      <w:r>
        <w:t xml:space="preserve"> </w:t>
      </w:r>
      <w:r>
        <w:rPr>
          <w:rFonts w:hint="eastAsia"/>
        </w:rPr>
        <w:t>四名创始人须一致同意条件三所述出资审计师</w:t>
      </w:r>
      <w:r>
        <w:rPr>
          <w:rFonts w:hint="eastAsia"/>
        </w:rPr>
        <w:t>/</w:t>
      </w:r>
      <w:r>
        <w:rPr>
          <w:rFonts w:hint="eastAsia"/>
        </w:rPr>
        <w:t>企业审计师报告所得出的知识产权资产估值。若在第八条规定期限内未能达成一致，则适用第十四条规定的争议解决程序。</w:t>
      </w:r>
    </w:p>
    <w:p w14:paraId="5A11CCCD" w14:textId="77777777" w:rsidR="00533B9C" w:rsidRDefault="00000000">
      <w:pPr>
        <w:pStyle w:val="BodyText"/>
      </w:pPr>
      <w:r>
        <w:rPr>
          <w:b/>
          <w:bCs/>
        </w:rPr>
        <w:lastRenderedPageBreak/>
        <w:t>Condition 3 — Rapport du Commissaire aux apports / Réviseur d’entreprises</w:t>
      </w:r>
      <w:r>
        <w:t xml:space="preserve"> Conformément à l’Article [R.1:8-4 et suivants du CSA / L. 225-147 du Code de commerce], un Commissaire aux apports (droit français) ou Réviseur d’entreprises (droit belge) indépendant, désigné d’un commun accord par les Parties ou, à défaut, par ordonnance du Président du Tribunal compétent sur requête de la partie la plus diligente, établit un rapport d’évaluation des Actifs [[Pi]] apportés par DIAHO. Ce rapport : - Décrit les Actifs [[Pi]] ; - En précise la méthode de valorisation ; - Certifie que la valeur retenue correspond au moins à la valeur nominale des actions nouvelles émises, majorée de la prime d’émission éventuelle ; - Est déposé au greffe du Tribunal compétent préalablement à la tenue de l’assemblée générale extraordinaire.</w:t>
      </w:r>
    </w:p>
    <w:p w14:paraId="00B320C1" w14:textId="77777777" w:rsidR="00533B9C" w:rsidRDefault="00000000">
      <w:pPr>
        <w:pStyle w:val="BodyText"/>
      </w:pPr>
      <w:r>
        <w:rPr>
          <w:rFonts w:hint="eastAsia"/>
          <w:b/>
          <w:bCs/>
        </w:rPr>
        <w:t>条件三</w:t>
      </w:r>
      <w:r>
        <w:rPr>
          <w:b/>
          <w:bCs/>
        </w:rPr>
        <w:t xml:space="preserve"> — </w:t>
      </w:r>
      <w:r>
        <w:rPr>
          <w:rFonts w:hint="eastAsia"/>
          <w:b/>
          <w:bCs/>
        </w:rPr>
        <w:t>出资审计师</w:t>
      </w:r>
      <w:r>
        <w:rPr>
          <w:rFonts w:hint="eastAsia"/>
          <w:b/>
          <w:bCs/>
        </w:rPr>
        <w:t>/</w:t>
      </w:r>
      <w:r>
        <w:rPr>
          <w:rFonts w:hint="eastAsia"/>
          <w:b/>
          <w:bCs/>
        </w:rPr>
        <w:t>企业审计师报告</w:t>
      </w:r>
      <w:r>
        <w:t xml:space="preserve"> </w:t>
      </w:r>
      <w:r>
        <w:rPr>
          <w:rFonts w:hint="eastAsia"/>
        </w:rPr>
        <w:t>依据</w:t>
      </w:r>
      <w:r>
        <w:rPr>
          <w:rFonts w:hint="eastAsia"/>
        </w:rPr>
        <w:t>[</w:t>
      </w:r>
      <w:r>
        <w:rPr>
          <w:rFonts w:hint="eastAsia"/>
        </w:rPr>
        <w:t>《公司与协会法典》第</w:t>
      </w:r>
      <w:r>
        <w:rPr>
          <w:rFonts w:hint="eastAsia"/>
        </w:rPr>
        <w:t>R.1:8-4</w:t>
      </w:r>
      <w:r>
        <w:rPr>
          <w:rFonts w:hint="eastAsia"/>
        </w:rPr>
        <w:t>条及后续条款</w:t>
      </w:r>
      <w:r>
        <w:rPr>
          <w:rFonts w:hint="eastAsia"/>
        </w:rPr>
        <w:t>/</w:t>
      </w:r>
      <w:r>
        <w:rPr>
          <w:rFonts w:hint="eastAsia"/>
        </w:rPr>
        <w:t>《商法典》第</w:t>
      </w:r>
      <w:r>
        <w:rPr>
          <w:rFonts w:hint="eastAsia"/>
        </w:rPr>
        <w:t>L.225-147</w:t>
      </w:r>
      <w:r>
        <w:rPr>
          <w:rFonts w:hint="eastAsia"/>
        </w:rPr>
        <w:t>条</w:t>
      </w:r>
      <w:r>
        <w:rPr>
          <w:rFonts w:hint="eastAsia"/>
        </w:rPr>
        <w:t>]</w:t>
      </w:r>
      <w:r>
        <w:rPr>
          <w:rFonts w:hint="eastAsia"/>
        </w:rPr>
        <w:t>，由各方协商一致指定或在无法达成一致时由有权法院院长依申请裁定指定的独立出资审计师（法国法）或企业审计师（比利时法）</w:t>
      </w:r>
      <w:r>
        <w:rPr>
          <w:rFonts w:hint="eastAsia"/>
          <w:highlight w:val="yellow"/>
        </w:rPr>
        <w:t>，就迪鸿出资的知识产权资产出具评估报告。该</w:t>
      </w:r>
      <w:r>
        <w:rPr>
          <w:rFonts w:hint="eastAsia"/>
        </w:rPr>
        <w:t>报告须：</w:t>
      </w:r>
      <w:r>
        <w:t xml:space="preserve"> - </w:t>
      </w:r>
      <w:r>
        <w:rPr>
          <w:rFonts w:hint="eastAsia"/>
        </w:rPr>
        <w:t>描述知识产权资产；</w:t>
      </w:r>
      <w:r>
        <w:t xml:space="preserve"> - </w:t>
      </w:r>
      <w:r>
        <w:rPr>
          <w:rFonts w:hint="eastAsia"/>
        </w:rPr>
        <w:t>说明估值方法；</w:t>
      </w:r>
      <w:r>
        <w:t xml:space="preserve"> - </w:t>
      </w:r>
      <w:r>
        <w:rPr>
          <w:rFonts w:hint="eastAsia"/>
        </w:rPr>
        <w:t>证明采用价值不低于新发行股票面值加上可能溢价；</w:t>
      </w:r>
      <w:r>
        <w:t xml:space="preserve"> - </w:t>
      </w:r>
      <w:r>
        <w:rPr>
          <w:rFonts w:hint="eastAsia"/>
        </w:rPr>
        <w:t>在召开临时股东大会前提交至有权法院书记处存档。</w:t>
      </w:r>
    </w:p>
    <w:p w14:paraId="3D304966" w14:textId="77777777" w:rsidR="00533B9C" w:rsidRDefault="00000000">
      <w:pPr>
        <w:pStyle w:val="BodyText"/>
      </w:pPr>
      <w:r>
        <w:t>5.2. Chacune des Parties s’engage à coopérer de bonne foi et à fournir sans délai toute information, documentation ou autorisation nécessaire à la réalisation des Conditions Suspensives.</w:t>
      </w:r>
    </w:p>
    <w:p w14:paraId="35158C3A" w14:textId="77777777" w:rsidR="00533B9C" w:rsidRDefault="00000000">
      <w:pPr>
        <w:pStyle w:val="BodyText"/>
      </w:pPr>
      <w:r>
        <w:t xml:space="preserve">5.2. </w:t>
      </w:r>
      <w:r>
        <w:rPr>
          <w:rFonts w:hint="eastAsia"/>
        </w:rPr>
        <w:t>各方承诺诚实信用地相互配合，并及时提供实现停止条件所必需的全部信息、文件或授权。</w:t>
      </w:r>
    </w:p>
    <w:p w14:paraId="43079858" w14:textId="77777777" w:rsidR="00533B9C" w:rsidRDefault="00000000">
      <w:pPr>
        <w:pStyle w:val="BodyText"/>
      </w:pPr>
      <w:r>
        <w:t>5.3. À défaut de réalisation de l’ensemble des Conditions Suspensives dans le délai défini à l’Article 8, le présent accord devient caduc, sauf prorogation convenue par écrit entre les Parties.</w:t>
      </w:r>
    </w:p>
    <w:p w14:paraId="16B1681C" w14:textId="77777777" w:rsidR="00533B9C" w:rsidRDefault="00000000">
      <w:pPr>
        <w:pStyle w:val="BodyText"/>
      </w:pPr>
      <w:r>
        <w:t xml:space="preserve">5.3. </w:t>
      </w:r>
      <w:r>
        <w:rPr>
          <w:rFonts w:hint="eastAsia"/>
        </w:rPr>
        <w:t>若全部停止条件未在第八条规定的期限内成就，本协议自动失效，但各方书面同意延期的除外。</w:t>
      </w:r>
    </w:p>
    <w:p w14:paraId="2EF3C840" w14:textId="77777777" w:rsidR="00533B9C" w:rsidRDefault="00423071">
      <w:r>
        <w:rPr>
          <w:noProof/>
        </w:rPr>
      </w:r>
      <w:r>
        <w:pict w14:anchorId="35C5F51A">
          <v:rect id="Horizontal Line 8" o:spid="_x0000_s103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6BB8D3A5" w14:textId="77777777" w:rsidR="00533B9C" w:rsidRDefault="00000000">
      <w:pPr>
        <w:pStyle w:val="Heading2"/>
      </w:pPr>
      <w:bookmarkStart w:id="17" w:name="X318b44026ef86153e1385a9d9854dd9602f083c"/>
      <w:bookmarkEnd w:id="15"/>
      <w:bookmarkEnd w:id="16"/>
      <w:r>
        <w:t xml:space="preserve">TITRE IV — OPÉRATIONS LÉGALES D’ENTRÉE AU CAPITAL | </w:t>
      </w:r>
      <w:r>
        <w:rPr>
          <w:rFonts w:hint="eastAsia"/>
        </w:rPr>
        <w:t>第四章</w:t>
      </w:r>
      <w:r>
        <w:t xml:space="preserve"> — </w:t>
      </w:r>
      <w:r>
        <w:rPr>
          <w:rFonts w:hint="eastAsia"/>
        </w:rPr>
        <w:t>入股的法律程序</w:t>
      </w:r>
    </w:p>
    <w:p w14:paraId="5F6092CF" w14:textId="77777777" w:rsidR="00533B9C" w:rsidRDefault="00000000">
      <w:pPr>
        <w:pStyle w:val="Heading3"/>
      </w:pPr>
      <w:bookmarkStart w:id="18" w:name="X936c4e9b3a80ca5bfccfdd01072c6050816371a"/>
      <w:r>
        <w:t xml:space="preserve">Article 6 — Évaluation des apports en nature | </w:t>
      </w:r>
      <w:r>
        <w:rPr>
          <w:rFonts w:hint="eastAsia"/>
        </w:rPr>
        <w:t>第六条</w:t>
      </w:r>
      <w:r>
        <w:t xml:space="preserve"> — </w:t>
      </w:r>
      <w:r>
        <w:rPr>
          <w:rFonts w:hint="eastAsia"/>
        </w:rPr>
        <w:t>实物出资的评估</w:t>
      </w:r>
    </w:p>
    <w:p w14:paraId="4F2383FD" w14:textId="77777777" w:rsidR="00533B9C" w:rsidRDefault="00000000">
      <w:pPr>
        <w:pStyle w:val="FirstParagraph"/>
      </w:pPr>
      <w:r>
        <w:t xml:space="preserve">6.1. </w:t>
      </w:r>
      <w:r>
        <w:rPr>
          <w:b/>
          <w:bCs/>
        </w:rPr>
        <w:t xml:space="preserve">Désignation du Commissaire aux apports / Réviseur d’entreprises | </w:t>
      </w:r>
      <w:r>
        <w:rPr>
          <w:rFonts w:hint="eastAsia"/>
          <w:b/>
          <w:bCs/>
        </w:rPr>
        <w:t>出资审计师</w:t>
      </w:r>
      <w:r>
        <w:rPr>
          <w:rFonts w:hint="eastAsia"/>
          <w:b/>
          <w:bCs/>
        </w:rPr>
        <w:t>/</w:t>
      </w:r>
      <w:r>
        <w:rPr>
          <w:rFonts w:hint="eastAsia"/>
          <w:b/>
          <w:bCs/>
        </w:rPr>
        <w:t>企业审计师的指定</w:t>
      </w:r>
    </w:p>
    <w:p w14:paraId="67063128" w14:textId="77777777" w:rsidR="00533B9C" w:rsidRDefault="00000000">
      <w:pPr>
        <w:pStyle w:val="BodyText"/>
      </w:pPr>
      <w:r>
        <w:t xml:space="preserve">Dans les </w:t>
      </w:r>
      <w:r>
        <w:rPr>
          <w:b/>
          <w:bCs/>
        </w:rPr>
        <w:t>trente (30) jours</w:t>
      </w:r>
      <w:r>
        <w:t xml:space="preserve"> suivant la notification d’exercice de l’option de production, les Parties désignent d’un commun accord le Commissaire aux apports (France) ou Réviseur d’entreprises agréé (Belgique) chargé d’évaluer les Actifs [[Pi]] (ci-après l’« Expert »).</w:t>
      </w:r>
    </w:p>
    <w:p w14:paraId="6FAD4489" w14:textId="77777777" w:rsidR="00533B9C" w:rsidRDefault="00000000">
      <w:pPr>
        <w:pStyle w:val="BodyText"/>
      </w:pPr>
      <w:r>
        <w:rPr>
          <w:rFonts w:hint="eastAsia"/>
        </w:rPr>
        <w:lastRenderedPageBreak/>
        <w:t>在生产选择权行使通知发出后</w:t>
      </w:r>
      <w:r>
        <w:rPr>
          <w:rFonts w:hint="eastAsia"/>
          <w:b/>
          <w:bCs/>
        </w:rPr>
        <w:t>三十（</w:t>
      </w:r>
      <w:r>
        <w:rPr>
          <w:rFonts w:hint="eastAsia"/>
          <w:b/>
          <w:bCs/>
        </w:rPr>
        <w:t>30</w:t>
      </w:r>
      <w:r>
        <w:rPr>
          <w:rFonts w:hint="eastAsia"/>
          <w:b/>
          <w:bCs/>
        </w:rPr>
        <w:t>）日内</w:t>
      </w:r>
      <w:r>
        <w:rPr>
          <w:rFonts w:hint="eastAsia"/>
        </w:rPr>
        <w:t>，各方协商一致指定负责评估知识产权资产的出资审计师（法国）或注册企业审计师（比利时）（以下简称”专家”）。</w:t>
      </w:r>
    </w:p>
    <w:p w14:paraId="16ED09C9" w14:textId="77777777" w:rsidR="00533B9C" w:rsidRDefault="00000000">
      <w:pPr>
        <w:pStyle w:val="BodyText"/>
      </w:pPr>
      <w:r>
        <w:t>À défaut d’accord dans ce délai, l’Expert est désigné par ordonnance du Président du Tribunal de Commerce de [VILLE — à préciser] (France) / du Tribunal de l’Entreprise de [VILLE — à préciser] (Belgique), statuant en référé sur requête conjointe ou de la partie la plus diligente.</w:t>
      </w:r>
    </w:p>
    <w:p w14:paraId="0A4BF4A5" w14:textId="77777777" w:rsidR="00533B9C" w:rsidRDefault="00000000">
      <w:pPr>
        <w:pStyle w:val="BodyText"/>
      </w:pPr>
      <w:r>
        <w:rPr>
          <w:rFonts w:hint="eastAsia"/>
        </w:rPr>
        <w:t>若在上述期限内未能达成一致，专家由</w:t>
      </w:r>
      <w:r>
        <w:rPr>
          <w:rFonts w:hint="eastAsia"/>
        </w:rPr>
        <w:t>[</w:t>
      </w:r>
      <w:r>
        <w:rPr>
          <w:rFonts w:hint="eastAsia"/>
        </w:rPr>
        <w:t>城市——待定</w:t>
      </w:r>
      <w:r>
        <w:rPr>
          <w:rFonts w:hint="eastAsia"/>
        </w:rPr>
        <w:t>]</w:t>
      </w:r>
      <w:r>
        <w:rPr>
          <w:rFonts w:hint="eastAsia"/>
        </w:rPr>
        <w:t>商事法院（法国）</w:t>
      </w:r>
      <w:r>
        <w:rPr>
          <w:rFonts w:hint="eastAsia"/>
        </w:rPr>
        <w:t>/[</w:t>
      </w:r>
      <w:r>
        <w:rPr>
          <w:rFonts w:hint="eastAsia"/>
        </w:rPr>
        <w:t>城市——待定</w:t>
      </w:r>
      <w:r>
        <w:rPr>
          <w:rFonts w:hint="eastAsia"/>
        </w:rPr>
        <w:t>]</w:t>
      </w:r>
      <w:r>
        <w:rPr>
          <w:rFonts w:hint="eastAsia"/>
        </w:rPr>
        <w:t>企业法院（比利时）院长通过简易程序，依双方联合申请或最积极一方单独申请裁定指定。</w:t>
      </w:r>
    </w:p>
    <w:p w14:paraId="2F467664" w14:textId="77777777" w:rsidR="00533B9C" w:rsidRDefault="00000000">
      <w:pPr>
        <w:pStyle w:val="BodyText"/>
      </w:pPr>
      <w:r>
        <w:t xml:space="preserve">6.2. </w:t>
      </w:r>
      <w:r>
        <w:rPr>
          <w:b/>
          <w:bCs/>
        </w:rPr>
        <w:t xml:space="preserve">Coopération de DIAHO | </w:t>
      </w:r>
      <w:r>
        <w:rPr>
          <w:rFonts w:hint="eastAsia"/>
          <w:b/>
          <w:bCs/>
        </w:rPr>
        <w:t>迪鸿的配合义务</w:t>
      </w:r>
    </w:p>
    <w:p w14:paraId="7C1D0051" w14:textId="77777777" w:rsidR="00533B9C" w:rsidRDefault="00000000">
      <w:pPr>
        <w:pStyle w:val="BodyText"/>
      </w:pPr>
      <w:r>
        <w:t xml:space="preserve">DIAHO s’engage à transmettre à l’Expert, dans les </w:t>
      </w:r>
      <w:r>
        <w:rPr>
          <w:b/>
          <w:bCs/>
        </w:rPr>
        <w:t>quinze (15) jours</w:t>
      </w:r>
      <w:r>
        <w:t xml:space="preserve"> suivant sa désignation, l’ensemble de la documentation relative aux Actifs [[Pi]], notamment : - Titres de propriété ou de licence ; - Registres de brevets ; - Études et données valorisant les actifs ; - Comptes certifiés de DIAHO incluant les actifs en question, si disponibles.</w:t>
      </w:r>
    </w:p>
    <w:p w14:paraId="1E9D1DCB" w14:textId="77777777" w:rsidR="00533B9C" w:rsidRDefault="00000000">
      <w:pPr>
        <w:pStyle w:val="BodyText"/>
      </w:pPr>
      <w:r>
        <w:rPr>
          <w:rFonts w:hint="eastAsia"/>
        </w:rPr>
        <w:t>迪鸿承诺在专家指定后</w:t>
      </w:r>
      <w:r>
        <w:rPr>
          <w:rFonts w:hint="eastAsia"/>
          <w:b/>
          <w:bCs/>
        </w:rPr>
        <w:t>十五（</w:t>
      </w:r>
      <w:r>
        <w:rPr>
          <w:rFonts w:hint="eastAsia"/>
          <w:b/>
          <w:bCs/>
        </w:rPr>
        <w:t>15</w:t>
      </w:r>
      <w:r>
        <w:rPr>
          <w:rFonts w:hint="eastAsia"/>
          <w:b/>
          <w:bCs/>
        </w:rPr>
        <w:t>）日内</w:t>
      </w:r>
      <w:r>
        <w:rPr>
          <w:rFonts w:hint="eastAsia"/>
        </w:rPr>
        <w:t>，向</w:t>
      </w:r>
      <w:r>
        <w:rPr>
          <w:rFonts w:hint="eastAsia"/>
          <w:highlight w:val="yellow"/>
        </w:rPr>
        <w:t>专家提交知识产权资产相关的全部文件，包括：</w:t>
      </w:r>
      <w:r>
        <w:rPr>
          <w:highlight w:val="yellow"/>
        </w:rPr>
        <w:t xml:space="preserve"> - </w:t>
      </w:r>
      <w:r>
        <w:rPr>
          <w:rFonts w:hint="eastAsia"/>
          <w:highlight w:val="yellow"/>
        </w:rPr>
        <w:t>所有权或许可权证明文件；</w:t>
      </w:r>
      <w:r>
        <w:rPr>
          <w:highlight w:val="yellow"/>
        </w:rPr>
        <w:t xml:space="preserve"> - </w:t>
      </w:r>
      <w:r>
        <w:rPr>
          <w:rFonts w:hint="eastAsia"/>
          <w:highlight w:val="yellow"/>
        </w:rPr>
        <w:t>专利登记册；</w:t>
      </w:r>
      <w:r>
        <w:rPr>
          <w:highlight w:val="yellow"/>
        </w:rPr>
        <w:t xml:space="preserve"> - </w:t>
      </w:r>
      <w:r>
        <w:rPr>
          <w:rFonts w:hint="eastAsia"/>
          <w:highlight w:val="yellow"/>
        </w:rPr>
        <w:t>资产价值研究及数据；</w:t>
      </w:r>
      <w:r>
        <w:rPr>
          <w:highlight w:val="yellow"/>
        </w:rPr>
        <w:t xml:space="preserve"> - </w:t>
      </w:r>
      <w:r>
        <w:rPr>
          <w:rFonts w:hint="eastAsia"/>
          <w:highlight w:val="yellow"/>
        </w:rPr>
        <w:t>含相关资产的迪鸿经审计财务报告（如有）。</w:t>
      </w:r>
    </w:p>
    <w:p w14:paraId="75350B0E" w14:textId="77777777" w:rsidR="00533B9C" w:rsidRDefault="00000000">
      <w:pPr>
        <w:pStyle w:val="BodyText"/>
      </w:pPr>
      <w:r>
        <w:t xml:space="preserve">6.3. </w:t>
      </w:r>
      <w:r>
        <w:rPr>
          <w:b/>
          <w:bCs/>
        </w:rPr>
        <w:t xml:space="preserve">Frais d’évaluation | </w:t>
      </w:r>
      <w:r>
        <w:rPr>
          <w:rFonts w:hint="eastAsia"/>
          <w:b/>
          <w:bCs/>
        </w:rPr>
        <w:t>评估费用</w:t>
      </w:r>
    </w:p>
    <w:p w14:paraId="0C8CA9F3" w14:textId="77777777" w:rsidR="00533B9C" w:rsidRDefault="00000000">
      <w:pPr>
        <w:pStyle w:val="BodyText"/>
      </w:pPr>
      <w:r>
        <w:t>Les frais et honoraires de l’Expert sont supportés par [VETALYX / à répartir — à préciser entre les Parties].</w:t>
      </w:r>
    </w:p>
    <w:p w14:paraId="3CFF168D" w14:textId="77777777" w:rsidR="00533B9C" w:rsidRDefault="00000000">
      <w:pPr>
        <w:pStyle w:val="BodyText"/>
      </w:pPr>
      <w:r>
        <w:rPr>
          <w:rFonts w:hint="eastAsia"/>
        </w:rPr>
        <w:t>专家的费用及酬金由</w:t>
      </w:r>
      <w:r>
        <w:rPr>
          <w:rFonts w:hint="eastAsia"/>
        </w:rPr>
        <w:t>[VETALYX</w:t>
      </w:r>
      <w:r>
        <w:rPr>
          <w:rFonts w:hint="eastAsia"/>
        </w:rPr>
        <w:t>承担</w:t>
      </w:r>
      <w:r>
        <w:rPr>
          <w:rFonts w:hint="eastAsia"/>
        </w:rPr>
        <w:t>/</w:t>
      </w:r>
      <w:r>
        <w:rPr>
          <w:rFonts w:hint="eastAsia"/>
        </w:rPr>
        <w:t>由各方分摊——待各方明确</w:t>
      </w:r>
      <w:r>
        <w:rPr>
          <w:rFonts w:hint="eastAsia"/>
        </w:rPr>
        <w:t>]</w:t>
      </w:r>
      <w:r>
        <w:rPr>
          <w:rFonts w:hint="eastAsia"/>
        </w:rPr>
        <w:t>。</w:t>
      </w:r>
    </w:p>
    <w:p w14:paraId="343949D3" w14:textId="77777777" w:rsidR="00533B9C" w:rsidRDefault="00000000">
      <w:pPr>
        <w:pStyle w:val="BodyText"/>
      </w:pPr>
      <w:r>
        <w:t xml:space="preserve">6.4. </w:t>
      </w:r>
      <w:r>
        <w:rPr>
          <w:b/>
          <w:bCs/>
        </w:rPr>
        <w:t xml:space="preserve">Valeur retenue | </w:t>
      </w:r>
      <w:r>
        <w:rPr>
          <w:rFonts w:hint="eastAsia"/>
          <w:b/>
          <w:bCs/>
        </w:rPr>
        <w:t>采纳价值</w:t>
      </w:r>
    </w:p>
    <w:p w14:paraId="0B608168" w14:textId="77777777" w:rsidR="00533B9C" w:rsidRDefault="00000000">
      <w:pPr>
        <w:pStyle w:val="BodyText"/>
      </w:pPr>
      <w:r>
        <w:t>La valeur des Actifs [[Pi]] retenue dans le rapport de l’Expert est, sauf constatation d’une surévaluation manifeste, la valeur servant de base à la fixation du nombre d’actions nouvelles à émettre et de la prime d’émission éventuelle. Si le rapport conclut à une valeur inférieure à celle proposée par DIAHO, les Parties négocient de bonne foi une adaptation de la contrepartie dans un délai de vingt (20) jours.</w:t>
      </w:r>
    </w:p>
    <w:p w14:paraId="10513A1E" w14:textId="77777777" w:rsidR="00533B9C" w:rsidRDefault="00000000">
      <w:pPr>
        <w:pStyle w:val="BodyText"/>
      </w:pPr>
      <w:r>
        <w:rPr>
          <w:rFonts w:hint="eastAsia"/>
        </w:rPr>
        <w:t>专家报告中采纳的知识产权资产价值，除非存在明显高估，将作为确定新股发行数量及可能溢价的基础。若报告结论低于迪鸿提出的价值，各方须在二十（</w:t>
      </w:r>
      <w:r>
        <w:rPr>
          <w:rFonts w:hint="eastAsia"/>
        </w:rPr>
        <w:t>20</w:t>
      </w:r>
      <w:r>
        <w:rPr>
          <w:rFonts w:hint="eastAsia"/>
        </w:rPr>
        <w:t>）日内诚实信用地谈判调整对价。</w:t>
      </w:r>
    </w:p>
    <w:p w14:paraId="172F4161" w14:textId="77777777" w:rsidR="00533B9C" w:rsidRDefault="00000000">
      <w:pPr>
        <w:pStyle w:val="Heading3"/>
      </w:pPr>
      <w:bookmarkStart w:id="19" w:name="Xb5e7545f7fdfeae8b3ffeb0391894b791946c8e"/>
      <w:bookmarkEnd w:id="18"/>
      <w:r>
        <w:t xml:space="preserve">Article 7 — Augmentation de capital réservée à DIAHO | </w:t>
      </w:r>
      <w:r>
        <w:rPr>
          <w:rFonts w:hint="eastAsia"/>
        </w:rPr>
        <w:t>第七条</w:t>
      </w:r>
      <w:r>
        <w:t xml:space="preserve"> — </w:t>
      </w:r>
      <w:r>
        <w:rPr>
          <w:rFonts w:hint="eastAsia"/>
        </w:rPr>
        <w:t>为迪鸿保留的增资</w:t>
      </w:r>
    </w:p>
    <w:p w14:paraId="0AEBEDB9" w14:textId="77777777" w:rsidR="00533B9C" w:rsidRDefault="00000000">
      <w:pPr>
        <w:pStyle w:val="FirstParagraph"/>
      </w:pPr>
      <w:r>
        <w:t xml:space="preserve">7.1. </w:t>
      </w:r>
      <w:r>
        <w:rPr>
          <w:b/>
          <w:bCs/>
        </w:rPr>
        <w:t xml:space="preserve">Décision de l’assemblée générale extraordinaire | </w:t>
      </w:r>
      <w:r>
        <w:rPr>
          <w:rFonts w:hint="eastAsia"/>
          <w:b/>
          <w:bCs/>
        </w:rPr>
        <w:t>临时股东大会决议</w:t>
      </w:r>
    </w:p>
    <w:p w14:paraId="180B90A0" w14:textId="77777777" w:rsidR="00533B9C" w:rsidRDefault="00000000">
      <w:pPr>
        <w:pStyle w:val="BodyText"/>
      </w:pPr>
      <w:r>
        <w:lastRenderedPageBreak/>
        <w:t xml:space="preserve">Une fois les Conditions Suspensives réunies et le rapport de l’Expert déposé, les Fondateurs convoquent une assemblée générale extraordinaire (AGE) de VETALYX, dans les </w:t>
      </w:r>
      <w:r>
        <w:rPr>
          <w:b/>
          <w:bCs/>
        </w:rPr>
        <w:t>quinze (15) jours</w:t>
      </w:r>
      <w:r>
        <w:t xml:space="preserve"> suivant le dépôt du rapport, aux fins d’adopter les résolutions suivantes :</w:t>
      </w:r>
    </w:p>
    <w:p w14:paraId="0EB8095E" w14:textId="77777777" w:rsidR="00533B9C" w:rsidRDefault="00000000">
      <w:pPr>
        <w:pStyle w:val="BodyText"/>
      </w:pPr>
      <w:r>
        <w:rPr>
          <w:rFonts w:hint="eastAsia"/>
        </w:rPr>
        <w:t>停止条件成就且专家报告存档后，创始人须在报告存档后</w:t>
      </w:r>
      <w:r>
        <w:rPr>
          <w:rFonts w:hint="eastAsia"/>
          <w:b/>
          <w:bCs/>
        </w:rPr>
        <w:t>十五（</w:t>
      </w:r>
      <w:r>
        <w:rPr>
          <w:rFonts w:hint="eastAsia"/>
          <w:b/>
          <w:bCs/>
        </w:rPr>
        <w:t>15</w:t>
      </w:r>
      <w:r>
        <w:rPr>
          <w:rFonts w:hint="eastAsia"/>
          <w:b/>
          <w:bCs/>
        </w:rPr>
        <w:t>）日内</w:t>
      </w:r>
      <w:r>
        <w:rPr>
          <w:rFonts w:hint="eastAsia"/>
        </w:rPr>
        <w:t>召集</w:t>
      </w:r>
      <w:r>
        <w:rPr>
          <w:rFonts w:hint="eastAsia"/>
        </w:rPr>
        <w:t>VETALYX</w:t>
      </w:r>
      <w:r>
        <w:rPr>
          <w:rFonts w:hint="eastAsia"/>
        </w:rPr>
        <w:t>临时股东大会，以审议通过以下决议：</w:t>
      </w:r>
    </w:p>
    <w:p w14:paraId="25477589" w14:textId="77777777" w:rsidR="00533B9C" w:rsidRDefault="00000000">
      <w:pPr>
        <w:pStyle w:val="Compact"/>
        <w:numPr>
          <w:ilvl w:val="0"/>
          <w:numId w:val="4"/>
        </w:numPr>
      </w:pPr>
      <w:r>
        <w:t xml:space="preserve">Suppression ou limitation du droit préférentiel de souscription des actionnaires existants, au profit exclusif de DIAHO ; </w:t>
      </w:r>
      <w:r>
        <w:rPr>
          <w:rFonts w:hint="eastAsia"/>
        </w:rPr>
        <w:t>取消或限制现有股东的优先认购权，专为迪鸿保留；</w:t>
      </w:r>
    </w:p>
    <w:p w14:paraId="659C116E" w14:textId="77777777" w:rsidR="00533B9C" w:rsidRDefault="00000000">
      <w:pPr>
        <w:pStyle w:val="Compact"/>
        <w:numPr>
          <w:ilvl w:val="0"/>
          <w:numId w:val="4"/>
        </w:numPr>
      </w:pPr>
      <w:r>
        <w:t xml:space="preserve">Augmentation de capital par émission d’actions nouvelles réservée à DIAHO, en contrepartie de l’apport en nature des Actifs [[Pi]] tels qu’évalués par l’Expert ; </w:t>
      </w:r>
      <w:r>
        <w:rPr>
          <w:rFonts w:hint="eastAsia"/>
        </w:rPr>
        <w:t>向迪鸿发行新股实施增资，以专家评估的知识产权资产实物出资为对价；</w:t>
      </w:r>
    </w:p>
    <w:p w14:paraId="4A5D58E5" w14:textId="77777777" w:rsidR="00533B9C" w:rsidRDefault="00000000">
      <w:pPr>
        <w:pStyle w:val="Compact"/>
        <w:numPr>
          <w:ilvl w:val="0"/>
          <w:numId w:val="4"/>
        </w:numPr>
      </w:pPr>
      <w:r>
        <w:t xml:space="preserve">Fixation du prix d’émission, incluant le cas échéant une prime d’émission ; </w:t>
      </w:r>
      <w:r>
        <w:rPr>
          <w:rFonts w:hint="eastAsia"/>
        </w:rPr>
        <w:t>确定发行价格，包括可能的发行溢价；</w:t>
      </w:r>
    </w:p>
    <w:p w14:paraId="454C1A50" w14:textId="77777777" w:rsidR="00533B9C" w:rsidRDefault="00000000">
      <w:pPr>
        <w:pStyle w:val="Compact"/>
        <w:numPr>
          <w:ilvl w:val="0"/>
          <w:numId w:val="4"/>
        </w:numPr>
      </w:pPr>
      <w:r>
        <w:t xml:space="preserve">Approbation du rapport du Commissaire aux apports / Réviseur d’entreprises ; </w:t>
      </w:r>
      <w:r>
        <w:rPr>
          <w:rFonts w:hint="eastAsia"/>
        </w:rPr>
        <w:t>批准出资审计师</w:t>
      </w:r>
      <w:r>
        <w:rPr>
          <w:rFonts w:hint="eastAsia"/>
        </w:rPr>
        <w:t>/</w:t>
      </w:r>
      <w:r>
        <w:rPr>
          <w:rFonts w:hint="eastAsia"/>
        </w:rPr>
        <w:t>企业审计师报告；</w:t>
      </w:r>
    </w:p>
    <w:p w14:paraId="139A4DA0" w14:textId="77777777" w:rsidR="00533B9C" w:rsidRDefault="00000000">
      <w:pPr>
        <w:pStyle w:val="Compact"/>
        <w:numPr>
          <w:ilvl w:val="0"/>
          <w:numId w:val="4"/>
        </w:numPr>
      </w:pPr>
      <w:r>
        <w:t xml:space="preserve">Modification corrélative des statuts de VETALYX. </w:t>
      </w:r>
      <w:r>
        <w:rPr>
          <w:rFonts w:hint="eastAsia"/>
        </w:rPr>
        <w:t>相应修改</w:t>
      </w:r>
      <w:r>
        <w:rPr>
          <w:rFonts w:hint="eastAsia"/>
        </w:rPr>
        <w:t>VETALYX</w:t>
      </w:r>
      <w:r>
        <w:rPr>
          <w:rFonts w:hint="eastAsia"/>
        </w:rPr>
        <w:t>公司章程。</w:t>
      </w:r>
    </w:p>
    <w:p w14:paraId="7E0EDF95" w14:textId="77777777" w:rsidR="00533B9C" w:rsidRDefault="00000000">
      <w:pPr>
        <w:pStyle w:val="FirstParagraph"/>
      </w:pPr>
      <w:r>
        <w:t xml:space="preserve">7.2. </w:t>
      </w:r>
      <w:r>
        <w:rPr>
          <w:b/>
          <w:bCs/>
        </w:rPr>
        <w:t xml:space="preserve">Libération de l’apport | </w:t>
      </w:r>
      <w:r>
        <w:rPr>
          <w:rFonts w:hint="eastAsia"/>
          <w:b/>
          <w:bCs/>
        </w:rPr>
        <w:t>出资缴纳</w:t>
      </w:r>
    </w:p>
    <w:p w14:paraId="1A4D8EE8" w14:textId="77777777" w:rsidR="00533B9C" w:rsidRDefault="00000000">
      <w:pPr>
        <w:pStyle w:val="BodyText"/>
      </w:pPr>
      <w:r>
        <w:t>L’apport en nature est réputé libéré par le transfert effectif, formalisé et documenté des Actifs [[Pi]] à VETALYX, intervenant au plus tard lors de la réalisation définitive de l’augmentation de capital. Ce transfert est constaté par un acte de cession / apport distinct signé entre DIAHO et VETALYX.</w:t>
      </w:r>
    </w:p>
    <w:p w14:paraId="21A0AF72" w14:textId="77777777" w:rsidR="00533B9C" w:rsidRDefault="00000000">
      <w:pPr>
        <w:pStyle w:val="BodyText"/>
      </w:pPr>
      <w:r>
        <w:rPr>
          <w:rFonts w:hint="eastAsia"/>
        </w:rPr>
        <w:t>实物出资于知识产权资产向</w:t>
      </w:r>
      <w:r>
        <w:rPr>
          <w:rFonts w:hint="eastAsia"/>
        </w:rPr>
        <w:t>VETALYX</w:t>
      </w:r>
      <w:r>
        <w:rPr>
          <w:rFonts w:hint="eastAsia"/>
        </w:rPr>
        <w:t>实际、正式且有据可查的转让完成时视为已缴纳，该转让最迟应于增资最终完成时完成。该转让由迪鸿与</w:t>
      </w:r>
      <w:r>
        <w:rPr>
          <w:rFonts w:hint="eastAsia"/>
        </w:rPr>
        <w:t>VETALYX</w:t>
      </w:r>
      <w:r>
        <w:rPr>
          <w:rFonts w:hint="eastAsia"/>
        </w:rPr>
        <w:t>之间签署的独立转让</w:t>
      </w:r>
      <w:r>
        <w:rPr>
          <w:rFonts w:hint="eastAsia"/>
        </w:rPr>
        <w:t>/</w:t>
      </w:r>
      <w:r>
        <w:rPr>
          <w:rFonts w:hint="eastAsia"/>
        </w:rPr>
        <w:t>出资文件予以确认。</w:t>
      </w:r>
    </w:p>
    <w:p w14:paraId="521292B8" w14:textId="77777777" w:rsidR="00533B9C" w:rsidRDefault="00000000">
      <w:pPr>
        <w:pStyle w:val="BodyText"/>
      </w:pPr>
      <w:r>
        <w:t xml:space="preserve">7.3. </w:t>
      </w:r>
      <w:r>
        <w:rPr>
          <w:b/>
          <w:bCs/>
        </w:rPr>
        <w:t xml:space="preserve">Registre des actionnaires et titres | </w:t>
      </w:r>
      <w:r>
        <w:rPr>
          <w:rFonts w:hint="eastAsia"/>
          <w:b/>
          <w:bCs/>
        </w:rPr>
        <w:t>股东名册与股份证书</w:t>
      </w:r>
    </w:p>
    <w:p w14:paraId="2C77645C" w14:textId="77777777" w:rsidR="00533B9C" w:rsidRDefault="00000000">
      <w:pPr>
        <w:pStyle w:val="BodyText"/>
      </w:pPr>
      <w:r>
        <w:t>Dès réalisation définitive de l’augmentation de capital, VETALYX procède à l’inscription de DIAHO au registre des actionnaires pour la quote-part lui revenant et lui remet les titres (actions / parts sociales) correspondants.</w:t>
      </w:r>
    </w:p>
    <w:p w14:paraId="7B51DCE2" w14:textId="77777777" w:rsidR="00533B9C" w:rsidRDefault="00000000">
      <w:pPr>
        <w:pStyle w:val="BodyText"/>
      </w:pPr>
      <w:r>
        <w:rPr>
          <w:rFonts w:hint="eastAsia"/>
        </w:rPr>
        <w:t>增资最终完成后，</w:t>
      </w:r>
      <w:r>
        <w:rPr>
          <w:rFonts w:hint="eastAsia"/>
        </w:rPr>
        <w:t>VETALYX</w:t>
      </w:r>
      <w:r>
        <w:rPr>
          <w:rFonts w:hint="eastAsia"/>
        </w:rPr>
        <w:t>应立即将迪鸿按其持股比例登记于股东名册，并向其交付相应的股份证书（股票</w:t>
      </w:r>
      <w:r>
        <w:rPr>
          <w:rFonts w:hint="eastAsia"/>
        </w:rPr>
        <w:t>/</w:t>
      </w:r>
      <w:r>
        <w:rPr>
          <w:rFonts w:hint="eastAsia"/>
        </w:rPr>
        <w:t>社会份额）。</w:t>
      </w:r>
    </w:p>
    <w:p w14:paraId="0E93C48A" w14:textId="77777777" w:rsidR="00533B9C" w:rsidRDefault="00000000">
      <w:pPr>
        <w:pStyle w:val="Heading3"/>
      </w:pPr>
      <w:bookmarkStart w:id="20" w:name="X3bcc4af7573f8924c074f4e6f296857db6930ad"/>
      <w:bookmarkEnd w:id="19"/>
      <w:r>
        <w:t xml:space="preserve">Article 8 — Modification des statuts | </w:t>
      </w:r>
      <w:r>
        <w:rPr>
          <w:rFonts w:hint="eastAsia"/>
        </w:rPr>
        <w:t>第八条</w:t>
      </w:r>
      <w:r>
        <w:t xml:space="preserve"> — </w:t>
      </w:r>
      <w:r>
        <w:rPr>
          <w:rFonts w:hint="eastAsia"/>
        </w:rPr>
        <w:t>章程修改</w:t>
      </w:r>
    </w:p>
    <w:p w14:paraId="343540B9" w14:textId="77777777" w:rsidR="00533B9C" w:rsidRDefault="00000000">
      <w:pPr>
        <w:pStyle w:val="FirstParagraph"/>
      </w:pPr>
      <w:r>
        <w:t>Les statuts de VETALYX sont modifiés pour refléter : - Le nouveau capital social et sa répartition post-augmentation ; - L’entrée de DIAHO en qualité d’actionnaire ; - Toute adaptation des dispositions statutaires liées à la gouvernance, conformément aux droits de DIAHO définis à l’Article 10 du présent accord et au Pacte d’Actionnaires.</w:t>
      </w:r>
    </w:p>
    <w:p w14:paraId="55E78DF7" w14:textId="77777777" w:rsidR="00533B9C" w:rsidRDefault="00000000">
      <w:pPr>
        <w:pStyle w:val="BodyText"/>
      </w:pPr>
      <w:r>
        <w:rPr>
          <w:rFonts w:hint="eastAsia"/>
        </w:rPr>
        <w:lastRenderedPageBreak/>
        <w:t>VETALYX</w:t>
      </w:r>
      <w:r>
        <w:rPr>
          <w:rFonts w:hint="eastAsia"/>
        </w:rPr>
        <w:t>章程须相应修改以反映：</w:t>
      </w:r>
      <w:r>
        <w:t xml:space="preserve"> - </w:t>
      </w:r>
      <w:r>
        <w:rPr>
          <w:rFonts w:hint="eastAsia"/>
        </w:rPr>
        <w:t>增资后新注册资本及其分配情况；</w:t>
      </w:r>
      <w:r>
        <w:t xml:space="preserve"> - </w:t>
      </w:r>
      <w:r>
        <w:rPr>
          <w:rFonts w:hint="eastAsia"/>
        </w:rPr>
        <w:t>迪鸿以股东身份入股的事实；</w:t>
      </w:r>
      <w:r>
        <w:t xml:space="preserve"> - </w:t>
      </w:r>
      <w:r>
        <w:rPr>
          <w:rFonts w:hint="eastAsia"/>
        </w:rPr>
        <w:t>依本协议第十条及股东协议规定的迪鸿权利，对公司治理相关章程条款所作的必要调整。</w:t>
      </w:r>
    </w:p>
    <w:p w14:paraId="2F3E2089" w14:textId="77777777" w:rsidR="00533B9C" w:rsidRDefault="00000000">
      <w:pPr>
        <w:pStyle w:val="Heading3"/>
      </w:pPr>
      <w:bookmarkStart w:id="21" w:name="X8f92c796cc9609c9a884752fe88de53e20034db"/>
      <w:bookmarkEnd w:id="20"/>
      <w:r>
        <w:t xml:space="preserve">Article 9 — Formalités de publicité et de dépôt | </w:t>
      </w:r>
      <w:r>
        <w:rPr>
          <w:rFonts w:hint="eastAsia"/>
        </w:rPr>
        <w:t>第九条</w:t>
      </w:r>
      <w:r>
        <w:t xml:space="preserve"> — </w:t>
      </w:r>
      <w:r>
        <w:rPr>
          <w:rFonts w:hint="eastAsia"/>
        </w:rPr>
        <w:t>公示及存档手续</w:t>
      </w:r>
    </w:p>
    <w:p w14:paraId="7D72FF82" w14:textId="77777777" w:rsidR="00533B9C" w:rsidRDefault="00000000">
      <w:pPr>
        <w:pStyle w:val="FirstParagraph"/>
      </w:pPr>
      <w:r>
        <w:t>Les Fondateurs s’engagent à accomplir, dans les délais légaux, l’ensemble des formalités requises, notamment :</w:t>
      </w:r>
    </w:p>
    <w:p w14:paraId="3FC112F7" w14:textId="77777777" w:rsidR="00533B9C" w:rsidRDefault="00000000">
      <w:pPr>
        <w:pStyle w:val="BodyText"/>
      </w:pPr>
      <w:r>
        <w:rPr>
          <w:rFonts w:hint="eastAsia"/>
        </w:rPr>
        <w:t>创始人承诺在法定期限内完成全部必要手续，具体包括：</w:t>
      </w:r>
    </w:p>
    <w:p w14:paraId="729BAD63" w14:textId="77777777" w:rsidR="00533B9C" w:rsidRDefault="00000000">
      <w:pPr>
        <w:pStyle w:val="BodyText"/>
      </w:pPr>
      <w:r>
        <w:rPr>
          <w:b/>
          <w:bCs/>
        </w:rPr>
        <w:t>En droit belge (CSA/WVV) :</w:t>
      </w:r>
      <w:r>
        <w:t xml:space="preserve"> </w:t>
      </w:r>
      <w:r>
        <w:rPr>
          <w:rFonts w:hint="eastAsia"/>
          <w:b/>
          <w:bCs/>
        </w:rPr>
        <w:t>依比利时法律（</w:t>
      </w:r>
      <w:r>
        <w:rPr>
          <w:rFonts w:hint="eastAsia"/>
          <w:b/>
          <w:bCs/>
        </w:rPr>
        <w:t>CSA/WVV</w:t>
      </w:r>
      <w:r>
        <w:rPr>
          <w:rFonts w:hint="eastAsia"/>
          <w:b/>
          <w:bCs/>
        </w:rPr>
        <w:t>）：</w:t>
      </w:r>
      <w:r>
        <w:t xml:space="preserve"> - Dépôt au greffe du Tribunal de l’Entreprise du procès-verbal d’AGE constatant l’augmentation de capital et de l’acte modificatif des statuts ; </w:t>
      </w:r>
      <w:r>
        <w:rPr>
          <w:rFonts w:hint="eastAsia"/>
        </w:rPr>
        <w:t>将确认增资的临时股东大会记录及章程修改文件提交企业法院书记处存档；</w:t>
      </w:r>
      <w:r>
        <w:t xml:space="preserve"> - Publication aux Annexes du Moniteur Belge ; </w:t>
      </w:r>
      <w:r>
        <w:rPr>
          <w:rFonts w:hint="eastAsia"/>
        </w:rPr>
        <w:t>在《比利时官方公报》附录刊载公告；</w:t>
      </w:r>
      <w:r>
        <w:t xml:space="preserve"> - Mise à jour de la Banque-Carrefour des Entreprises (BCE) ; </w:t>
      </w:r>
      <w:r>
        <w:rPr>
          <w:rFonts w:hint="eastAsia"/>
        </w:rPr>
        <w:t>更新比利时企业交叉数据库（</w:t>
      </w:r>
      <w:r>
        <w:rPr>
          <w:rFonts w:hint="eastAsia"/>
        </w:rPr>
        <w:t>BCE</w:t>
      </w:r>
      <w:r>
        <w:rPr>
          <w:rFonts w:hint="eastAsia"/>
        </w:rPr>
        <w:t>）信息；</w:t>
      </w:r>
      <w:r>
        <w:t xml:space="preserve"> - Dépôt du rapport du Réviseur d’entreprises conformément à l’Article 7:179 du CSA. </w:t>
      </w:r>
      <w:r>
        <w:rPr>
          <w:rFonts w:hint="eastAsia"/>
        </w:rPr>
        <w:t>依《公司与协会法典》第</w:t>
      </w:r>
      <w:r>
        <w:rPr>
          <w:rFonts w:hint="eastAsia"/>
        </w:rPr>
        <w:t>7:179</w:t>
      </w:r>
      <w:r>
        <w:rPr>
          <w:rFonts w:hint="eastAsia"/>
        </w:rPr>
        <w:t>条规定存档企业审计师报告。</w:t>
      </w:r>
    </w:p>
    <w:p w14:paraId="0F23CC51" w14:textId="77777777" w:rsidR="00533B9C" w:rsidRDefault="00000000">
      <w:pPr>
        <w:pStyle w:val="BodyText"/>
      </w:pPr>
      <w:r>
        <w:rPr>
          <w:b/>
          <w:bCs/>
        </w:rPr>
        <w:t>En droit français (Code de commerce) :</w:t>
      </w:r>
      <w:r>
        <w:t xml:space="preserve"> </w:t>
      </w:r>
      <w:r>
        <w:rPr>
          <w:rFonts w:hint="eastAsia"/>
          <w:b/>
          <w:bCs/>
        </w:rPr>
        <w:t>依法国法律（《商法典》）：</w:t>
      </w:r>
      <w:r>
        <w:t xml:space="preserve"> - Dépôt au greffe du Tribunal de Commerce du procès-verbal d’AGE et de l’acte modificatif des statuts ; </w:t>
      </w:r>
      <w:r>
        <w:rPr>
          <w:rFonts w:hint="eastAsia"/>
        </w:rPr>
        <w:t>将临时股东大会记录及章程修改文件提交商事法院书记处存档；</w:t>
      </w:r>
      <w:r>
        <w:t xml:space="preserve"> - Publication au Journal d’Annonces Légales (JAL) ; </w:t>
      </w:r>
      <w:r>
        <w:rPr>
          <w:rFonts w:hint="eastAsia"/>
        </w:rPr>
        <w:t>在法定公告杂志（</w:t>
      </w:r>
      <w:r>
        <w:rPr>
          <w:rFonts w:hint="eastAsia"/>
        </w:rPr>
        <w:t>JAL</w:t>
      </w:r>
      <w:r>
        <w:rPr>
          <w:rFonts w:hint="eastAsia"/>
        </w:rPr>
        <w:t>）刊载公告；</w:t>
      </w:r>
      <w:r>
        <w:t xml:space="preserve"> - Inscription modificative au Registre du Commerce et des Sociétés (RCS) ; </w:t>
      </w:r>
      <w:r>
        <w:rPr>
          <w:rFonts w:hint="eastAsia"/>
        </w:rPr>
        <w:t>在商业及公司注册簿（</w:t>
      </w:r>
      <w:r>
        <w:rPr>
          <w:rFonts w:hint="eastAsia"/>
        </w:rPr>
        <w:t>RCS</w:t>
      </w:r>
      <w:r>
        <w:rPr>
          <w:rFonts w:hint="eastAsia"/>
        </w:rPr>
        <w:t>）办理变更登记；</w:t>
      </w:r>
      <w:r>
        <w:t xml:space="preserve"> - Dépôt du rapport du Commissaire aux apports conformément à l’Article L. 225-147 du Code de commerce. </w:t>
      </w:r>
      <w:r>
        <w:rPr>
          <w:rFonts w:hint="eastAsia"/>
        </w:rPr>
        <w:t>依《商法典》第</w:t>
      </w:r>
      <w:r>
        <w:rPr>
          <w:rFonts w:hint="eastAsia"/>
        </w:rPr>
        <w:t>L.225-147</w:t>
      </w:r>
      <w:r>
        <w:rPr>
          <w:rFonts w:hint="eastAsia"/>
        </w:rPr>
        <w:t>条规定存档出资审计师报告。</w:t>
      </w:r>
    </w:p>
    <w:p w14:paraId="6D01676B" w14:textId="77777777" w:rsidR="00533B9C" w:rsidRDefault="00423071">
      <w:r>
        <w:rPr>
          <w:noProof/>
        </w:rPr>
      </w:r>
      <w:r>
        <w:pict w14:anchorId="776DB089">
          <v:rect id="Horizontal Line 9" o:spid="_x0000_s1035"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37383487" w14:textId="77777777" w:rsidR="00533B9C" w:rsidRDefault="00000000">
      <w:pPr>
        <w:pStyle w:val="Heading2"/>
      </w:pPr>
      <w:bookmarkStart w:id="22" w:name="titre-v-délais-dexécution-第五章-执行期限"/>
      <w:bookmarkEnd w:id="17"/>
      <w:bookmarkEnd w:id="21"/>
      <w:r>
        <w:t xml:space="preserve">TITRE V — DÉLAIS D’EXÉCUTION | </w:t>
      </w:r>
      <w:r>
        <w:rPr>
          <w:rFonts w:hint="eastAsia"/>
        </w:rPr>
        <w:t>第五章</w:t>
      </w:r>
      <w:r>
        <w:t xml:space="preserve"> — </w:t>
      </w:r>
      <w:r>
        <w:rPr>
          <w:rFonts w:hint="eastAsia"/>
        </w:rPr>
        <w:t>执行期限</w:t>
      </w:r>
    </w:p>
    <w:p w14:paraId="56A8C52D" w14:textId="77777777" w:rsidR="00533B9C" w:rsidRDefault="00000000">
      <w:pPr>
        <w:pStyle w:val="Heading3"/>
      </w:pPr>
      <w:bookmarkStart w:id="23" w:name="X70f756ed9a4ccb54526a536c8eae5e2b6637c54"/>
      <w:r>
        <w:t xml:space="preserve">Article 10 — Calendrier d’exécution | </w:t>
      </w:r>
      <w:r>
        <w:rPr>
          <w:rFonts w:hint="eastAsia"/>
        </w:rPr>
        <w:t>第十条</w:t>
      </w:r>
      <w:r>
        <w:t xml:space="preserve"> — </w:t>
      </w:r>
      <w:r>
        <w:rPr>
          <w:rFonts w:hint="eastAsia"/>
        </w:rPr>
        <w:t>执行时间表</w:t>
      </w:r>
    </w:p>
    <w:p w14:paraId="3FFF7001" w14:textId="77777777" w:rsidR="00533B9C" w:rsidRDefault="00000000">
      <w:pPr>
        <w:pStyle w:val="FirstParagraph"/>
      </w:pPr>
      <w:r>
        <w:t>À compter de la date de notification de l’exercice de l’option de production par VETALYX (ci-après le « Jour J ») :</w:t>
      </w:r>
    </w:p>
    <w:p w14:paraId="23A136FA" w14:textId="77777777" w:rsidR="00533B9C" w:rsidRDefault="00000000">
      <w:pPr>
        <w:pStyle w:val="BodyText"/>
      </w:pPr>
      <w:r>
        <w:rPr>
          <w:rFonts w:hint="eastAsia"/>
        </w:rPr>
        <w:t>自</w:t>
      </w:r>
      <w:r>
        <w:rPr>
          <w:rFonts w:hint="eastAsia"/>
        </w:rPr>
        <w:t>VETALYX</w:t>
      </w:r>
      <w:r>
        <w:rPr>
          <w:rFonts w:hint="eastAsia"/>
        </w:rPr>
        <w:t>发出生产选择权行使通知之日起（以下简称”第</w:t>
      </w:r>
      <w:r>
        <w:rPr>
          <w:rFonts w:hint="eastAsia"/>
        </w:rPr>
        <w:t>J</w:t>
      </w:r>
      <w:r>
        <w:rPr>
          <w:rFonts w:hint="eastAsia"/>
        </w:rPr>
        <w:t>日”）：</w:t>
      </w:r>
    </w:p>
    <w:tbl>
      <w:tblPr>
        <w:tblStyle w:val="Table"/>
        <w:tblW w:w="5000" w:type="pct"/>
        <w:tblInd w:w="0" w:type="dxa"/>
        <w:tblLayout w:type="fixed"/>
        <w:tblLook w:val="04A0" w:firstRow="1" w:lastRow="0" w:firstColumn="1" w:lastColumn="0" w:noHBand="0" w:noVBand="1"/>
      </w:tblPr>
      <w:tblGrid>
        <w:gridCol w:w="2077"/>
        <w:gridCol w:w="2077"/>
        <w:gridCol w:w="2076"/>
        <w:gridCol w:w="2076"/>
      </w:tblGrid>
      <w:tr w:rsidR="00533B9C" w14:paraId="7B5224A6" w14:textId="77777777" w:rsidTr="00533B9C">
        <w:trPr>
          <w:cnfStyle w:val="100000000000" w:firstRow="1" w:lastRow="0" w:firstColumn="0" w:lastColumn="0" w:oddVBand="0" w:evenVBand="0" w:oddHBand="0" w:evenHBand="0" w:firstRowFirstColumn="0" w:firstRowLastColumn="0" w:lastRowFirstColumn="0" w:lastRowLastColumn="0"/>
          <w:tblHeader/>
        </w:trPr>
        <w:tc>
          <w:tcPr>
            <w:tcW w:w="2131" w:type="dxa"/>
          </w:tcPr>
          <w:p w14:paraId="26DE09CA" w14:textId="77777777" w:rsidR="00533B9C" w:rsidRDefault="00000000">
            <w:pPr>
              <w:pStyle w:val="Compact"/>
            </w:pPr>
            <w:r>
              <w:t>Étape</w:t>
            </w:r>
          </w:p>
        </w:tc>
        <w:tc>
          <w:tcPr>
            <w:tcW w:w="2131" w:type="dxa"/>
          </w:tcPr>
          <w:p w14:paraId="7AC6D04F" w14:textId="77777777" w:rsidR="00533B9C" w:rsidRDefault="00000000">
            <w:pPr>
              <w:pStyle w:val="Compact"/>
            </w:pPr>
            <w:r>
              <w:t>Délai maximal</w:t>
            </w:r>
          </w:p>
        </w:tc>
        <w:tc>
          <w:tcPr>
            <w:tcW w:w="2131" w:type="dxa"/>
          </w:tcPr>
          <w:p w14:paraId="44D2E0E4" w14:textId="77777777" w:rsidR="00533B9C" w:rsidRDefault="00000000">
            <w:pPr>
              <w:pStyle w:val="Compact"/>
            </w:pPr>
            <w:r>
              <w:rPr>
                <w:rFonts w:hint="eastAsia"/>
              </w:rPr>
              <w:t>步骤</w:t>
            </w:r>
          </w:p>
        </w:tc>
        <w:tc>
          <w:tcPr>
            <w:tcW w:w="2131" w:type="dxa"/>
          </w:tcPr>
          <w:p w14:paraId="697DBA07" w14:textId="77777777" w:rsidR="00533B9C" w:rsidRDefault="00000000">
            <w:pPr>
              <w:pStyle w:val="Compact"/>
            </w:pPr>
            <w:r>
              <w:rPr>
                <w:rFonts w:hint="eastAsia"/>
              </w:rPr>
              <w:t>最长期限</w:t>
            </w:r>
          </w:p>
        </w:tc>
      </w:tr>
      <w:tr w:rsidR="00533B9C" w14:paraId="545C011A" w14:textId="77777777" w:rsidTr="00533B9C">
        <w:tc>
          <w:tcPr>
            <w:tcW w:w="2131" w:type="dxa"/>
          </w:tcPr>
          <w:p w14:paraId="38326F72" w14:textId="77777777" w:rsidR="00533B9C" w:rsidRDefault="00000000">
            <w:pPr>
              <w:pStyle w:val="Compact"/>
            </w:pPr>
            <w:r>
              <w:t>Désignation d’un commun accord de l’Expert</w:t>
            </w:r>
          </w:p>
        </w:tc>
        <w:tc>
          <w:tcPr>
            <w:tcW w:w="2131" w:type="dxa"/>
          </w:tcPr>
          <w:p w14:paraId="01EA2EED" w14:textId="77777777" w:rsidR="00533B9C" w:rsidRDefault="00000000">
            <w:pPr>
              <w:pStyle w:val="Compact"/>
            </w:pPr>
            <w:r>
              <w:t>J + 30 jours</w:t>
            </w:r>
          </w:p>
        </w:tc>
        <w:tc>
          <w:tcPr>
            <w:tcW w:w="2131" w:type="dxa"/>
          </w:tcPr>
          <w:p w14:paraId="28981A08" w14:textId="77777777" w:rsidR="00533B9C" w:rsidRDefault="00000000">
            <w:pPr>
              <w:pStyle w:val="Compact"/>
            </w:pPr>
            <w:r>
              <w:rPr>
                <w:rFonts w:hint="eastAsia"/>
              </w:rPr>
              <w:t>协商一致指定专家</w:t>
            </w:r>
          </w:p>
        </w:tc>
        <w:tc>
          <w:tcPr>
            <w:tcW w:w="2131" w:type="dxa"/>
          </w:tcPr>
          <w:p w14:paraId="1016EAA8" w14:textId="77777777" w:rsidR="00533B9C" w:rsidRDefault="00000000">
            <w:pPr>
              <w:pStyle w:val="Compact"/>
            </w:pPr>
            <w:r>
              <w:rPr>
                <w:rFonts w:hint="eastAsia"/>
              </w:rPr>
              <w:t>第</w:t>
            </w:r>
            <w:r>
              <w:rPr>
                <w:rFonts w:hint="eastAsia"/>
              </w:rPr>
              <w:t>J+30</w:t>
            </w:r>
            <w:r>
              <w:rPr>
                <w:rFonts w:hint="eastAsia"/>
              </w:rPr>
              <w:t>日</w:t>
            </w:r>
          </w:p>
        </w:tc>
      </w:tr>
      <w:tr w:rsidR="00533B9C" w14:paraId="19BE1982" w14:textId="77777777" w:rsidTr="00533B9C">
        <w:tc>
          <w:tcPr>
            <w:tcW w:w="2131" w:type="dxa"/>
          </w:tcPr>
          <w:p w14:paraId="098AD276" w14:textId="77777777" w:rsidR="00533B9C" w:rsidRDefault="00000000">
            <w:pPr>
              <w:pStyle w:val="Compact"/>
            </w:pPr>
            <w:r>
              <w:t xml:space="preserve">Désignation judiciaire de l’Expert (si pas </w:t>
            </w:r>
            <w:r>
              <w:lastRenderedPageBreak/>
              <w:t>d’accord)</w:t>
            </w:r>
          </w:p>
        </w:tc>
        <w:tc>
          <w:tcPr>
            <w:tcW w:w="2131" w:type="dxa"/>
          </w:tcPr>
          <w:p w14:paraId="21FD9CE9" w14:textId="77777777" w:rsidR="00533B9C" w:rsidRDefault="00000000">
            <w:pPr>
              <w:pStyle w:val="Compact"/>
            </w:pPr>
            <w:r>
              <w:lastRenderedPageBreak/>
              <w:t>J + 45 jours</w:t>
            </w:r>
          </w:p>
        </w:tc>
        <w:tc>
          <w:tcPr>
            <w:tcW w:w="2131" w:type="dxa"/>
          </w:tcPr>
          <w:p w14:paraId="5A34D71E" w14:textId="77777777" w:rsidR="00533B9C" w:rsidRDefault="00000000">
            <w:pPr>
              <w:pStyle w:val="Compact"/>
            </w:pPr>
            <w:r>
              <w:rPr>
                <w:rFonts w:hint="eastAsia"/>
              </w:rPr>
              <w:t>司法指定专家（如无法达成一致）</w:t>
            </w:r>
          </w:p>
        </w:tc>
        <w:tc>
          <w:tcPr>
            <w:tcW w:w="2131" w:type="dxa"/>
          </w:tcPr>
          <w:p w14:paraId="382D918F" w14:textId="77777777" w:rsidR="00533B9C" w:rsidRDefault="00000000">
            <w:pPr>
              <w:pStyle w:val="Compact"/>
            </w:pPr>
            <w:r>
              <w:rPr>
                <w:rFonts w:hint="eastAsia"/>
              </w:rPr>
              <w:t>第</w:t>
            </w:r>
            <w:r>
              <w:rPr>
                <w:rFonts w:hint="eastAsia"/>
              </w:rPr>
              <w:t>J+45</w:t>
            </w:r>
            <w:r>
              <w:rPr>
                <w:rFonts w:hint="eastAsia"/>
              </w:rPr>
              <w:t>日</w:t>
            </w:r>
          </w:p>
        </w:tc>
      </w:tr>
      <w:tr w:rsidR="00533B9C" w14:paraId="594B226A" w14:textId="77777777" w:rsidTr="00533B9C">
        <w:tc>
          <w:tcPr>
            <w:tcW w:w="2131" w:type="dxa"/>
          </w:tcPr>
          <w:p w14:paraId="4735F7DC" w14:textId="77777777" w:rsidR="00533B9C" w:rsidRDefault="00000000">
            <w:pPr>
              <w:pStyle w:val="Compact"/>
            </w:pPr>
            <w:r>
              <w:t>Transmission de la documentation à l’Expert par DIAHO</w:t>
            </w:r>
          </w:p>
        </w:tc>
        <w:tc>
          <w:tcPr>
            <w:tcW w:w="2131" w:type="dxa"/>
          </w:tcPr>
          <w:p w14:paraId="7C7295C0" w14:textId="77777777" w:rsidR="00533B9C" w:rsidRDefault="00000000">
            <w:pPr>
              <w:pStyle w:val="Compact"/>
            </w:pPr>
            <w:r>
              <w:t>J + 60 jours</w:t>
            </w:r>
          </w:p>
        </w:tc>
        <w:tc>
          <w:tcPr>
            <w:tcW w:w="2131" w:type="dxa"/>
          </w:tcPr>
          <w:p w14:paraId="1D0C85BA" w14:textId="77777777" w:rsidR="00533B9C" w:rsidRDefault="00000000">
            <w:pPr>
              <w:pStyle w:val="Compact"/>
            </w:pPr>
            <w:r>
              <w:rPr>
                <w:rFonts w:hint="eastAsia"/>
              </w:rPr>
              <w:t>迪鸿向专家提交文件</w:t>
            </w:r>
          </w:p>
        </w:tc>
        <w:tc>
          <w:tcPr>
            <w:tcW w:w="2131" w:type="dxa"/>
          </w:tcPr>
          <w:p w14:paraId="52E7D6FE" w14:textId="77777777" w:rsidR="00533B9C" w:rsidRDefault="00000000">
            <w:pPr>
              <w:pStyle w:val="Compact"/>
            </w:pPr>
            <w:r>
              <w:rPr>
                <w:rFonts w:hint="eastAsia"/>
              </w:rPr>
              <w:t>第</w:t>
            </w:r>
            <w:r>
              <w:rPr>
                <w:rFonts w:hint="eastAsia"/>
              </w:rPr>
              <w:t>J+60</w:t>
            </w:r>
            <w:r>
              <w:rPr>
                <w:rFonts w:hint="eastAsia"/>
              </w:rPr>
              <w:t>日</w:t>
            </w:r>
          </w:p>
        </w:tc>
      </w:tr>
      <w:tr w:rsidR="00533B9C" w14:paraId="2DC0A32E" w14:textId="77777777" w:rsidTr="00533B9C">
        <w:tc>
          <w:tcPr>
            <w:tcW w:w="2131" w:type="dxa"/>
          </w:tcPr>
          <w:p w14:paraId="232FABDC" w14:textId="77777777" w:rsidR="00533B9C" w:rsidRDefault="00000000">
            <w:pPr>
              <w:pStyle w:val="Compact"/>
            </w:pPr>
            <w:r>
              <w:t>Remise du rapport de l’Expert</w:t>
            </w:r>
          </w:p>
        </w:tc>
        <w:tc>
          <w:tcPr>
            <w:tcW w:w="2131" w:type="dxa"/>
          </w:tcPr>
          <w:p w14:paraId="76E0EBBD" w14:textId="77777777" w:rsidR="00533B9C" w:rsidRDefault="00000000">
            <w:pPr>
              <w:pStyle w:val="Compact"/>
            </w:pPr>
            <w:r>
              <w:t>J + 120 jours</w:t>
            </w:r>
          </w:p>
        </w:tc>
        <w:tc>
          <w:tcPr>
            <w:tcW w:w="2131" w:type="dxa"/>
          </w:tcPr>
          <w:p w14:paraId="3F05A358" w14:textId="77777777" w:rsidR="00533B9C" w:rsidRDefault="00000000">
            <w:pPr>
              <w:pStyle w:val="Compact"/>
            </w:pPr>
            <w:r>
              <w:rPr>
                <w:rFonts w:hint="eastAsia"/>
              </w:rPr>
              <w:t>专家提交报告</w:t>
            </w:r>
          </w:p>
        </w:tc>
        <w:tc>
          <w:tcPr>
            <w:tcW w:w="2131" w:type="dxa"/>
          </w:tcPr>
          <w:p w14:paraId="06A8F0E5" w14:textId="77777777" w:rsidR="00533B9C" w:rsidRDefault="00000000">
            <w:pPr>
              <w:pStyle w:val="Compact"/>
            </w:pPr>
            <w:r>
              <w:rPr>
                <w:rFonts w:hint="eastAsia"/>
              </w:rPr>
              <w:t>第</w:t>
            </w:r>
            <w:r>
              <w:rPr>
                <w:rFonts w:hint="eastAsia"/>
              </w:rPr>
              <w:t>J+120</w:t>
            </w:r>
            <w:r>
              <w:rPr>
                <w:rFonts w:hint="eastAsia"/>
              </w:rPr>
              <w:t>日</w:t>
            </w:r>
          </w:p>
        </w:tc>
      </w:tr>
      <w:tr w:rsidR="00533B9C" w14:paraId="325C289A" w14:textId="77777777" w:rsidTr="00533B9C">
        <w:tc>
          <w:tcPr>
            <w:tcW w:w="2131" w:type="dxa"/>
          </w:tcPr>
          <w:p w14:paraId="2B26A206" w14:textId="77777777" w:rsidR="00533B9C" w:rsidRDefault="00000000">
            <w:pPr>
              <w:pStyle w:val="Compact"/>
            </w:pPr>
            <w:r>
              <w:t>Convocation de l’AGE</w:t>
            </w:r>
          </w:p>
        </w:tc>
        <w:tc>
          <w:tcPr>
            <w:tcW w:w="2131" w:type="dxa"/>
          </w:tcPr>
          <w:p w14:paraId="2ECBABE5" w14:textId="77777777" w:rsidR="00533B9C" w:rsidRDefault="00000000">
            <w:pPr>
              <w:pStyle w:val="Compact"/>
            </w:pPr>
            <w:r>
              <w:t>J + 135 jours</w:t>
            </w:r>
          </w:p>
        </w:tc>
        <w:tc>
          <w:tcPr>
            <w:tcW w:w="2131" w:type="dxa"/>
          </w:tcPr>
          <w:p w14:paraId="7554BD1A" w14:textId="77777777" w:rsidR="00533B9C" w:rsidRDefault="00000000">
            <w:pPr>
              <w:pStyle w:val="Compact"/>
            </w:pPr>
            <w:r>
              <w:rPr>
                <w:rFonts w:hint="eastAsia"/>
              </w:rPr>
              <w:t>召集临时股东大会</w:t>
            </w:r>
          </w:p>
        </w:tc>
        <w:tc>
          <w:tcPr>
            <w:tcW w:w="2131" w:type="dxa"/>
          </w:tcPr>
          <w:p w14:paraId="5240D661" w14:textId="77777777" w:rsidR="00533B9C" w:rsidRDefault="00000000">
            <w:pPr>
              <w:pStyle w:val="Compact"/>
            </w:pPr>
            <w:r>
              <w:rPr>
                <w:rFonts w:hint="eastAsia"/>
              </w:rPr>
              <w:t>第</w:t>
            </w:r>
            <w:r>
              <w:rPr>
                <w:rFonts w:hint="eastAsia"/>
              </w:rPr>
              <w:t>J+135</w:t>
            </w:r>
            <w:r>
              <w:rPr>
                <w:rFonts w:hint="eastAsia"/>
              </w:rPr>
              <w:t>日</w:t>
            </w:r>
          </w:p>
        </w:tc>
      </w:tr>
      <w:tr w:rsidR="00533B9C" w14:paraId="20BDDAA1" w14:textId="77777777" w:rsidTr="00533B9C">
        <w:tc>
          <w:tcPr>
            <w:tcW w:w="2131" w:type="dxa"/>
          </w:tcPr>
          <w:p w14:paraId="7D17AD08" w14:textId="77777777" w:rsidR="00533B9C" w:rsidRDefault="00000000">
            <w:pPr>
              <w:pStyle w:val="Compact"/>
            </w:pPr>
            <w:r>
              <w:t>Tenue de l’AGE et adoption des résolutions</w:t>
            </w:r>
          </w:p>
        </w:tc>
        <w:tc>
          <w:tcPr>
            <w:tcW w:w="2131" w:type="dxa"/>
          </w:tcPr>
          <w:p w14:paraId="1C6D29B2" w14:textId="77777777" w:rsidR="00533B9C" w:rsidRDefault="00000000">
            <w:pPr>
              <w:pStyle w:val="Compact"/>
            </w:pPr>
            <w:r>
              <w:t>J + 150 jours</w:t>
            </w:r>
          </w:p>
        </w:tc>
        <w:tc>
          <w:tcPr>
            <w:tcW w:w="2131" w:type="dxa"/>
          </w:tcPr>
          <w:p w14:paraId="3198BCEE" w14:textId="77777777" w:rsidR="00533B9C" w:rsidRDefault="00000000">
            <w:pPr>
              <w:pStyle w:val="Compact"/>
            </w:pPr>
            <w:r>
              <w:rPr>
                <w:rFonts w:hint="eastAsia"/>
              </w:rPr>
              <w:t>召开临时股东大会并通过决议</w:t>
            </w:r>
          </w:p>
        </w:tc>
        <w:tc>
          <w:tcPr>
            <w:tcW w:w="2131" w:type="dxa"/>
          </w:tcPr>
          <w:p w14:paraId="42D28B17" w14:textId="77777777" w:rsidR="00533B9C" w:rsidRDefault="00000000">
            <w:pPr>
              <w:pStyle w:val="Compact"/>
            </w:pPr>
            <w:r>
              <w:rPr>
                <w:rFonts w:hint="eastAsia"/>
              </w:rPr>
              <w:t>第</w:t>
            </w:r>
            <w:r>
              <w:rPr>
                <w:rFonts w:hint="eastAsia"/>
              </w:rPr>
              <w:t>J+150</w:t>
            </w:r>
            <w:r>
              <w:rPr>
                <w:rFonts w:hint="eastAsia"/>
              </w:rPr>
              <w:t>日</w:t>
            </w:r>
          </w:p>
        </w:tc>
      </w:tr>
      <w:tr w:rsidR="00533B9C" w14:paraId="22E55F11" w14:textId="77777777" w:rsidTr="00533B9C">
        <w:tc>
          <w:tcPr>
            <w:tcW w:w="2131" w:type="dxa"/>
          </w:tcPr>
          <w:p w14:paraId="0304E51F" w14:textId="77777777" w:rsidR="00533B9C" w:rsidRDefault="00000000">
            <w:pPr>
              <w:pStyle w:val="Compact"/>
            </w:pPr>
            <w:r>
              <w:t>Transfert effectif des Actifs [[Pi]] et libération de l’apport</w:t>
            </w:r>
          </w:p>
        </w:tc>
        <w:tc>
          <w:tcPr>
            <w:tcW w:w="2131" w:type="dxa"/>
          </w:tcPr>
          <w:p w14:paraId="693724CA" w14:textId="77777777" w:rsidR="00533B9C" w:rsidRDefault="00000000">
            <w:pPr>
              <w:pStyle w:val="Compact"/>
            </w:pPr>
            <w:r>
              <w:t>J + 165 jours</w:t>
            </w:r>
          </w:p>
        </w:tc>
        <w:tc>
          <w:tcPr>
            <w:tcW w:w="2131" w:type="dxa"/>
          </w:tcPr>
          <w:p w14:paraId="368A6283" w14:textId="77777777" w:rsidR="00533B9C" w:rsidRDefault="00000000">
            <w:pPr>
              <w:pStyle w:val="Compact"/>
            </w:pPr>
            <w:r>
              <w:rPr>
                <w:rFonts w:hint="eastAsia"/>
              </w:rPr>
              <w:t>实际转让知识产权资产并缴纳出资</w:t>
            </w:r>
          </w:p>
        </w:tc>
        <w:tc>
          <w:tcPr>
            <w:tcW w:w="2131" w:type="dxa"/>
          </w:tcPr>
          <w:p w14:paraId="6EC271BC" w14:textId="77777777" w:rsidR="00533B9C" w:rsidRDefault="00000000">
            <w:pPr>
              <w:pStyle w:val="Compact"/>
            </w:pPr>
            <w:r>
              <w:rPr>
                <w:rFonts w:hint="eastAsia"/>
              </w:rPr>
              <w:t>第</w:t>
            </w:r>
            <w:r>
              <w:rPr>
                <w:rFonts w:hint="eastAsia"/>
              </w:rPr>
              <w:t>J+165</w:t>
            </w:r>
            <w:r>
              <w:rPr>
                <w:rFonts w:hint="eastAsia"/>
              </w:rPr>
              <w:t>日</w:t>
            </w:r>
          </w:p>
        </w:tc>
      </w:tr>
      <w:tr w:rsidR="00533B9C" w14:paraId="54769E10" w14:textId="77777777" w:rsidTr="00533B9C">
        <w:tc>
          <w:tcPr>
            <w:tcW w:w="2131" w:type="dxa"/>
          </w:tcPr>
          <w:p w14:paraId="64BB95B4" w14:textId="77777777" w:rsidR="00533B9C" w:rsidRDefault="00000000">
            <w:pPr>
              <w:pStyle w:val="Compact"/>
            </w:pPr>
            <w:r>
              <w:t>Accomplissement des formalités de publicité et dépôt</w:t>
            </w:r>
          </w:p>
        </w:tc>
        <w:tc>
          <w:tcPr>
            <w:tcW w:w="2131" w:type="dxa"/>
          </w:tcPr>
          <w:p w14:paraId="547CDB01" w14:textId="77777777" w:rsidR="00533B9C" w:rsidRDefault="00000000">
            <w:pPr>
              <w:pStyle w:val="Compact"/>
            </w:pPr>
            <w:r>
              <w:t>J + 180 jours</w:t>
            </w:r>
          </w:p>
        </w:tc>
        <w:tc>
          <w:tcPr>
            <w:tcW w:w="2131" w:type="dxa"/>
          </w:tcPr>
          <w:p w14:paraId="628BD8A9" w14:textId="77777777" w:rsidR="00533B9C" w:rsidRDefault="00000000">
            <w:pPr>
              <w:pStyle w:val="Compact"/>
            </w:pPr>
            <w:r>
              <w:rPr>
                <w:rFonts w:hint="eastAsia"/>
              </w:rPr>
              <w:t>完成公示及存档手续</w:t>
            </w:r>
          </w:p>
        </w:tc>
        <w:tc>
          <w:tcPr>
            <w:tcW w:w="2131" w:type="dxa"/>
          </w:tcPr>
          <w:p w14:paraId="29ADDB53" w14:textId="77777777" w:rsidR="00533B9C" w:rsidRDefault="00000000">
            <w:pPr>
              <w:pStyle w:val="Compact"/>
            </w:pPr>
            <w:r>
              <w:rPr>
                <w:rFonts w:hint="eastAsia"/>
              </w:rPr>
              <w:t>第</w:t>
            </w:r>
            <w:r>
              <w:rPr>
                <w:rFonts w:hint="eastAsia"/>
              </w:rPr>
              <w:t>J+180</w:t>
            </w:r>
            <w:r>
              <w:rPr>
                <w:rFonts w:hint="eastAsia"/>
              </w:rPr>
              <w:t>日</w:t>
            </w:r>
          </w:p>
        </w:tc>
      </w:tr>
      <w:tr w:rsidR="00533B9C" w14:paraId="683652C2" w14:textId="77777777" w:rsidTr="00533B9C">
        <w:tc>
          <w:tcPr>
            <w:tcW w:w="2131" w:type="dxa"/>
          </w:tcPr>
          <w:p w14:paraId="27D92FA1" w14:textId="77777777" w:rsidR="00533B9C" w:rsidRDefault="00000000">
            <w:pPr>
              <w:pStyle w:val="Compact"/>
            </w:pPr>
            <w:r>
              <w:rPr>
                <w:b/>
                <w:bCs/>
              </w:rPr>
              <w:t>Finalisation complète de l’entrée au capital</w:t>
            </w:r>
          </w:p>
        </w:tc>
        <w:tc>
          <w:tcPr>
            <w:tcW w:w="2131" w:type="dxa"/>
          </w:tcPr>
          <w:p w14:paraId="2F1A10EC" w14:textId="77777777" w:rsidR="00533B9C" w:rsidRDefault="00000000">
            <w:pPr>
              <w:pStyle w:val="Compact"/>
            </w:pPr>
            <w:r>
              <w:rPr>
                <w:b/>
                <w:bCs/>
              </w:rPr>
              <w:t>J + 180 jours</w:t>
            </w:r>
          </w:p>
        </w:tc>
        <w:tc>
          <w:tcPr>
            <w:tcW w:w="2131" w:type="dxa"/>
          </w:tcPr>
          <w:p w14:paraId="54EA884F" w14:textId="77777777" w:rsidR="00533B9C" w:rsidRDefault="00000000">
            <w:pPr>
              <w:pStyle w:val="Compact"/>
            </w:pPr>
            <w:r>
              <w:rPr>
                <w:rFonts w:hint="eastAsia"/>
                <w:b/>
                <w:bCs/>
              </w:rPr>
              <w:t>入股完全完成</w:t>
            </w:r>
          </w:p>
        </w:tc>
        <w:tc>
          <w:tcPr>
            <w:tcW w:w="2131" w:type="dxa"/>
          </w:tcPr>
          <w:p w14:paraId="447C1B76" w14:textId="77777777" w:rsidR="00533B9C" w:rsidRDefault="00000000">
            <w:pPr>
              <w:pStyle w:val="Compact"/>
            </w:pPr>
            <w:r>
              <w:rPr>
                <w:rFonts w:hint="eastAsia"/>
                <w:b/>
                <w:bCs/>
              </w:rPr>
              <w:t>第</w:t>
            </w:r>
            <w:r>
              <w:rPr>
                <w:rFonts w:hint="eastAsia"/>
                <w:b/>
                <w:bCs/>
              </w:rPr>
              <w:t>J+180</w:t>
            </w:r>
            <w:r>
              <w:rPr>
                <w:rFonts w:hint="eastAsia"/>
                <w:b/>
                <w:bCs/>
              </w:rPr>
              <w:t>日</w:t>
            </w:r>
          </w:p>
        </w:tc>
      </w:tr>
    </w:tbl>
    <w:p w14:paraId="0711D4F7" w14:textId="77777777" w:rsidR="00533B9C" w:rsidRDefault="00000000">
      <w:pPr>
        <w:pStyle w:val="BodyText"/>
      </w:pPr>
      <w:r>
        <w:t>Les délais ci-dessus sont indicatifs et peuvent être prorogés d’un commun accord entre les Parties, sous réserve que la prorogation soit formalisée par écrit avant l’expiration du délai concerné.</w:t>
      </w:r>
    </w:p>
    <w:p w14:paraId="5223BE34" w14:textId="77777777" w:rsidR="00533B9C" w:rsidRDefault="00000000">
      <w:pPr>
        <w:pStyle w:val="BodyText"/>
      </w:pPr>
      <w:r>
        <w:rPr>
          <w:rFonts w:hint="eastAsia"/>
        </w:rPr>
        <w:t>上述期限为参考期限，各方可协商一致予以延长，但延期须在相关期限届满前以书面形式确认。</w:t>
      </w:r>
    </w:p>
    <w:p w14:paraId="672E5740" w14:textId="77777777" w:rsidR="00533B9C" w:rsidRDefault="00423071">
      <w:r>
        <w:rPr>
          <w:noProof/>
        </w:rPr>
      </w:r>
      <w:r>
        <w:pict w14:anchorId="398B76E9">
          <v:rect id="Horizontal Line 10" o:spid="_x0000_s1034"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44014F85" w14:textId="77777777" w:rsidR="00533B9C" w:rsidRDefault="00000000">
      <w:pPr>
        <w:pStyle w:val="Heading2"/>
      </w:pPr>
      <w:bookmarkStart w:id="24" w:name="X3f4b48d80a2d63aa51e95cfd515ab5984a97ce5"/>
      <w:bookmarkEnd w:id="22"/>
      <w:bookmarkEnd w:id="23"/>
      <w:r>
        <w:t xml:space="preserve">TITRE VI — DROITS DE DIAHO POST-ENTRÉE AU CAPITAL | </w:t>
      </w:r>
      <w:r>
        <w:rPr>
          <w:rFonts w:hint="eastAsia"/>
        </w:rPr>
        <w:t>第六章</w:t>
      </w:r>
      <w:r>
        <w:t xml:space="preserve"> — </w:t>
      </w:r>
      <w:r>
        <w:rPr>
          <w:rFonts w:hint="eastAsia"/>
        </w:rPr>
        <w:t>迪鸿入股后的权利</w:t>
      </w:r>
    </w:p>
    <w:p w14:paraId="324EDF69" w14:textId="77777777" w:rsidR="00533B9C" w:rsidRDefault="00000000">
      <w:pPr>
        <w:pStyle w:val="Heading3"/>
      </w:pPr>
      <w:bookmarkStart w:id="25" w:name="X2de1e4d3484981ca72d71b2e0a162de4675312e"/>
      <w:r>
        <w:t xml:space="preserve">Article 11 — Droits et limitations de DIAHO en qualité d’actionnaire | </w:t>
      </w:r>
      <w:r>
        <w:rPr>
          <w:rFonts w:hint="eastAsia"/>
        </w:rPr>
        <w:t>第十一条</w:t>
      </w:r>
      <w:r>
        <w:t xml:space="preserve"> — </w:t>
      </w:r>
      <w:r>
        <w:rPr>
          <w:rFonts w:hint="eastAsia"/>
        </w:rPr>
        <w:t>迪鸿作为股东的权利与限制</w:t>
      </w:r>
    </w:p>
    <w:p w14:paraId="0610FB20" w14:textId="77777777" w:rsidR="00533B9C" w:rsidRDefault="00000000">
      <w:pPr>
        <w:pStyle w:val="FirstParagraph"/>
      </w:pPr>
      <w:r>
        <w:t xml:space="preserve">11.1. </w:t>
      </w:r>
      <w:r>
        <w:rPr>
          <w:b/>
          <w:bCs/>
        </w:rPr>
        <w:t xml:space="preserve">Droits politiques | </w:t>
      </w:r>
      <w:r>
        <w:rPr>
          <w:rFonts w:hint="eastAsia"/>
          <w:b/>
          <w:bCs/>
        </w:rPr>
        <w:t>表决权</w:t>
      </w:r>
    </w:p>
    <w:p w14:paraId="5DF57C10" w14:textId="77777777" w:rsidR="00533B9C" w:rsidRDefault="00000000">
      <w:pPr>
        <w:pStyle w:val="BodyText"/>
      </w:pPr>
      <w:r>
        <w:t>DIAHO dispose, en sa qualité d’actionnaire à quarante pour cent (40 %), des droits de vote attachés à ses actions selon la loi applicable et les statuts de VETALYX.</w:t>
      </w:r>
    </w:p>
    <w:p w14:paraId="5CDF30E0" w14:textId="77777777" w:rsidR="00533B9C" w:rsidRDefault="00000000">
      <w:pPr>
        <w:pStyle w:val="BodyText"/>
      </w:pPr>
      <w:r>
        <w:rPr>
          <w:rFonts w:hint="eastAsia"/>
        </w:rPr>
        <w:lastRenderedPageBreak/>
        <w:t>迪鸿作为持股百分之四十（</w:t>
      </w:r>
      <w:r>
        <w:rPr>
          <w:rFonts w:hint="eastAsia"/>
        </w:rPr>
        <w:t>40%</w:t>
      </w:r>
      <w:r>
        <w:rPr>
          <w:rFonts w:hint="eastAsia"/>
        </w:rPr>
        <w:t>）的股东，依适用法律及</w:t>
      </w:r>
      <w:r>
        <w:rPr>
          <w:rFonts w:hint="eastAsia"/>
        </w:rPr>
        <w:t>VETALYX</w:t>
      </w:r>
      <w:r>
        <w:rPr>
          <w:rFonts w:hint="eastAsia"/>
        </w:rPr>
        <w:t>章程享有其股份所附带的表决权。</w:t>
      </w:r>
    </w:p>
    <w:p w14:paraId="16DD8F8C" w14:textId="77777777" w:rsidR="00533B9C" w:rsidRDefault="00000000">
      <w:pPr>
        <w:pStyle w:val="BodyText"/>
      </w:pPr>
      <w:r>
        <w:t>Toutefois, conformément au Pacte d’Actionnaires de VETALYX [à conclure ultérieurement], les droits politiques de DIAHO sont limités comme suit :</w:t>
      </w:r>
    </w:p>
    <w:p w14:paraId="6C65DD6C" w14:textId="77777777" w:rsidR="00533B9C" w:rsidRDefault="00000000">
      <w:pPr>
        <w:pStyle w:val="BodyText"/>
      </w:pPr>
      <w:r>
        <w:rPr>
          <w:rFonts w:hint="eastAsia"/>
        </w:rPr>
        <w:t>但依据</w:t>
      </w:r>
      <w:r>
        <w:rPr>
          <w:rFonts w:hint="eastAsia"/>
        </w:rPr>
        <w:t>VETALYX</w:t>
      </w:r>
      <w:r>
        <w:rPr>
          <w:rFonts w:hint="eastAsia"/>
        </w:rPr>
        <w:t>股东协议</w:t>
      </w:r>
      <w:r>
        <w:rPr>
          <w:rFonts w:hint="eastAsia"/>
        </w:rPr>
        <w:t>[</w:t>
      </w:r>
      <w:r>
        <w:rPr>
          <w:rFonts w:hint="eastAsia"/>
        </w:rPr>
        <w:t>待后续签署</w:t>
      </w:r>
      <w:r>
        <w:rPr>
          <w:rFonts w:hint="eastAsia"/>
        </w:rPr>
        <w:t>]</w:t>
      </w:r>
      <w:r>
        <w:rPr>
          <w:rFonts w:hint="eastAsia"/>
        </w:rPr>
        <w:t>，</w:t>
      </w:r>
      <w:r>
        <w:rPr>
          <w:rFonts w:hint="eastAsia"/>
          <w:highlight w:val="yellow"/>
        </w:rPr>
        <w:t>迪鸿的表决权受到如下限制：</w:t>
      </w:r>
    </w:p>
    <w:p w14:paraId="61AD9471" w14:textId="77777777" w:rsidR="00533B9C" w:rsidRDefault="00000000">
      <w:pPr>
        <w:pStyle w:val="Compact"/>
        <w:numPr>
          <w:ilvl w:val="0"/>
          <w:numId w:val="4"/>
        </w:numPr>
      </w:pPr>
      <w:r>
        <w:t xml:space="preserve">DIAHO ne dispose </w:t>
      </w:r>
      <w:r>
        <w:rPr>
          <w:b/>
          <w:bCs/>
        </w:rPr>
        <w:t>pas de droit de veto</w:t>
      </w:r>
      <w:r>
        <w:t xml:space="preserve"> sur les décisions relatives aux opérations courantes de VETALYX (gestion commerciale, [[contrats]] clients, recrutement, dépenses d’exploitation) ; </w:t>
      </w:r>
      <w:r>
        <w:rPr>
          <w:rFonts w:hint="eastAsia"/>
        </w:rPr>
        <w:t>迪鸿对</w:t>
      </w:r>
      <w:r>
        <w:rPr>
          <w:rFonts w:hint="eastAsia"/>
        </w:rPr>
        <w:t>VETALYX</w:t>
      </w:r>
      <w:r>
        <w:rPr>
          <w:rFonts w:hint="eastAsia"/>
        </w:rPr>
        <w:t>日常经营决策（商业管理、客户合同、人员招募、运营支出）</w:t>
      </w:r>
      <w:r>
        <w:rPr>
          <w:rFonts w:hint="eastAsia"/>
          <w:b/>
          <w:bCs/>
        </w:rPr>
        <w:t>不享有否决权</w:t>
      </w:r>
      <w:r>
        <w:rPr>
          <w:rFonts w:hint="eastAsia"/>
        </w:rPr>
        <w:t>；</w:t>
      </w:r>
    </w:p>
    <w:p w14:paraId="2009F723" w14:textId="77777777" w:rsidR="00533B9C" w:rsidRDefault="00000000">
      <w:pPr>
        <w:pStyle w:val="Compact"/>
        <w:numPr>
          <w:ilvl w:val="0"/>
          <w:numId w:val="4"/>
        </w:numPr>
      </w:pPr>
      <w:r>
        <w:t xml:space="preserve">DIAHO dispose d’un droit de </w:t>
      </w:r>
      <w:r>
        <w:rPr>
          <w:b/>
          <w:bCs/>
        </w:rPr>
        <w:t>consultation préalable</w:t>
      </w:r>
      <w:r>
        <w:t xml:space="preserve"> sur les décisions stratégiques suivantes [à définir : levées de fonds, cession de tout ou partie de l’activité, fusion, changement d’objet social] ; </w:t>
      </w:r>
      <w:r>
        <w:rPr>
          <w:rFonts w:hint="eastAsia"/>
        </w:rPr>
        <w:t>迪鸿对以下战略性决策享有</w:t>
      </w:r>
      <w:r>
        <w:rPr>
          <w:rFonts w:hint="eastAsia"/>
          <w:b/>
          <w:bCs/>
        </w:rPr>
        <w:t>事先咨询权</w:t>
      </w:r>
      <w:r>
        <w:rPr>
          <w:rFonts w:hint="eastAsia"/>
        </w:rPr>
        <w:t>【待定：融资、出售全部或部分业务、合并、经营范围变更】；</w:t>
      </w:r>
    </w:p>
    <w:p w14:paraId="64968208" w14:textId="77777777" w:rsidR="00533B9C" w:rsidRDefault="00000000">
      <w:pPr>
        <w:pStyle w:val="Compact"/>
        <w:numPr>
          <w:ilvl w:val="0"/>
          <w:numId w:val="4"/>
        </w:numPr>
      </w:pPr>
      <w:r>
        <w:t xml:space="preserve">Tout droit de veto éventuel de DIAHO est strictement limité aux décisions listées à l’Annexe B du présent accord. </w:t>
      </w:r>
      <w:r>
        <w:rPr>
          <w:rFonts w:hint="eastAsia"/>
        </w:rPr>
        <w:t>迪鸿可能享有的否决权严格限于本协议附件</w:t>
      </w:r>
      <w:r>
        <w:rPr>
          <w:rFonts w:hint="eastAsia"/>
        </w:rPr>
        <w:t>B</w:t>
      </w:r>
      <w:r>
        <w:rPr>
          <w:rFonts w:hint="eastAsia"/>
        </w:rPr>
        <w:t>所列决策事项。</w:t>
      </w:r>
    </w:p>
    <w:p w14:paraId="4CD89D83" w14:textId="77777777" w:rsidR="00533B9C" w:rsidRDefault="00000000">
      <w:pPr>
        <w:pStyle w:val="FirstParagraph"/>
      </w:pPr>
      <w:r>
        <w:t xml:space="preserve">11.2. </w:t>
      </w:r>
      <w:r>
        <w:rPr>
          <w:b/>
          <w:bCs/>
        </w:rPr>
        <w:t xml:space="preserve">Droits financiers | </w:t>
      </w:r>
      <w:r>
        <w:rPr>
          <w:rFonts w:hint="eastAsia"/>
          <w:b/>
          <w:bCs/>
        </w:rPr>
        <w:t>财务权利</w:t>
      </w:r>
    </w:p>
    <w:p w14:paraId="2D1F9883" w14:textId="77777777" w:rsidR="00533B9C" w:rsidRDefault="00000000">
      <w:pPr>
        <w:pStyle w:val="BodyText"/>
      </w:pPr>
      <w:r>
        <w:t>DIAHO a droit aux dividendes distribués par VETALYX à proportion de sa participation au Capital Post-Augmentation. Aucun droit financier préférentiel n’est accordé à DIAHO sauf accord exprès ultérieur.</w:t>
      </w:r>
    </w:p>
    <w:p w14:paraId="6DBD9B34" w14:textId="77777777" w:rsidR="00533B9C" w:rsidRDefault="00000000">
      <w:pPr>
        <w:pStyle w:val="BodyText"/>
      </w:pPr>
      <w:r>
        <w:rPr>
          <w:rFonts w:hint="eastAsia"/>
        </w:rPr>
        <w:t>迪鸿有权按其在增资后资本中的持股比例获取</w:t>
      </w:r>
      <w:r>
        <w:rPr>
          <w:rFonts w:hint="eastAsia"/>
        </w:rPr>
        <w:t>VETALYX</w:t>
      </w:r>
      <w:r>
        <w:rPr>
          <w:rFonts w:hint="eastAsia"/>
        </w:rPr>
        <w:t>分配的股息。除非另有明确书面协议，迪鸿不享有任何优先财务权利。</w:t>
      </w:r>
    </w:p>
    <w:p w14:paraId="302A9EFA" w14:textId="77777777" w:rsidR="00533B9C" w:rsidRDefault="00000000">
      <w:pPr>
        <w:pStyle w:val="BodyText"/>
      </w:pPr>
      <w:r>
        <w:t xml:space="preserve">11.3. </w:t>
      </w:r>
      <w:r>
        <w:rPr>
          <w:b/>
          <w:bCs/>
        </w:rPr>
        <w:t xml:space="preserve">Droits d’information | </w:t>
      </w:r>
      <w:r>
        <w:rPr>
          <w:rFonts w:hint="eastAsia"/>
          <w:b/>
          <w:bCs/>
        </w:rPr>
        <w:t>知情权</w:t>
      </w:r>
    </w:p>
    <w:p w14:paraId="1A0BF991" w14:textId="77777777" w:rsidR="00533B9C" w:rsidRDefault="00000000">
      <w:pPr>
        <w:pStyle w:val="BodyText"/>
      </w:pPr>
      <w:r>
        <w:t>DIAHO a accès aux comptes annuels de VETALYX et aux informations légalement dues à tout actionnaire selon le droit applicable. Tout droit d’information renforcé est régi par le Pacte d’Actionnaires.</w:t>
      </w:r>
    </w:p>
    <w:p w14:paraId="13C66DFC" w14:textId="77777777" w:rsidR="00533B9C" w:rsidRDefault="00000000">
      <w:pPr>
        <w:pStyle w:val="BodyText"/>
      </w:pPr>
      <w:r>
        <w:rPr>
          <w:rFonts w:hint="eastAsia"/>
        </w:rPr>
        <w:t>迪鸿有权查阅</w:t>
      </w:r>
      <w:r>
        <w:rPr>
          <w:rFonts w:hint="eastAsia"/>
        </w:rPr>
        <w:t>VETALYX</w:t>
      </w:r>
      <w:r>
        <w:rPr>
          <w:rFonts w:hint="eastAsia"/>
        </w:rPr>
        <w:t>年度账目及依适用法律应向全体股东披露的信息。任何强化知情权由股东协议规定。</w:t>
      </w:r>
    </w:p>
    <w:p w14:paraId="6E2197F0" w14:textId="77777777" w:rsidR="00533B9C" w:rsidRDefault="00000000">
      <w:pPr>
        <w:pStyle w:val="BodyText"/>
      </w:pPr>
      <w:r>
        <w:t xml:space="preserve">11.4. </w:t>
      </w:r>
      <w:r>
        <w:rPr>
          <w:b/>
          <w:bCs/>
        </w:rPr>
        <w:t xml:space="preserve">Restrictions à la cession | </w:t>
      </w:r>
      <w:r>
        <w:rPr>
          <w:rFonts w:hint="eastAsia"/>
          <w:b/>
          <w:bCs/>
        </w:rPr>
        <w:t>股份转让限制</w:t>
      </w:r>
    </w:p>
    <w:p w14:paraId="19CEB818" w14:textId="77777777" w:rsidR="00533B9C" w:rsidRDefault="00000000">
      <w:pPr>
        <w:pStyle w:val="BodyText"/>
      </w:pPr>
      <w:r>
        <w:t>Les actions de DIAHO dans VETALYX sont soumises aux clauses de préemption, d’agrément et d’inaliénabilité prévues par le Pacte d’Actionnaires de VETALYX [à conclure ultérieurement].</w:t>
      </w:r>
    </w:p>
    <w:p w14:paraId="30C1826E" w14:textId="77777777" w:rsidR="00533B9C" w:rsidRDefault="00000000">
      <w:pPr>
        <w:pStyle w:val="BodyText"/>
      </w:pPr>
      <w:r>
        <w:rPr>
          <w:rFonts w:hint="eastAsia"/>
        </w:rPr>
        <w:t>迪鸿在</w:t>
      </w:r>
      <w:r>
        <w:rPr>
          <w:rFonts w:hint="eastAsia"/>
        </w:rPr>
        <w:t>VETALYX</w:t>
      </w:r>
      <w:r>
        <w:rPr>
          <w:rFonts w:hint="eastAsia"/>
        </w:rPr>
        <w:t>的股份须遵守</w:t>
      </w:r>
      <w:r>
        <w:rPr>
          <w:rFonts w:hint="eastAsia"/>
        </w:rPr>
        <w:t>VETALYX</w:t>
      </w:r>
      <w:r>
        <w:rPr>
          <w:rFonts w:hint="eastAsia"/>
        </w:rPr>
        <w:t>股东协议【待后续签署】规定的优先购买权、批准权及锁定期条款。</w:t>
      </w:r>
    </w:p>
    <w:p w14:paraId="247AA5C7" w14:textId="77777777" w:rsidR="00533B9C" w:rsidRDefault="00423071">
      <w:r>
        <w:rPr>
          <w:noProof/>
        </w:rPr>
      </w:r>
      <w:r>
        <w:pict w14:anchorId="5DC7E2B8">
          <v:rect id="Horizontal Line 11" o:spid="_x0000_s1033"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0EA3FFF0" w14:textId="77777777" w:rsidR="00533B9C" w:rsidRDefault="00000000">
      <w:pPr>
        <w:pStyle w:val="Heading2"/>
      </w:pPr>
      <w:bookmarkStart w:id="26" w:name="titre-vii-clause-anti-dilution-第七章-反稀释条款"/>
      <w:bookmarkEnd w:id="24"/>
      <w:bookmarkEnd w:id="25"/>
      <w:r>
        <w:lastRenderedPageBreak/>
        <w:t xml:space="preserve">TITRE VII — CLAUSE ANTI-DILUTION | </w:t>
      </w:r>
      <w:r>
        <w:rPr>
          <w:rFonts w:hint="eastAsia"/>
        </w:rPr>
        <w:t>第七章</w:t>
      </w:r>
      <w:r>
        <w:t xml:space="preserve"> — </w:t>
      </w:r>
      <w:r>
        <w:rPr>
          <w:rFonts w:hint="eastAsia"/>
        </w:rPr>
        <w:t>反稀释条款</w:t>
      </w:r>
    </w:p>
    <w:p w14:paraId="4EE2FACA" w14:textId="77777777" w:rsidR="00533B9C" w:rsidRDefault="00000000">
      <w:pPr>
        <w:pStyle w:val="Heading3"/>
      </w:pPr>
      <w:bookmarkStart w:id="27" w:name="X57679a185ac792f6f5725ced54fee3a5c99c2c3"/>
      <w:r>
        <w:t xml:space="preserve">Article 12 — Gel des opérations en capital | </w:t>
      </w:r>
      <w:r>
        <w:rPr>
          <w:rFonts w:hint="eastAsia"/>
        </w:rPr>
        <w:t>第十二条</w:t>
      </w:r>
      <w:r>
        <w:t xml:space="preserve"> — </w:t>
      </w:r>
      <w:r>
        <w:rPr>
          <w:rFonts w:hint="eastAsia"/>
        </w:rPr>
        <w:t>资本运作冻结</w:t>
      </w:r>
    </w:p>
    <w:p w14:paraId="7B6AD2C3" w14:textId="77777777" w:rsidR="00533B9C" w:rsidRDefault="00000000">
      <w:pPr>
        <w:pStyle w:val="FirstParagraph"/>
      </w:pPr>
      <w:r>
        <w:t xml:space="preserve">12.1. À compter de la date de notification formelle de l’exercice de l’option de production par VETALYX et jusqu’à la finalisation complète de l’entrée au capital de DIAHO (soit au plus tard à J + 180 jours), les Fondateurs s’engagent à </w:t>
      </w:r>
      <w:r>
        <w:rPr>
          <w:b/>
          <w:bCs/>
        </w:rPr>
        <w:t>ne procéder à aucune augmentation de capital</w:t>
      </w:r>
      <w:r>
        <w:t xml:space="preserve">, sous quelque forme que ce soit (apports en numéraire, apports en nature, incorporation de réserves, émission d’obligations convertibles ou de bons de souscription), </w:t>
      </w:r>
      <w:r>
        <w:rPr>
          <w:b/>
          <w:bCs/>
        </w:rPr>
        <w:t>sans l’accord préalable écrit de DIAHO</w:t>
      </w:r>
      <w:r>
        <w:t>.</w:t>
      </w:r>
    </w:p>
    <w:p w14:paraId="4ECA767A" w14:textId="77777777" w:rsidR="00533B9C" w:rsidRDefault="00000000">
      <w:pPr>
        <w:pStyle w:val="BodyText"/>
      </w:pPr>
      <w:r>
        <w:t xml:space="preserve">12.1. </w:t>
      </w:r>
      <w:r>
        <w:rPr>
          <w:rFonts w:hint="eastAsia"/>
        </w:rPr>
        <w:t>自</w:t>
      </w:r>
      <w:r>
        <w:rPr>
          <w:rFonts w:hint="eastAsia"/>
        </w:rPr>
        <w:t>VETALYX</w:t>
      </w:r>
      <w:r>
        <w:rPr>
          <w:rFonts w:hint="eastAsia"/>
        </w:rPr>
        <w:t>正式发出生产选择权行使通知之日起至迪鸿入股完全完成之日止（最迟至第</w:t>
      </w:r>
      <w:r>
        <w:rPr>
          <w:rFonts w:hint="eastAsia"/>
        </w:rPr>
        <w:t>J+180</w:t>
      </w:r>
      <w:r>
        <w:rPr>
          <w:rFonts w:hint="eastAsia"/>
        </w:rPr>
        <w:t>日），创始人承诺在未获</w:t>
      </w:r>
      <w:r>
        <w:rPr>
          <w:rFonts w:hint="eastAsia"/>
          <w:b/>
          <w:bCs/>
        </w:rPr>
        <w:t>迪鸿事先书面同意</w:t>
      </w:r>
      <w:r>
        <w:rPr>
          <w:rFonts w:hint="eastAsia"/>
        </w:rPr>
        <w:t>的情况下，</w:t>
      </w:r>
      <w:r>
        <w:rPr>
          <w:rFonts w:hint="eastAsia"/>
          <w:b/>
          <w:bCs/>
        </w:rPr>
        <w:t>不以任何形式实施任何增资</w:t>
      </w:r>
      <w:r>
        <w:rPr>
          <w:rFonts w:hint="eastAsia"/>
        </w:rPr>
        <w:t>（包括现金出资、实物出资、公积金转增、发行可转换债券或认股权证）。</w:t>
      </w:r>
    </w:p>
    <w:p w14:paraId="61D6F9D2" w14:textId="77777777" w:rsidR="00533B9C" w:rsidRDefault="00000000">
      <w:pPr>
        <w:pStyle w:val="BodyText"/>
      </w:pPr>
      <w:r>
        <w:t>12.2. Sont également suspendus pendant cette période : toute cession d’actions entre Fondateurs ou à des tiers, et toute création d’instruments dilutifs (BSPCE, stock-options, BSA, obligations convertibles).</w:t>
      </w:r>
    </w:p>
    <w:p w14:paraId="5D30AE23" w14:textId="77777777" w:rsidR="00533B9C" w:rsidRDefault="00000000">
      <w:pPr>
        <w:pStyle w:val="BodyText"/>
      </w:pPr>
      <w:r>
        <w:t xml:space="preserve">12.2. </w:t>
      </w:r>
      <w:r>
        <w:rPr>
          <w:rFonts w:hint="eastAsia"/>
        </w:rPr>
        <w:t>在此期间，以下事项亦同步暂停：创始人之间或向第三方的任何股份转让，以及任何稀释性工具的创设（创业者股票认购权证、股票期权、股票认购权证、可转换债券）。</w:t>
      </w:r>
    </w:p>
    <w:p w14:paraId="79827F2F" w14:textId="77777777" w:rsidR="00533B9C" w:rsidRDefault="00000000">
      <w:pPr>
        <w:pStyle w:val="BodyText"/>
      </w:pPr>
      <w:r>
        <w:t>12.3. Toute violation de la présente clause par l’un ou plusieurs des Fondateurs engage sa ou leur responsabilité personnelle à l’égard de DIAHO et ouvre droit à des dommages et intérêts calculés sur la base du préjudice effectivement subi par DIAHO du fait de la dilution indue.</w:t>
      </w:r>
    </w:p>
    <w:p w14:paraId="09974B3F" w14:textId="77777777" w:rsidR="00533B9C" w:rsidRDefault="00000000">
      <w:pPr>
        <w:pStyle w:val="BodyText"/>
      </w:pPr>
      <w:r>
        <w:t xml:space="preserve">12.3. </w:t>
      </w:r>
      <w:r>
        <w:rPr>
          <w:rFonts w:hint="eastAsia"/>
        </w:rPr>
        <w:t>一名或多名创始人违反本条款的，须就其对迪鸿造成的损害承担个人责任，迪鸿有权要求赔偿因不当稀释所实际遭受的损失。</w:t>
      </w:r>
    </w:p>
    <w:p w14:paraId="0F3AE793" w14:textId="77777777" w:rsidR="00533B9C" w:rsidRDefault="00000000">
      <w:pPr>
        <w:pStyle w:val="BodyText"/>
      </w:pPr>
      <w:r>
        <w:t xml:space="preserve">12.4. </w:t>
      </w:r>
      <w:r>
        <w:rPr>
          <w:b/>
          <w:bCs/>
        </w:rPr>
        <w:t>Opérations autorisées pendant la période de gel</w:t>
      </w:r>
      <w:r>
        <w:t xml:space="preserve"> : les opérations de capital strictement requises par la loi (ex. réduction de capital pour apurement de pertes constatée par un réviseur) peuvent être réalisées sous réserve d’information préalable de DIAHO avec un préavis de quinze (15) jours.</w:t>
      </w:r>
    </w:p>
    <w:p w14:paraId="61D2B6A9" w14:textId="77777777" w:rsidR="00533B9C" w:rsidRDefault="00000000">
      <w:pPr>
        <w:pStyle w:val="BodyText"/>
      </w:pPr>
      <w:r>
        <w:t xml:space="preserve">12.4. </w:t>
      </w:r>
      <w:r>
        <w:rPr>
          <w:rFonts w:hint="eastAsia"/>
          <w:b/>
          <w:bCs/>
        </w:rPr>
        <w:t>冻结期间允许的资本运作</w:t>
      </w:r>
      <w:r>
        <w:rPr>
          <w:rFonts w:hint="eastAsia"/>
        </w:rPr>
        <w:t>：法律明确要求的资本运作（例如经审计师确认的弥补亏损的减资）可在提前十五（</w:t>
      </w:r>
      <w:r>
        <w:rPr>
          <w:rFonts w:hint="eastAsia"/>
        </w:rPr>
        <w:t>15</w:t>
      </w:r>
      <w:r>
        <w:rPr>
          <w:rFonts w:hint="eastAsia"/>
        </w:rPr>
        <w:t>）日书面通知迪鸿的前提下实施。</w:t>
      </w:r>
    </w:p>
    <w:p w14:paraId="7721D1FE" w14:textId="77777777" w:rsidR="00533B9C" w:rsidRDefault="00000000">
      <w:pPr>
        <w:pStyle w:val="Heading3"/>
      </w:pPr>
      <w:bookmarkStart w:id="28" w:name="X1f925766d6888d6d872b532e092fd004b7f0ef1"/>
      <w:bookmarkEnd w:id="27"/>
      <w:r>
        <w:t xml:space="preserve">Article 13 — Engagement de transfert en cas de cession | </w:t>
      </w:r>
      <w:r>
        <w:rPr>
          <w:rFonts w:hint="eastAsia"/>
        </w:rPr>
        <w:t>第十三条</w:t>
      </w:r>
      <w:r>
        <w:t xml:space="preserve"> — </w:t>
      </w:r>
      <w:r>
        <w:rPr>
          <w:rFonts w:hint="eastAsia"/>
        </w:rPr>
        <w:t>转让时的承继义务</w:t>
      </w:r>
    </w:p>
    <w:p w14:paraId="6BB65D70" w14:textId="77777777" w:rsidR="00533B9C" w:rsidRDefault="00000000">
      <w:pPr>
        <w:pStyle w:val="FirstParagraph"/>
      </w:pPr>
      <w:r>
        <w:t xml:space="preserve">En cas de cession par l’un des Fondateurs de tout ou partie de ses actions à un tiers, le Fondateur cédant s’assure que le cessionnaire reprend l’intégralité des obligations du présent accord, et notamment l’engagement d’entrée au capital </w:t>
      </w:r>
      <w:r>
        <w:lastRenderedPageBreak/>
        <w:t>de DIAHO. La cession est inopposable à DIAHO tant que le cessionnaire n’a pas adhéré formellement au présent accord par acte séparé.</w:t>
      </w:r>
    </w:p>
    <w:p w14:paraId="4E2B8F0B" w14:textId="77777777" w:rsidR="00533B9C" w:rsidRDefault="00000000">
      <w:pPr>
        <w:pStyle w:val="BodyText"/>
      </w:pPr>
      <w:r>
        <w:rPr>
          <w:rFonts w:hint="eastAsia"/>
        </w:rPr>
        <w:t>若某一创始人将其全部或部分股份转让给第三方，转让方须确保受让人承继本协议项下的全部义务，尤其是迪鸿入股的承诺。在受让人未通过独立文件正式加入本协议之前，该转让对迪鸿不产生对抗效力。</w:t>
      </w:r>
    </w:p>
    <w:p w14:paraId="79569C2B" w14:textId="77777777" w:rsidR="00533B9C" w:rsidRDefault="00423071">
      <w:r>
        <w:rPr>
          <w:noProof/>
        </w:rPr>
      </w:r>
      <w:r>
        <w:pict w14:anchorId="67AEB517">
          <v:rect id="Horizontal Line 12" o:spid="_x0000_s1032"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73310708" w14:textId="77777777" w:rsidR="00533B9C" w:rsidRDefault="00000000">
      <w:pPr>
        <w:pStyle w:val="Heading2"/>
      </w:pPr>
      <w:bookmarkStart w:id="29" w:name="Xc4927ed532b1c8aadc096dec32d33783bdeef96"/>
      <w:bookmarkEnd w:id="26"/>
      <w:bookmarkEnd w:id="28"/>
      <w:r>
        <w:t xml:space="preserve">TITRE VIII — DISPOSITIONS GÉNÉRALES | </w:t>
      </w:r>
      <w:r>
        <w:rPr>
          <w:rFonts w:hint="eastAsia"/>
        </w:rPr>
        <w:t>第八章</w:t>
      </w:r>
      <w:r>
        <w:t xml:space="preserve"> — </w:t>
      </w:r>
      <w:r>
        <w:rPr>
          <w:rFonts w:hint="eastAsia"/>
        </w:rPr>
        <w:t>一般条款</w:t>
      </w:r>
    </w:p>
    <w:p w14:paraId="7CDBCDCE" w14:textId="77777777" w:rsidR="00533B9C" w:rsidRDefault="00000000">
      <w:pPr>
        <w:pStyle w:val="Heading3"/>
      </w:pPr>
      <w:bookmarkStart w:id="30" w:name="Xdda86f7ce3f392290adc01c4bbf0d5f51fff689"/>
      <w:r>
        <w:t xml:space="preserve">Article 14 — Résolution des différends | </w:t>
      </w:r>
      <w:r>
        <w:rPr>
          <w:rFonts w:hint="eastAsia"/>
        </w:rPr>
        <w:t>第十四条</w:t>
      </w:r>
      <w:r>
        <w:t xml:space="preserve"> — </w:t>
      </w:r>
      <w:r>
        <w:rPr>
          <w:rFonts w:hint="eastAsia"/>
        </w:rPr>
        <w:t>争议解决</w:t>
      </w:r>
    </w:p>
    <w:p w14:paraId="17734C21" w14:textId="77777777" w:rsidR="00533B9C" w:rsidRDefault="00000000">
      <w:pPr>
        <w:pStyle w:val="FirstParagraph"/>
      </w:pPr>
      <w:r>
        <w:t>14.1. En cas de différend relatif à l’interprétation, l’exécution ou la résiliation du présent accord, les Parties s’engagent à rechercher une solution amiable dans un délai de trente (30) jours à compter de la notification du différend par la partie la plus diligente.</w:t>
      </w:r>
    </w:p>
    <w:p w14:paraId="7C0ECFFC" w14:textId="77777777" w:rsidR="00533B9C" w:rsidRDefault="00000000">
      <w:pPr>
        <w:pStyle w:val="BodyText"/>
      </w:pPr>
      <w:r>
        <w:t xml:space="preserve">14.1. </w:t>
      </w:r>
      <w:r>
        <w:rPr>
          <w:rFonts w:hint="eastAsia"/>
        </w:rPr>
        <w:t>就本协议的解释、履行或终止发生争议时，各方承诺自最积极一方发出争议通知之日起三十（</w:t>
      </w:r>
      <w:r>
        <w:rPr>
          <w:rFonts w:hint="eastAsia"/>
        </w:rPr>
        <w:t>30</w:t>
      </w:r>
      <w:r>
        <w:rPr>
          <w:rFonts w:hint="eastAsia"/>
        </w:rPr>
        <w:t>）日内寻求友好协商解决。</w:t>
      </w:r>
    </w:p>
    <w:p w14:paraId="145506FC" w14:textId="77777777" w:rsidR="00533B9C" w:rsidRDefault="00000000">
      <w:pPr>
        <w:pStyle w:val="BodyText"/>
      </w:pPr>
      <w:r>
        <w:t xml:space="preserve">14.2. À défaut de résolution amiable, tout différend est soumis à la compétence exclusive : - </w:t>
      </w:r>
      <w:r>
        <w:rPr>
          <w:b/>
          <w:bCs/>
        </w:rPr>
        <w:t>[Option Belgique]</w:t>
      </w:r>
      <w:r>
        <w:t xml:space="preserve"> du Tribunal de l’Entreprise de [VILLE], selon le droit belge (CSA/WVV et droit commun des obligations) ; - </w:t>
      </w:r>
      <w:r>
        <w:rPr>
          <w:b/>
          <w:bCs/>
        </w:rPr>
        <w:t>[Option France]</w:t>
      </w:r>
      <w:r>
        <w:t xml:space="preserve"> du Tribunal de Commerce de [VILLE], selon le droit français (Code de commerce et Code civil) ; - </w:t>
      </w:r>
      <w:r>
        <w:rPr>
          <w:b/>
          <w:bCs/>
        </w:rPr>
        <w:t>[Option arbitrage international]</w:t>
      </w:r>
      <w:r>
        <w:t xml:space="preserve"> d’un arbitrage selon le Règlement de la Chambre de Commerce Internationale (CCI), siège à [VILLE], en langue française.</w:t>
      </w:r>
    </w:p>
    <w:p w14:paraId="5BB8285D" w14:textId="77777777" w:rsidR="00533B9C" w:rsidRDefault="00000000">
      <w:pPr>
        <w:pStyle w:val="BodyText"/>
      </w:pPr>
      <w:r>
        <w:t xml:space="preserve">14.2. </w:t>
      </w:r>
      <w:r>
        <w:rPr>
          <w:rFonts w:hint="eastAsia"/>
        </w:rPr>
        <w:t>友好协商不成的，任何争议提交：</w:t>
      </w:r>
      <w:r>
        <w:t xml:space="preserve"> - </w:t>
      </w:r>
      <w:r>
        <w:rPr>
          <w:rFonts w:hint="eastAsia"/>
          <w:b/>
          <w:bCs/>
        </w:rPr>
        <w:t>【比利时方案】</w:t>
      </w:r>
      <w:r>
        <w:rPr>
          <w:rFonts w:hint="eastAsia"/>
        </w:rPr>
        <w:t>[</w:t>
      </w:r>
      <w:r>
        <w:rPr>
          <w:rFonts w:hint="eastAsia"/>
        </w:rPr>
        <w:t>城市</w:t>
      </w:r>
      <w:r>
        <w:rPr>
          <w:rFonts w:hint="eastAsia"/>
        </w:rPr>
        <w:t>]</w:t>
      </w:r>
      <w:r>
        <w:rPr>
          <w:rFonts w:hint="eastAsia"/>
        </w:rPr>
        <w:t>企业法院专属管辖，适用比利时法律（</w:t>
      </w:r>
      <w:r>
        <w:rPr>
          <w:rFonts w:hint="eastAsia"/>
        </w:rPr>
        <w:t>CSA/WVV</w:t>
      </w:r>
      <w:r>
        <w:rPr>
          <w:rFonts w:hint="eastAsia"/>
        </w:rPr>
        <w:t>及普通债务法）；</w:t>
      </w:r>
      <w:r>
        <w:t xml:space="preserve"> - </w:t>
      </w:r>
      <w:r>
        <w:rPr>
          <w:rFonts w:hint="eastAsia"/>
          <w:b/>
          <w:bCs/>
        </w:rPr>
        <w:t>【法国方案】</w:t>
      </w:r>
      <w:r>
        <w:rPr>
          <w:rFonts w:hint="eastAsia"/>
        </w:rPr>
        <w:t>[</w:t>
      </w:r>
      <w:r>
        <w:rPr>
          <w:rFonts w:hint="eastAsia"/>
        </w:rPr>
        <w:t>城市</w:t>
      </w:r>
      <w:r>
        <w:rPr>
          <w:rFonts w:hint="eastAsia"/>
        </w:rPr>
        <w:t>]</w:t>
      </w:r>
      <w:r>
        <w:rPr>
          <w:rFonts w:hint="eastAsia"/>
        </w:rPr>
        <w:t>商事法院专属管辖，适用法国法律（《商法典》及《民法典》）；</w:t>
      </w:r>
      <w:r>
        <w:t xml:space="preserve"> - </w:t>
      </w:r>
      <w:r>
        <w:rPr>
          <w:rFonts w:hint="eastAsia"/>
          <w:b/>
          <w:bCs/>
        </w:rPr>
        <w:t>【国际仲裁方案】</w:t>
      </w:r>
      <w:r>
        <w:rPr>
          <w:rFonts w:hint="eastAsia"/>
        </w:rPr>
        <w:t>国际商会（</w:t>
      </w:r>
      <w:r>
        <w:rPr>
          <w:rFonts w:hint="eastAsia"/>
        </w:rPr>
        <w:t>ICC</w:t>
      </w:r>
      <w:r>
        <w:rPr>
          <w:rFonts w:hint="eastAsia"/>
        </w:rPr>
        <w:t>）仲裁，仲裁地</w:t>
      </w:r>
      <w:r>
        <w:rPr>
          <w:rFonts w:hint="eastAsia"/>
        </w:rPr>
        <w:t>[</w:t>
      </w:r>
      <w:r>
        <w:rPr>
          <w:rFonts w:hint="eastAsia"/>
        </w:rPr>
        <w:t>城市</w:t>
      </w:r>
      <w:r>
        <w:rPr>
          <w:rFonts w:hint="eastAsia"/>
        </w:rPr>
        <w:t>]</w:t>
      </w:r>
      <w:r>
        <w:rPr>
          <w:rFonts w:hint="eastAsia"/>
        </w:rPr>
        <w:t>，以法语进行。</w:t>
      </w:r>
    </w:p>
    <w:p w14:paraId="3D3C3DDE" w14:textId="77777777" w:rsidR="00533B9C" w:rsidRDefault="00000000">
      <w:pPr>
        <w:pStyle w:val="BodyText"/>
      </w:pPr>
      <w:r>
        <w:rPr>
          <w:i/>
          <w:iCs/>
        </w:rPr>
        <w:t>[À trancher — recommandation [[Renard]] : voir Note finale]</w:t>
      </w:r>
    </w:p>
    <w:p w14:paraId="6DC174FB" w14:textId="77777777" w:rsidR="00533B9C" w:rsidRDefault="00000000">
      <w:pPr>
        <w:pStyle w:val="Heading3"/>
      </w:pPr>
      <w:bookmarkStart w:id="31" w:name="article-15-droit-applicable-第十五条-适用法律"/>
      <w:bookmarkEnd w:id="30"/>
      <w:r>
        <w:t xml:space="preserve">Article 15 — Droit applicable | </w:t>
      </w:r>
      <w:r>
        <w:rPr>
          <w:rFonts w:hint="eastAsia"/>
        </w:rPr>
        <w:t>第十五条</w:t>
      </w:r>
      <w:r>
        <w:t xml:space="preserve"> — </w:t>
      </w:r>
      <w:r>
        <w:rPr>
          <w:rFonts w:hint="eastAsia"/>
        </w:rPr>
        <w:t>适用法律</w:t>
      </w:r>
    </w:p>
    <w:p w14:paraId="4B1E4A1C" w14:textId="77777777" w:rsidR="00533B9C" w:rsidRDefault="00000000">
      <w:pPr>
        <w:pStyle w:val="FirstParagraph"/>
      </w:pPr>
      <w:r>
        <w:t xml:space="preserve">Le présent accord est régi et interprété conformément au droit </w:t>
      </w:r>
      <w:r>
        <w:rPr>
          <w:b/>
          <w:bCs/>
        </w:rPr>
        <w:t>[belge — CSA/WVV et Code civil belge / français — Code de commerce et Code civil]</w:t>
      </w:r>
      <w:r>
        <w:t>.</w:t>
      </w:r>
    </w:p>
    <w:p w14:paraId="640DF38E" w14:textId="77777777" w:rsidR="00533B9C" w:rsidRDefault="00000000">
      <w:pPr>
        <w:pStyle w:val="BodyText"/>
      </w:pPr>
      <w:r>
        <w:rPr>
          <w:rFonts w:hint="eastAsia"/>
        </w:rPr>
        <w:t>本协议依</w:t>
      </w:r>
      <w:r>
        <w:rPr>
          <w:rFonts w:hint="eastAsia"/>
          <w:b/>
          <w:bCs/>
        </w:rPr>
        <w:t>[</w:t>
      </w:r>
      <w:r>
        <w:rPr>
          <w:rFonts w:hint="eastAsia"/>
          <w:b/>
          <w:bCs/>
        </w:rPr>
        <w:t>比利时法律——《公司与协会法典》（</w:t>
      </w:r>
      <w:r>
        <w:rPr>
          <w:rFonts w:hint="eastAsia"/>
          <w:b/>
          <w:bCs/>
        </w:rPr>
        <w:t>CSA/WVV</w:t>
      </w:r>
      <w:r>
        <w:rPr>
          <w:rFonts w:hint="eastAsia"/>
          <w:b/>
          <w:bCs/>
        </w:rPr>
        <w:t>）及比利时《民法典》</w:t>
      </w:r>
      <w:r>
        <w:rPr>
          <w:rFonts w:hint="eastAsia"/>
          <w:b/>
          <w:bCs/>
        </w:rPr>
        <w:t>/</w:t>
      </w:r>
      <w:r>
        <w:rPr>
          <w:rFonts w:hint="eastAsia"/>
          <w:b/>
          <w:bCs/>
        </w:rPr>
        <w:t>法国法律——《商法典》及《民法典》</w:t>
      </w:r>
      <w:r>
        <w:rPr>
          <w:rFonts w:hint="eastAsia"/>
          <w:b/>
          <w:bCs/>
        </w:rPr>
        <w:t>]</w:t>
      </w:r>
      <w:r>
        <w:rPr>
          <w:rFonts w:hint="eastAsia"/>
        </w:rPr>
        <w:t>规制和解释。</w:t>
      </w:r>
    </w:p>
    <w:p w14:paraId="44B88CA2" w14:textId="77777777" w:rsidR="00533B9C" w:rsidRDefault="00000000">
      <w:pPr>
        <w:pStyle w:val="BodyText"/>
      </w:pPr>
      <w:r>
        <w:rPr>
          <w:i/>
          <w:iCs/>
        </w:rPr>
        <w:t>[À trancher — recommandation [[Renard]] : voir Note finale]</w:t>
      </w:r>
    </w:p>
    <w:p w14:paraId="06457132" w14:textId="77777777" w:rsidR="00533B9C" w:rsidRDefault="00000000">
      <w:pPr>
        <w:pStyle w:val="Heading3"/>
      </w:pPr>
      <w:bookmarkStart w:id="32" w:name="article-16-langue-de-référence-第十六条-参考语言"/>
      <w:bookmarkEnd w:id="31"/>
      <w:r>
        <w:t xml:space="preserve">Article 16 — Langue de référence | </w:t>
      </w:r>
      <w:r>
        <w:rPr>
          <w:rFonts w:hint="eastAsia"/>
        </w:rPr>
        <w:t>第十六条</w:t>
      </w:r>
      <w:r>
        <w:t xml:space="preserve"> — </w:t>
      </w:r>
      <w:r>
        <w:rPr>
          <w:rFonts w:hint="eastAsia"/>
        </w:rPr>
        <w:t>参考语言</w:t>
      </w:r>
    </w:p>
    <w:p w14:paraId="71F13103" w14:textId="77777777" w:rsidR="00533B9C" w:rsidRDefault="00000000">
      <w:pPr>
        <w:pStyle w:val="FirstParagraph"/>
      </w:pPr>
      <w:r>
        <w:t>Le présent accord est rédigé en langue française, qui constitue la version de référence. Une version en langue chinoise peut être établie à titre de traduction, mais la version française prévaut en cas de divergence d’interprétation.</w:t>
      </w:r>
    </w:p>
    <w:p w14:paraId="03D6DC5A" w14:textId="77777777" w:rsidR="00533B9C" w:rsidRDefault="00000000">
      <w:pPr>
        <w:pStyle w:val="BodyText"/>
      </w:pPr>
      <w:r>
        <w:rPr>
          <w:rFonts w:hint="eastAsia"/>
        </w:rPr>
        <w:lastRenderedPageBreak/>
        <w:t>本协议以法语起草，法语版本为参考版本。中文版本可作为译本制备，但如在解释上存在分歧，以法语版本为准。</w:t>
      </w:r>
    </w:p>
    <w:p w14:paraId="31144024" w14:textId="77777777" w:rsidR="00533B9C" w:rsidRDefault="00000000">
      <w:pPr>
        <w:pStyle w:val="Heading3"/>
      </w:pPr>
      <w:bookmarkStart w:id="33" w:name="article-17-confidentialité-第十七条-保密"/>
      <w:bookmarkEnd w:id="32"/>
      <w:r>
        <w:t xml:space="preserve">Article 17 — Confidentialité | </w:t>
      </w:r>
      <w:r>
        <w:rPr>
          <w:rFonts w:hint="eastAsia"/>
        </w:rPr>
        <w:t>第十七条</w:t>
      </w:r>
      <w:r>
        <w:t xml:space="preserve"> — </w:t>
      </w:r>
      <w:r>
        <w:rPr>
          <w:rFonts w:hint="eastAsia"/>
        </w:rPr>
        <w:t>保密</w:t>
      </w:r>
    </w:p>
    <w:p w14:paraId="70ED68A9" w14:textId="77777777" w:rsidR="00533B9C" w:rsidRDefault="00000000">
      <w:pPr>
        <w:pStyle w:val="FirstParagraph"/>
      </w:pPr>
      <w:r>
        <w:t xml:space="preserve">17.1. Le contenu du présent accord est </w:t>
      </w:r>
      <w:r>
        <w:rPr>
          <w:b/>
          <w:bCs/>
        </w:rPr>
        <w:t>strictement confidentiel</w:t>
      </w:r>
      <w:r>
        <w:t>. Les Parties s’engagent à ne pas le divulguer à des tiers, sauf : - Obligation légale ou réglementaire ; - Nécessité dans le cadre des formalités d’entrée au capital ; - Accord préalable écrit de toutes les Parties.</w:t>
      </w:r>
    </w:p>
    <w:p w14:paraId="5ED51573" w14:textId="77777777" w:rsidR="00533B9C" w:rsidRDefault="00000000">
      <w:pPr>
        <w:pStyle w:val="BodyText"/>
      </w:pPr>
      <w:r>
        <w:t xml:space="preserve">17.1. </w:t>
      </w:r>
      <w:r>
        <w:rPr>
          <w:rFonts w:hint="eastAsia"/>
        </w:rPr>
        <w:t>本协议内容</w:t>
      </w:r>
      <w:r>
        <w:rPr>
          <w:rFonts w:hint="eastAsia"/>
          <w:b/>
          <w:bCs/>
        </w:rPr>
        <w:t>严格保密</w:t>
      </w:r>
      <w:r>
        <w:rPr>
          <w:rFonts w:hint="eastAsia"/>
        </w:rPr>
        <w:t>。各方承诺不向第三方披露，但以下情形除外：</w:t>
      </w:r>
      <w:r>
        <w:t xml:space="preserve"> - </w:t>
      </w:r>
      <w:r>
        <w:rPr>
          <w:rFonts w:hint="eastAsia"/>
        </w:rPr>
        <w:t>法律或监管义务；</w:t>
      </w:r>
      <w:r>
        <w:t xml:space="preserve"> - </w:t>
      </w:r>
      <w:r>
        <w:rPr>
          <w:rFonts w:hint="eastAsia"/>
        </w:rPr>
        <w:t>入股手续所必需；</w:t>
      </w:r>
      <w:r>
        <w:t xml:space="preserve"> - </w:t>
      </w:r>
      <w:r>
        <w:rPr>
          <w:rFonts w:hint="eastAsia"/>
        </w:rPr>
        <w:t>全体各方事先书面同意。</w:t>
      </w:r>
    </w:p>
    <w:p w14:paraId="74D4E65C" w14:textId="77777777" w:rsidR="00533B9C" w:rsidRDefault="00000000">
      <w:pPr>
        <w:pStyle w:val="BodyText"/>
      </w:pPr>
      <w:r>
        <w:t>17.2. Les conseils, avocats, auditeurs et experts mandatés dans le cadre de l’exécution du présent accord sont soumis à la même obligation de confidentialité.</w:t>
      </w:r>
    </w:p>
    <w:p w14:paraId="58148562" w14:textId="77777777" w:rsidR="00533B9C" w:rsidRDefault="00000000">
      <w:pPr>
        <w:pStyle w:val="BodyText"/>
      </w:pPr>
      <w:r>
        <w:t xml:space="preserve">17.2. </w:t>
      </w:r>
      <w:r>
        <w:rPr>
          <w:rFonts w:hint="eastAsia"/>
        </w:rPr>
        <w:t>受委托参与本协议执行的顾问、律师、审计师及专家承担相同的保密义务。</w:t>
      </w:r>
    </w:p>
    <w:p w14:paraId="2FA4D8EF" w14:textId="77777777" w:rsidR="00533B9C" w:rsidRDefault="00000000">
      <w:pPr>
        <w:pStyle w:val="Heading3"/>
      </w:pPr>
      <w:bookmarkStart w:id="34" w:name="article-18-modifications-第十八条-修改"/>
      <w:bookmarkEnd w:id="33"/>
      <w:r>
        <w:t xml:space="preserve">Article 18 — Modifications | </w:t>
      </w:r>
      <w:r>
        <w:rPr>
          <w:rFonts w:hint="eastAsia"/>
        </w:rPr>
        <w:t>第十八条</w:t>
      </w:r>
      <w:r>
        <w:t xml:space="preserve"> — </w:t>
      </w:r>
      <w:r>
        <w:rPr>
          <w:rFonts w:hint="eastAsia"/>
        </w:rPr>
        <w:t>修改</w:t>
      </w:r>
    </w:p>
    <w:p w14:paraId="622321D6" w14:textId="77777777" w:rsidR="00533B9C" w:rsidRDefault="00000000">
      <w:pPr>
        <w:pStyle w:val="FirstParagraph"/>
      </w:pPr>
      <w:r>
        <w:t>Toute modification du présent accord doit faire l’objet d’un avenant écrit, signé par l’ensemble des Parties.</w:t>
      </w:r>
    </w:p>
    <w:p w14:paraId="0177CAED" w14:textId="77777777" w:rsidR="00533B9C" w:rsidRDefault="00000000">
      <w:pPr>
        <w:pStyle w:val="BodyText"/>
      </w:pPr>
      <w:r>
        <w:rPr>
          <w:rFonts w:hint="eastAsia"/>
        </w:rPr>
        <w:t>本协议的任何修改须以书面补充协议形式作出，并由全体各方签署。</w:t>
      </w:r>
    </w:p>
    <w:p w14:paraId="48CF1EBA" w14:textId="77777777" w:rsidR="00533B9C" w:rsidRDefault="00000000">
      <w:pPr>
        <w:pStyle w:val="Heading3"/>
      </w:pPr>
      <w:bookmarkStart w:id="35" w:name="article-19-indivisibilité-第十九条-不可分割性"/>
      <w:bookmarkEnd w:id="34"/>
      <w:r>
        <w:t xml:space="preserve">Article 19 — Indivisibilité | </w:t>
      </w:r>
      <w:r>
        <w:rPr>
          <w:rFonts w:hint="eastAsia"/>
        </w:rPr>
        <w:t>第十九条</w:t>
      </w:r>
      <w:r>
        <w:t xml:space="preserve"> — </w:t>
      </w:r>
      <w:r>
        <w:rPr>
          <w:rFonts w:hint="eastAsia"/>
        </w:rPr>
        <w:t>不可分割性</w:t>
      </w:r>
    </w:p>
    <w:p w14:paraId="13BFDAC7" w14:textId="77777777" w:rsidR="00533B9C" w:rsidRDefault="00000000">
      <w:pPr>
        <w:pStyle w:val="FirstParagraph"/>
      </w:pPr>
      <w:r>
        <w:t>Le présent accord forme un tout indivisible avec ses Annexes. Il complète le Contrat Cadre sans le modifier. En cas de contradiction entre le présent accord et le Contrat Cadre sur les points couverts par le présent accord, le présent accord prévaut.</w:t>
      </w:r>
    </w:p>
    <w:p w14:paraId="6FCB452A" w14:textId="77777777" w:rsidR="00533B9C" w:rsidRDefault="00000000">
      <w:pPr>
        <w:pStyle w:val="BodyText"/>
      </w:pPr>
      <w:r>
        <w:rPr>
          <w:rFonts w:hint="eastAsia"/>
        </w:rPr>
        <w:t>本协议与其附件构成不可分割的整体。本协议对框架协议进行补充，但不予修改。就本协议所涵盖事项，本协议与框架协议存在矛盾时，以本协议为准。</w:t>
      </w:r>
    </w:p>
    <w:p w14:paraId="7180E6F2" w14:textId="77777777" w:rsidR="00533B9C" w:rsidRDefault="00000000">
      <w:pPr>
        <w:pStyle w:val="Heading3"/>
      </w:pPr>
      <w:bookmarkStart w:id="36" w:name="article-20-nullité-partielle-第二十条-部分无效"/>
      <w:bookmarkEnd w:id="35"/>
      <w:r>
        <w:t xml:space="preserve">Article 20 — Nullité partielle | </w:t>
      </w:r>
      <w:r>
        <w:rPr>
          <w:rFonts w:hint="eastAsia"/>
        </w:rPr>
        <w:t>第二十条</w:t>
      </w:r>
      <w:r>
        <w:t xml:space="preserve"> — </w:t>
      </w:r>
      <w:r>
        <w:rPr>
          <w:rFonts w:hint="eastAsia"/>
        </w:rPr>
        <w:t>部分无效</w:t>
      </w:r>
    </w:p>
    <w:p w14:paraId="78D606D9" w14:textId="77777777" w:rsidR="00533B9C" w:rsidRDefault="00000000">
      <w:pPr>
        <w:pStyle w:val="FirstParagraph"/>
      </w:pPr>
      <w:r>
        <w:t>Si l’une quelconque des clauses du présent accord est déclarée nulle, non écrite ou inapplicable, les autres clauses demeurent pleinement en vigueur. Les Parties s’engagent à négocier de bonne foi une clause de remplacement produisant des effets économiques équivalents.</w:t>
      </w:r>
    </w:p>
    <w:p w14:paraId="3E5D6115" w14:textId="77777777" w:rsidR="00533B9C" w:rsidRDefault="00000000">
      <w:pPr>
        <w:pStyle w:val="BodyText"/>
      </w:pPr>
      <w:r>
        <w:rPr>
          <w:rFonts w:hint="eastAsia"/>
        </w:rPr>
        <w:t>若本协议任何条款被认定为无效、视为未写入或不可执行，其余条款继续完全有效。各方承诺诚实信用地谈判制定产生同等经济效果的替代条款。</w:t>
      </w:r>
    </w:p>
    <w:p w14:paraId="45D1B98E" w14:textId="77777777" w:rsidR="00533B9C" w:rsidRDefault="00000000">
      <w:pPr>
        <w:pStyle w:val="Heading3"/>
      </w:pPr>
      <w:bookmarkStart w:id="37" w:name="article-21-entrée-en-vigueur-第二十一条-生效"/>
      <w:bookmarkEnd w:id="36"/>
      <w:r>
        <w:t xml:space="preserve">Article 21 — Entrée en vigueur | </w:t>
      </w:r>
      <w:r>
        <w:rPr>
          <w:rFonts w:hint="eastAsia"/>
        </w:rPr>
        <w:t>第二十一条</w:t>
      </w:r>
      <w:r>
        <w:t xml:space="preserve"> — </w:t>
      </w:r>
      <w:r>
        <w:rPr>
          <w:rFonts w:hint="eastAsia"/>
        </w:rPr>
        <w:t>生效</w:t>
      </w:r>
    </w:p>
    <w:p w14:paraId="19C846B1" w14:textId="77777777" w:rsidR="00533B9C" w:rsidRDefault="00000000">
      <w:pPr>
        <w:pStyle w:val="FirstParagraph"/>
      </w:pPr>
      <w:r>
        <w:t>Le présent accord entre en vigueur dès sa signature par l’ensemble des Parties.</w:t>
      </w:r>
    </w:p>
    <w:p w14:paraId="334CC06E" w14:textId="77777777" w:rsidR="00533B9C" w:rsidRDefault="00000000">
      <w:pPr>
        <w:pStyle w:val="BodyText"/>
      </w:pPr>
      <w:r>
        <w:rPr>
          <w:rFonts w:hint="eastAsia"/>
        </w:rPr>
        <w:t>本协议自全体各方签署之日起生效。</w:t>
      </w:r>
    </w:p>
    <w:p w14:paraId="227F046B" w14:textId="77777777" w:rsidR="00533B9C" w:rsidRDefault="00423071">
      <w:r>
        <w:rPr>
          <w:noProof/>
        </w:rPr>
      </w:r>
      <w:r>
        <w:pict w14:anchorId="7279C5DD">
          <v:rect id="Horizontal Line 13" o:spid="_x0000_s1031"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6A21227A" w14:textId="77777777" w:rsidR="00533B9C" w:rsidRDefault="00000000">
      <w:pPr>
        <w:pStyle w:val="Heading2"/>
      </w:pPr>
      <w:bookmarkStart w:id="38" w:name="signatures-签署"/>
      <w:bookmarkEnd w:id="29"/>
      <w:bookmarkEnd w:id="37"/>
      <w:r>
        <w:t xml:space="preserve">SIGNATURES | </w:t>
      </w:r>
      <w:r>
        <w:rPr>
          <w:rFonts w:hint="eastAsia"/>
        </w:rPr>
        <w:t>签署</w:t>
      </w:r>
    </w:p>
    <w:p w14:paraId="74F61015" w14:textId="77777777" w:rsidR="00533B9C" w:rsidRDefault="00000000">
      <w:pPr>
        <w:pStyle w:val="FirstParagraph"/>
      </w:pPr>
      <w:r>
        <w:t xml:space="preserve">Fait à [LIEU], le [DATE], en </w:t>
      </w:r>
      <w:r>
        <w:rPr>
          <w:b/>
          <w:bCs/>
        </w:rPr>
        <w:t>[X] exemplaires originaux</w:t>
      </w:r>
      <w:r>
        <w:t>, un par Partie.</w:t>
      </w:r>
    </w:p>
    <w:p w14:paraId="1ED3DB75" w14:textId="77777777" w:rsidR="00533B9C" w:rsidRDefault="00000000">
      <w:pPr>
        <w:pStyle w:val="BodyText"/>
      </w:pPr>
      <w:r>
        <w:rPr>
          <w:rFonts w:hint="eastAsia"/>
        </w:rPr>
        <w:t>于</w:t>
      </w:r>
      <w:r>
        <w:rPr>
          <w:rFonts w:hint="eastAsia"/>
        </w:rPr>
        <w:t>[</w:t>
      </w:r>
      <w:r>
        <w:rPr>
          <w:rFonts w:hint="eastAsia"/>
        </w:rPr>
        <w:t>地点</w:t>
      </w:r>
      <w:r>
        <w:rPr>
          <w:rFonts w:hint="eastAsia"/>
        </w:rPr>
        <w:t>]</w:t>
      </w:r>
      <w:r>
        <w:rPr>
          <w:rFonts w:hint="eastAsia"/>
        </w:rPr>
        <w:t>签署，日期</w:t>
      </w:r>
      <w:r>
        <w:rPr>
          <w:rFonts w:hint="eastAsia"/>
        </w:rPr>
        <w:t>[</w:t>
      </w:r>
      <w:r>
        <w:rPr>
          <w:rFonts w:hint="eastAsia"/>
        </w:rPr>
        <w:t>日期</w:t>
      </w:r>
      <w:r>
        <w:rPr>
          <w:rFonts w:hint="eastAsia"/>
        </w:rPr>
        <w:t>]</w:t>
      </w:r>
      <w:r>
        <w:rPr>
          <w:rFonts w:hint="eastAsia"/>
        </w:rPr>
        <w:t>，共</w:t>
      </w:r>
      <w:r>
        <w:rPr>
          <w:rFonts w:hint="eastAsia"/>
          <w:b/>
          <w:bCs/>
        </w:rPr>
        <w:t>[X]</w:t>
      </w:r>
      <w:r>
        <w:rPr>
          <w:rFonts w:hint="eastAsia"/>
          <w:b/>
          <w:bCs/>
        </w:rPr>
        <w:t>份</w:t>
      </w:r>
      <w:r>
        <w:rPr>
          <w:rFonts w:hint="eastAsia"/>
        </w:rPr>
        <w:t>正本，各方各执一份。</w:t>
      </w:r>
    </w:p>
    <w:p w14:paraId="46620CD5" w14:textId="77777777" w:rsidR="00533B9C" w:rsidRDefault="00423071">
      <w:r>
        <w:rPr>
          <w:noProof/>
        </w:rPr>
      </w:r>
      <w:r>
        <w:pict w14:anchorId="6B7FF429">
          <v:rect id="Horizontal Line 14" o:spid="_x0000_s1030"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093C1119" w14:textId="77777777" w:rsidR="00533B9C" w:rsidRDefault="00000000">
      <w:pPr>
        <w:pStyle w:val="FirstParagraph"/>
      </w:pPr>
      <w:r>
        <w:rPr>
          <w:b/>
          <w:bCs/>
        </w:rPr>
        <w:t xml:space="preserve">Pour les Fondateurs de VETALYX | </w:t>
      </w:r>
      <w:r>
        <w:rPr>
          <w:rFonts w:hint="eastAsia"/>
          <w:b/>
          <w:bCs/>
        </w:rPr>
        <w:t>VETALYX</w:t>
      </w:r>
      <w:r>
        <w:rPr>
          <w:rFonts w:hint="eastAsia"/>
          <w:b/>
          <w:bCs/>
        </w:rPr>
        <w:t>创始人代表：</w:t>
      </w:r>
    </w:p>
    <w:tbl>
      <w:tblPr>
        <w:tblStyle w:val="Table"/>
        <w:tblW w:w="5000" w:type="pct"/>
        <w:tblInd w:w="0" w:type="dxa"/>
        <w:tblLayout w:type="fixed"/>
        <w:tblLook w:val="04A0" w:firstRow="1" w:lastRow="0" w:firstColumn="1" w:lastColumn="0" w:noHBand="0" w:noVBand="1"/>
      </w:tblPr>
      <w:tblGrid>
        <w:gridCol w:w="1385"/>
        <w:gridCol w:w="1385"/>
        <w:gridCol w:w="1384"/>
        <w:gridCol w:w="1384"/>
        <w:gridCol w:w="1384"/>
        <w:gridCol w:w="1384"/>
      </w:tblGrid>
      <w:tr w:rsidR="00533B9C" w14:paraId="37D3C971" w14:textId="77777777" w:rsidTr="00533B9C">
        <w:trPr>
          <w:cnfStyle w:val="100000000000" w:firstRow="1" w:lastRow="0" w:firstColumn="0" w:lastColumn="0" w:oddVBand="0" w:evenVBand="0" w:oddHBand="0" w:evenHBand="0" w:firstRowFirstColumn="0" w:firstRowLastColumn="0" w:lastRowFirstColumn="0" w:lastRowLastColumn="0"/>
          <w:tblHeader/>
        </w:trPr>
        <w:tc>
          <w:tcPr>
            <w:tcW w:w="1420" w:type="dxa"/>
          </w:tcPr>
          <w:p w14:paraId="6068918B" w14:textId="77777777" w:rsidR="00533B9C" w:rsidRDefault="00000000">
            <w:pPr>
              <w:pStyle w:val="Compact"/>
            </w:pPr>
            <w:r>
              <w:t>Fondateur</w:t>
            </w:r>
          </w:p>
        </w:tc>
        <w:tc>
          <w:tcPr>
            <w:tcW w:w="1420" w:type="dxa"/>
          </w:tcPr>
          <w:p w14:paraId="26A47ACF" w14:textId="77777777" w:rsidR="00533B9C" w:rsidRDefault="00000000">
            <w:pPr>
              <w:pStyle w:val="Compact"/>
            </w:pPr>
            <w:r>
              <w:t>Signature</w:t>
            </w:r>
          </w:p>
        </w:tc>
        <w:tc>
          <w:tcPr>
            <w:tcW w:w="1420" w:type="dxa"/>
          </w:tcPr>
          <w:p w14:paraId="0F080D9A" w14:textId="77777777" w:rsidR="00533B9C" w:rsidRDefault="00000000">
            <w:pPr>
              <w:pStyle w:val="Compact"/>
            </w:pPr>
            <w:r>
              <w:t>Date</w:t>
            </w:r>
          </w:p>
        </w:tc>
        <w:tc>
          <w:tcPr>
            <w:tcW w:w="1420" w:type="dxa"/>
          </w:tcPr>
          <w:p w14:paraId="259A6BDC" w14:textId="77777777" w:rsidR="00533B9C" w:rsidRDefault="00000000">
            <w:pPr>
              <w:pStyle w:val="Compact"/>
            </w:pPr>
            <w:r>
              <w:rPr>
                <w:rFonts w:hint="eastAsia"/>
              </w:rPr>
              <w:t>创始人</w:t>
            </w:r>
          </w:p>
        </w:tc>
        <w:tc>
          <w:tcPr>
            <w:tcW w:w="1420" w:type="dxa"/>
          </w:tcPr>
          <w:p w14:paraId="3A508F1E" w14:textId="77777777" w:rsidR="00533B9C" w:rsidRDefault="00000000">
            <w:pPr>
              <w:pStyle w:val="Compact"/>
            </w:pPr>
            <w:r>
              <w:rPr>
                <w:rFonts w:hint="eastAsia"/>
              </w:rPr>
              <w:t>签名</w:t>
            </w:r>
          </w:p>
        </w:tc>
        <w:tc>
          <w:tcPr>
            <w:tcW w:w="1420" w:type="dxa"/>
          </w:tcPr>
          <w:p w14:paraId="42FE7B7A" w14:textId="77777777" w:rsidR="00533B9C" w:rsidRDefault="00000000">
            <w:pPr>
              <w:pStyle w:val="Compact"/>
            </w:pPr>
            <w:r>
              <w:rPr>
                <w:rFonts w:hint="eastAsia"/>
              </w:rPr>
              <w:t>日期</w:t>
            </w:r>
          </w:p>
        </w:tc>
      </w:tr>
      <w:tr w:rsidR="00533B9C" w14:paraId="3AC8742C" w14:textId="77777777" w:rsidTr="00533B9C">
        <w:tc>
          <w:tcPr>
            <w:tcW w:w="1420" w:type="dxa"/>
          </w:tcPr>
          <w:p w14:paraId="52E3D0E3" w14:textId="77777777" w:rsidR="00533B9C" w:rsidRDefault="00000000">
            <w:pPr>
              <w:pStyle w:val="Compact"/>
            </w:pPr>
            <w:r>
              <w:t>[PRÉNOM NOM]</w:t>
            </w:r>
          </w:p>
        </w:tc>
        <w:tc>
          <w:tcPr>
            <w:tcW w:w="1420" w:type="dxa"/>
          </w:tcPr>
          <w:p w14:paraId="7A9A19CE" w14:textId="77777777" w:rsidR="00533B9C" w:rsidRDefault="00000000">
            <w:pPr>
              <w:pStyle w:val="Compact"/>
            </w:pPr>
            <w:r>
              <w:t>__________________</w:t>
            </w:r>
          </w:p>
        </w:tc>
        <w:tc>
          <w:tcPr>
            <w:tcW w:w="1420" w:type="dxa"/>
          </w:tcPr>
          <w:p w14:paraId="08D17055" w14:textId="77777777" w:rsidR="00533B9C" w:rsidRDefault="00000000">
            <w:pPr>
              <w:pStyle w:val="Compact"/>
            </w:pPr>
            <w:r>
              <w:t>__________</w:t>
            </w:r>
          </w:p>
        </w:tc>
        <w:tc>
          <w:tcPr>
            <w:tcW w:w="1420" w:type="dxa"/>
          </w:tcPr>
          <w:p w14:paraId="65CF1484" w14:textId="77777777" w:rsidR="00533B9C" w:rsidRDefault="00000000">
            <w:pPr>
              <w:pStyle w:val="Compact"/>
            </w:pPr>
            <w:r>
              <w:rPr>
                <w:rFonts w:hint="eastAsia"/>
              </w:rPr>
              <w:t>[</w:t>
            </w:r>
            <w:r>
              <w:rPr>
                <w:rFonts w:hint="eastAsia"/>
              </w:rPr>
              <w:t>姓名</w:t>
            </w:r>
            <w:r>
              <w:rPr>
                <w:rFonts w:hint="eastAsia"/>
              </w:rPr>
              <w:t>]</w:t>
            </w:r>
          </w:p>
        </w:tc>
        <w:tc>
          <w:tcPr>
            <w:tcW w:w="1420" w:type="dxa"/>
          </w:tcPr>
          <w:p w14:paraId="1E9D8C16" w14:textId="77777777" w:rsidR="00533B9C" w:rsidRDefault="00000000">
            <w:pPr>
              <w:pStyle w:val="Compact"/>
            </w:pPr>
            <w:r>
              <w:t>__________________</w:t>
            </w:r>
          </w:p>
        </w:tc>
        <w:tc>
          <w:tcPr>
            <w:tcW w:w="1420" w:type="dxa"/>
          </w:tcPr>
          <w:p w14:paraId="5452E92A" w14:textId="77777777" w:rsidR="00533B9C" w:rsidRDefault="00000000">
            <w:pPr>
              <w:pStyle w:val="Compact"/>
            </w:pPr>
            <w:r>
              <w:t>__________</w:t>
            </w:r>
          </w:p>
        </w:tc>
      </w:tr>
      <w:tr w:rsidR="00533B9C" w14:paraId="76225A88" w14:textId="77777777" w:rsidTr="00533B9C">
        <w:tc>
          <w:tcPr>
            <w:tcW w:w="1420" w:type="dxa"/>
          </w:tcPr>
          <w:p w14:paraId="0BC7C89A" w14:textId="77777777" w:rsidR="00533B9C" w:rsidRDefault="00000000">
            <w:pPr>
              <w:pStyle w:val="Compact"/>
            </w:pPr>
            <w:r>
              <w:t>[PRÉNOM NOM]</w:t>
            </w:r>
          </w:p>
        </w:tc>
        <w:tc>
          <w:tcPr>
            <w:tcW w:w="1420" w:type="dxa"/>
          </w:tcPr>
          <w:p w14:paraId="64EECA92" w14:textId="77777777" w:rsidR="00533B9C" w:rsidRDefault="00000000">
            <w:pPr>
              <w:pStyle w:val="Compact"/>
            </w:pPr>
            <w:r>
              <w:t>__________________</w:t>
            </w:r>
          </w:p>
        </w:tc>
        <w:tc>
          <w:tcPr>
            <w:tcW w:w="1420" w:type="dxa"/>
          </w:tcPr>
          <w:p w14:paraId="0A677558" w14:textId="77777777" w:rsidR="00533B9C" w:rsidRDefault="00000000">
            <w:pPr>
              <w:pStyle w:val="Compact"/>
            </w:pPr>
            <w:r>
              <w:t>__________</w:t>
            </w:r>
          </w:p>
        </w:tc>
        <w:tc>
          <w:tcPr>
            <w:tcW w:w="1420" w:type="dxa"/>
          </w:tcPr>
          <w:p w14:paraId="14C81763" w14:textId="77777777" w:rsidR="00533B9C" w:rsidRDefault="00000000">
            <w:pPr>
              <w:pStyle w:val="Compact"/>
            </w:pPr>
            <w:r>
              <w:rPr>
                <w:rFonts w:hint="eastAsia"/>
              </w:rPr>
              <w:t>[</w:t>
            </w:r>
            <w:r>
              <w:rPr>
                <w:rFonts w:hint="eastAsia"/>
              </w:rPr>
              <w:t>姓名</w:t>
            </w:r>
            <w:r>
              <w:rPr>
                <w:rFonts w:hint="eastAsia"/>
              </w:rPr>
              <w:t>]</w:t>
            </w:r>
          </w:p>
        </w:tc>
        <w:tc>
          <w:tcPr>
            <w:tcW w:w="1420" w:type="dxa"/>
          </w:tcPr>
          <w:p w14:paraId="6C59F44F" w14:textId="77777777" w:rsidR="00533B9C" w:rsidRDefault="00000000">
            <w:pPr>
              <w:pStyle w:val="Compact"/>
            </w:pPr>
            <w:r>
              <w:t>__________________</w:t>
            </w:r>
          </w:p>
        </w:tc>
        <w:tc>
          <w:tcPr>
            <w:tcW w:w="1420" w:type="dxa"/>
          </w:tcPr>
          <w:p w14:paraId="3E0D69B1" w14:textId="77777777" w:rsidR="00533B9C" w:rsidRDefault="00000000">
            <w:pPr>
              <w:pStyle w:val="Compact"/>
            </w:pPr>
            <w:r>
              <w:t>__________</w:t>
            </w:r>
          </w:p>
        </w:tc>
      </w:tr>
      <w:tr w:rsidR="00533B9C" w14:paraId="4BA50231" w14:textId="77777777" w:rsidTr="00533B9C">
        <w:tc>
          <w:tcPr>
            <w:tcW w:w="1420" w:type="dxa"/>
          </w:tcPr>
          <w:p w14:paraId="4E52BF58" w14:textId="77777777" w:rsidR="00533B9C" w:rsidRDefault="00000000">
            <w:pPr>
              <w:pStyle w:val="Compact"/>
            </w:pPr>
            <w:r>
              <w:t>[PRÉNOM NOM]</w:t>
            </w:r>
          </w:p>
        </w:tc>
        <w:tc>
          <w:tcPr>
            <w:tcW w:w="1420" w:type="dxa"/>
          </w:tcPr>
          <w:p w14:paraId="239C7209" w14:textId="77777777" w:rsidR="00533B9C" w:rsidRDefault="00000000">
            <w:pPr>
              <w:pStyle w:val="Compact"/>
            </w:pPr>
            <w:r>
              <w:t>__________________</w:t>
            </w:r>
          </w:p>
        </w:tc>
        <w:tc>
          <w:tcPr>
            <w:tcW w:w="1420" w:type="dxa"/>
          </w:tcPr>
          <w:p w14:paraId="43CF88BA" w14:textId="77777777" w:rsidR="00533B9C" w:rsidRDefault="00000000">
            <w:pPr>
              <w:pStyle w:val="Compact"/>
            </w:pPr>
            <w:r>
              <w:t>__________</w:t>
            </w:r>
          </w:p>
        </w:tc>
        <w:tc>
          <w:tcPr>
            <w:tcW w:w="1420" w:type="dxa"/>
          </w:tcPr>
          <w:p w14:paraId="0BBD3006" w14:textId="77777777" w:rsidR="00533B9C" w:rsidRDefault="00000000">
            <w:pPr>
              <w:pStyle w:val="Compact"/>
            </w:pPr>
            <w:r>
              <w:rPr>
                <w:rFonts w:hint="eastAsia"/>
              </w:rPr>
              <w:t>[</w:t>
            </w:r>
            <w:r>
              <w:rPr>
                <w:rFonts w:hint="eastAsia"/>
              </w:rPr>
              <w:t>姓名</w:t>
            </w:r>
            <w:r>
              <w:rPr>
                <w:rFonts w:hint="eastAsia"/>
              </w:rPr>
              <w:t>]</w:t>
            </w:r>
          </w:p>
        </w:tc>
        <w:tc>
          <w:tcPr>
            <w:tcW w:w="1420" w:type="dxa"/>
          </w:tcPr>
          <w:p w14:paraId="73E81198" w14:textId="77777777" w:rsidR="00533B9C" w:rsidRDefault="00000000">
            <w:pPr>
              <w:pStyle w:val="Compact"/>
            </w:pPr>
            <w:r>
              <w:t>__________________</w:t>
            </w:r>
          </w:p>
        </w:tc>
        <w:tc>
          <w:tcPr>
            <w:tcW w:w="1420" w:type="dxa"/>
          </w:tcPr>
          <w:p w14:paraId="28F7F5FF" w14:textId="77777777" w:rsidR="00533B9C" w:rsidRDefault="00000000">
            <w:pPr>
              <w:pStyle w:val="Compact"/>
            </w:pPr>
            <w:r>
              <w:t>__________</w:t>
            </w:r>
          </w:p>
        </w:tc>
      </w:tr>
      <w:tr w:rsidR="00533B9C" w14:paraId="47716A09" w14:textId="77777777" w:rsidTr="00533B9C">
        <w:tc>
          <w:tcPr>
            <w:tcW w:w="1420" w:type="dxa"/>
          </w:tcPr>
          <w:p w14:paraId="1451E161" w14:textId="77777777" w:rsidR="00533B9C" w:rsidRDefault="00000000">
            <w:pPr>
              <w:pStyle w:val="Compact"/>
            </w:pPr>
            <w:r>
              <w:t>Jean-Christophe HAVAUX</w:t>
            </w:r>
          </w:p>
        </w:tc>
        <w:tc>
          <w:tcPr>
            <w:tcW w:w="1420" w:type="dxa"/>
          </w:tcPr>
          <w:p w14:paraId="0C6635BF" w14:textId="77777777" w:rsidR="00533B9C" w:rsidRDefault="00000000">
            <w:pPr>
              <w:pStyle w:val="Compact"/>
            </w:pPr>
            <w:r>
              <w:t>__________________</w:t>
            </w:r>
          </w:p>
        </w:tc>
        <w:tc>
          <w:tcPr>
            <w:tcW w:w="1420" w:type="dxa"/>
          </w:tcPr>
          <w:p w14:paraId="243FF5F8" w14:textId="77777777" w:rsidR="00533B9C" w:rsidRDefault="00000000">
            <w:pPr>
              <w:pStyle w:val="Compact"/>
            </w:pPr>
            <w:r>
              <w:t>__________</w:t>
            </w:r>
          </w:p>
        </w:tc>
        <w:tc>
          <w:tcPr>
            <w:tcW w:w="1420" w:type="dxa"/>
          </w:tcPr>
          <w:p w14:paraId="44CBF99E" w14:textId="77777777" w:rsidR="00533B9C" w:rsidRDefault="00000000">
            <w:pPr>
              <w:pStyle w:val="Compact"/>
            </w:pPr>
            <w:r>
              <w:rPr>
                <w:rFonts w:hint="eastAsia"/>
              </w:rPr>
              <w:t>让</w:t>
            </w:r>
            <w:r>
              <w:rPr>
                <w:rFonts w:hint="eastAsia"/>
              </w:rPr>
              <w:t>-</w:t>
            </w:r>
            <w:r>
              <w:rPr>
                <w:rFonts w:hint="eastAsia"/>
              </w:rPr>
              <w:t>克里斯托夫·阿沃</w:t>
            </w:r>
          </w:p>
        </w:tc>
        <w:tc>
          <w:tcPr>
            <w:tcW w:w="1420" w:type="dxa"/>
          </w:tcPr>
          <w:p w14:paraId="60340A06" w14:textId="77777777" w:rsidR="00533B9C" w:rsidRDefault="00000000">
            <w:pPr>
              <w:pStyle w:val="Compact"/>
            </w:pPr>
            <w:r>
              <w:t>__________________</w:t>
            </w:r>
          </w:p>
        </w:tc>
        <w:tc>
          <w:tcPr>
            <w:tcW w:w="1420" w:type="dxa"/>
          </w:tcPr>
          <w:p w14:paraId="06DCD0B4" w14:textId="77777777" w:rsidR="00533B9C" w:rsidRDefault="00000000">
            <w:pPr>
              <w:pStyle w:val="Compact"/>
            </w:pPr>
            <w:r>
              <w:t>__________</w:t>
            </w:r>
          </w:p>
        </w:tc>
      </w:tr>
    </w:tbl>
    <w:p w14:paraId="4F0F0722" w14:textId="77777777" w:rsidR="00533B9C" w:rsidRDefault="00423071">
      <w:r>
        <w:rPr>
          <w:noProof/>
        </w:rPr>
      </w:r>
      <w:r>
        <w:pict w14:anchorId="22BFBE15">
          <v:rect id="Horizontal Line 15" o:spid="_x0000_s1029"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62D1F348" w14:textId="77777777" w:rsidR="00533B9C" w:rsidRDefault="00000000">
      <w:pPr>
        <w:pStyle w:val="FirstParagraph"/>
      </w:pPr>
      <w:r>
        <w:rPr>
          <w:b/>
          <w:bCs/>
        </w:rPr>
        <w:t xml:space="preserve">Pour DIAHO | </w:t>
      </w:r>
      <w:r>
        <w:rPr>
          <w:rFonts w:hint="eastAsia"/>
          <w:b/>
          <w:bCs/>
        </w:rPr>
        <w:t>迪鸿公司代表：</w:t>
      </w:r>
    </w:p>
    <w:p w14:paraId="1D93BD69" w14:textId="77777777" w:rsidR="00533B9C" w:rsidRDefault="00000000">
      <w:pPr>
        <w:pStyle w:val="BodyText"/>
      </w:pPr>
      <w:r>
        <w:t xml:space="preserve">[NOM DU REPRÉSENTANT LÉGAL] | </w:t>
      </w:r>
      <w:r>
        <w:rPr>
          <w:rFonts w:hint="eastAsia"/>
        </w:rPr>
        <w:t>[</w:t>
      </w:r>
      <w:r>
        <w:rPr>
          <w:rFonts w:hint="eastAsia"/>
        </w:rPr>
        <w:t>法定代表人姓名</w:t>
      </w:r>
      <w:r>
        <w:rPr>
          <w:rFonts w:hint="eastAsia"/>
        </w:rPr>
        <w:t>]</w:t>
      </w:r>
      <w:r>
        <w:br/>
        <w:t xml:space="preserve">Qualité : [TITRE] | </w:t>
      </w:r>
      <w:r>
        <w:rPr>
          <w:rFonts w:hint="eastAsia"/>
        </w:rPr>
        <w:t>职务：</w:t>
      </w:r>
      <w:r>
        <w:rPr>
          <w:rFonts w:hint="eastAsia"/>
        </w:rPr>
        <w:t>[</w:t>
      </w:r>
      <w:r>
        <w:rPr>
          <w:rFonts w:hint="eastAsia"/>
        </w:rPr>
        <w:t>职务</w:t>
      </w:r>
      <w:r>
        <w:rPr>
          <w:rFonts w:hint="eastAsia"/>
        </w:rPr>
        <w:t>]</w:t>
      </w:r>
      <w:r>
        <w:br/>
        <w:t xml:space="preserve">Signature : __________________ | </w:t>
      </w:r>
      <w:r>
        <w:rPr>
          <w:rFonts w:hint="eastAsia"/>
        </w:rPr>
        <w:t>签名：</w:t>
      </w:r>
      <w:r>
        <w:rPr>
          <w:rFonts w:hint="eastAsia"/>
        </w:rPr>
        <w:t>__________________</w:t>
      </w:r>
      <w:r>
        <w:br/>
        <w:t xml:space="preserve">Date : __________________ | </w:t>
      </w:r>
      <w:r>
        <w:rPr>
          <w:rFonts w:hint="eastAsia"/>
        </w:rPr>
        <w:t>日期：</w:t>
      </w:r>
      <w:r>
        <w:rPr>
          <w:rFonts w:hint="eastAsia"/>
        </w:rPr>
        <w:t>__________________</w:t>
      </w:r>
      <w:r>
        <w:br/>
        <w:t xml:space="preserve">Cachet de la société : ☐ | </w:t>
      </w:r>
      <w:r>
        <w:rPr>
          <w:rFonts w:hint="eastAsia"/>
        </w:rPr>
        <w:t>公司印章：☐</w:t>
      </w:r>
    </w:p>
    <w:p w14:paraId="06788C67" w14:textId="77777777" w:rsidR="00533B9C" w:rsidRDefault="00423071">
      <w:r>
        <w:rPr>
          <w:noProof/>
        </w:rPr>
      </w:r>
      <w:r>
        <w:pict w14:anchorId="399B0F49">
          <v:rect id="Horizontal Line 16" o:spid="_x0000_s1028"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6D37C1CC" w14:textId="77777777" w:rsidR="00533B9C" w:rsidRDefault="00000000">
      <w:pPr>
        <w:pStyle w:val="Heading2"/>
      </w:pPr>
      <w:bookmarkStart w:id="39" w:name="X83fa8b9c501b4131b2bbdab26caebe783260d08"/>
      <w:bookmarkEnd w:id="38"/>
      <w:r>
        <w:t xml:space="preserve">ANNEXE A — LISTE DES ACTIFS DE PROPRIÉTÉ INTELLECTUELLE APPORTÉS PAR DIAHO | </w:t>
      </w:r>
      <w:commentRangeStart w:id="40"/>
      <w:r>
        <w:rPr>
          <w:rFonts w:hint="eastAsia"/>
        </w:rPr>
        <w:t>附件</w:t>
      </w:r>
      <w:r>
        <w:rPr>
          <w:rFonts w:hint="eastAsia"/>
        </w:rPr>
        <w:t>A</w:t>
      </w:r>
      <w:r>
        <w:t xml:space="preserve"> — </w:t>
      </w:r>
      <w:r>
        <w:rPr>
          <w:rFonts w:hint="eastAsia"/>
        </w:rPr>
        <w:t>迪鸿出资的知识产权资产清单</w:t>
      </w:r>
      <w:commentRangeEnd w:id="40"/>
      <w:r>
        <w:rPr>
          <w:rStyle w:val="CommentReference"/>
          <w:sz w:val="32"/>
          <w:szCs w:val="32"/>
        </w:rPr>
        <w:commentReference w:id="40"/>
      </w:r>
    </w:p>
    <w:p w14:paraId="690C15EB" w14:textId="77777777" w:rsidR="00533B9C" w:rsidRDefault="00000000">
      <w:pPr>
        <w:pStyle w:val="FirstParagraph"/>
      </w:pPr>
      <w:r>
        <w:rPr>
          <w:i/>
          <w:iCs/>
        </w:rPr>
        <w:t xml:space="preserve">[À compléter par DIAHO avant signature | </w:t>
      </w:r>
      <w:r>
        <w:rPr>
          <w:rFonts w:hint="eastAsia"/>
          <w:i/>
          <w:iCs/>
        </w:rPr>
        <w:t>待迪鸿在签署前补充完整</w:t>
      </w:r>
      <w:r>
        <w:rPr>
          <w:rFonts w:hint="eastAsia"/>
          <w:i/>
          <w:iCs/>
        </w:rPr>
        <w:t>]</w:t>
      </w:r>
    </w:p>
    <w:tbl>
      <w:tblPr>
        <w:tblStyle w:val="Table"/>
        <w:tblW w:w="5000" w:type="pct"/>
        <w:tblInd w:w="0" w:type="dxa"/>
        <w:tblLayout w:type="fixed"/>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533B9C" w14:paraId="16198112" w14:textId="77777777" w:rsidTr="00533B9C">
        <w:trPr>
          <w:cnfStyle w:val="100000000000" w:firstRow="1" w:lastRow="0" w:firstColumn="0" w:lastColumn="0" w:oddVBand="0" w:evenVBand="0" w:oddHBand="0" w:evenHBand="0" w:firstRowFirstColumn="0" w:firstRowLastColumn="0" w:lastRowFirstColumn="0" w:lastRowLastColumn="0"/>
          <w:tblHeader/>
        </w:trPr>
        <w:tc>
          <w:tcPr>
            <w:tcW w:w="710" w:type="dxa"/>
          </w:tcPr>
          <w:p w14:paraId="362AABB4" w14:textId="77777777" w:rsidR="00533B9C" w:rsidRDefault="00000000">
            <w:pPr>
              <w:pStyle w:val="Compact"/>
            </w:pPr>
            <w:r>
              <w:t>Réf.</w:t>
            </w:r>
          </w:p>
        </w:tc>
        <w:tc>
          <w:tcPr>
            <w:tcW w:w="710" w:type="dxa"/>
          </w:tcPr>
          <w:p w14:paraId="1E09FB4C" w14:textId="77777777" w:rsidR="00533B9C" w:rsidRDefault="00000000">
            <w:pPr>
              <w:pStyle w:val="Compact"/>
            </w:pPr>
            <w:r>
              <w:t>Nature de l’actif</w:t>
            </w:r>
          </w:p>
        </w:tc>
        <w:tc>
          <w:tcPr>
            <w:tcW w:w="710" w:type="dxa"/>
          </w:tcPr>
          <w:p w14:paraId="7FFA6374" w14:textId="77777777" w:rsidR="00533B9C" w:rsidRDefault="00000000">
            <w:pPr>
              <w:pStyle w:val="Compact"/>
            </w:pPr>
            <w:r>
              <w:t>Description</w:t>
            </w:r>
          </w:p>
        </w:tc>
        <w:tc>
          <w:tcPr>
            <w:tcW w:w="710" w:type="dxa"/>
          </w:tcPr>
          <w:p w14:paraId="43C658F8" w14:textId="77777777" w:rsidR="00533B9C" w:rsidRDefault="00000000">
            <w:pPr>
              <w:pStyle w:val="Compact"/>
            </w:pPr>
            <w:r>
              <w:t>N° enregistrement</w:t>
            </w:r>
          </w:p>
        </w:tc>
        <w:tc>
          <w:tcPr>
            <w:tcW w:w="710" w:type="dxa"/>
          </w:tcPr>
          <w:p w14:paraId="2B4FF74A" w14:textId="77777777" w:rsidR="00533B9C" w:rsidRDefault="00000000">
            <w:pPr>
              <w:pStyle w:val="Compact"/>
            </w:pPr>
            <w:r>
              <w:t>Territoire(s)</w:t>
            </w:r>
          </w:p>
        </w:tc>
        <w:tc>
          <w:tcPr>
            <w:tcW w:w="710" w:type="dxa"/>
          </w:tcPr>
          <w:p w14:paraId="35CE9984" w14:textId="77777777" w:rsidR="00533B9C" w:rsidRDefault="00000000">
            <w:pPr>
              <w:pStyle w:val="Compact"/>
            </w:pPr>
            <w:r>
              <w:t>Statut</w:t>
            </w:r>
          </w:p>
        </w:tc>
        <w:tc>
          <w:tcPr>
            <w:tcW w:w="710" w:type="dxa"/>
          </w:tcPr>
          <w:p w14:paraId="51E4294E" w14:textId="77777777" w:rsidR="00533B9C" w:rsidRDefault="00000000">
            <w:pPr>
              <w:pStyle w:val="Compact"/>
            </w:pPr>
            <w:r>
              <w:rPr>
                <w:rFonts w:hint="eastAsia"/>
              </w:rPr>
              <w:t>编号</w:t>
            </w:r>
          </w:p>
        </w:tc>
        <w:tc>
          <w:tcPr>
            <w:tcW w:w="710" w:type="dxa"/>
          </w:tcPr>
          <w:p w14:paraId="54CFB5E5" w14:textId="77777777" w:rsidR="00533B9C" w:rsidRDefault="00000000">
            <w:pPr>
              <w:pStyle w:val="Compact"/>
            </w:pPr>
            <w:r>
              <w:rPr>
                <w:rFonts w:hint="eastAsia"/>
              </w:rPr>
              <w:t>资产类型</w:t>
            </w:r>
          </w:p>
        </w:tc>
        <w:tc>
          <w:tcPr>
            <w:tcW w:w="710" w:type="dxa"/>
          </w:tcPr>
          <w:p w14:paraId="74D0B79B" w14:textId="77777777" w:rsidR="00533B9C" w:rsidRDefault="00000000">
            <w:pPr>
              <w:pStyle w:val="Compact"/>
            </w:pPr>
            <w:r>
              <w:rPr>
                <w:rFonts w:hint="eastAsia"/>
              </w:rPr>
              <w:t>描述</w:t>
            </w:r>
          </w:p>
        </w:tc>
        <w:tc>
          <w:tcPr>
            <w:tcW w:w="710" w:type="dxa"/>
          </w:tcPr>
          <w:p w14:paraId="391172B3" w14:textId="77777777" w:rsidR="00533B9C" w:rsidRDefault="00000000">
            <w:pPr>
              <w:pStyle w:val="Compact"/>
            </w:pPr>
            <w:r>
              <w:rPr>
                <w:rFonts w:hint="eastAsia"/>
              </w:rPr>
              <w:t>注册编号</w:t>
            </w:r>
          </w:p>
        </w:tc>
        <w:tc>
          <w:tcPr>
            <w:tcW w:w="710" w:type="dxa"/>
          </w:tcPr>
          <w:p w14:paraId="6DB36CCE" w14:textId="77777777" w:rsidR="00533B9C" w:rsidRDefault="00000000">
            <w:pPr>
              <w:pStyle w:val="Compact"/>
            </w:pPr>
            <w:r>
              <w:rPr>
                <w:rFonts w:hint="eastAsia"/>
              </w:rPr>
              <w:t>覆盖地区</w:t>
            </w:r>
          </w:p>
        </w:tc>
        <w:tc>
          <w:tcPr>
            <w:tcW w:w="710" w:type="dxa"/>
          </w:tcPr>
          <w:p w14:paraId="6D69FCF0" w14:textId="77777777" w:rsidR="00533B9C" w:rsidRDefault="00000000">
            <w:pPr>
              <w:pStyle w:val="Compact"/>
            </w:pPr>
            <w:r>
              <w:rPr>
                <w:rFonts w:hint="eastAsia"/>
              </w:rPr>
              <w:t>状态</w:t>
            </w:r>
          </w:p>
        </w:tc>
      </w:tr>
      <w:tr w:rsidR="00533B9C" w14:paraId="5F838440" w14:textId="77777777" w:rsidTr="00533B9C">
        <w:tc>
          <w:tcPr>
            <w:tcW w:w="710" w:type="dxa"/>
          </w:tcPr>
          <w:p w14:paraId="6B794902" w14:textId="77777777" w:rsidR="00533B9C" w:rsidRDefault="00000000">
            <w:pPr>
              <w:pStyle w:val="Compact"/>
            </w:pPr>
            <w:r>
              <w:t>PI-01</w:t>
            </w:r>
          </w:p>
        </w:tc>
        <w:tc>
          <w:tcPr>
            <w:tcW w:w="710" w:type="dxa"/>
          </w:tcPr>
          <w:p w14:paraId="434F6EBD" w14:textId="77777777" w:rsidR="00533B9C" w:rsidRDefault="00000000">
            <w:pPr>
              <w:pStyle w:val="Compact"/>
            </w:pPr>
            <w:r>
              <w:t>Brevet</w:t>
            </w:r>
          </w:p>
        </w:tc>
        <w:tc>
          <w:tcPr>
            <w:tcW w:w="710" w:type="dxa"/>
          </w:tcPr>
          <w:p w14:paraId="4C703CD4" w14:textId="77777777" w:rsidR="00533B9C" w:rsidRDefault="00000000">
            <w:pPr>
              <w:pStyle w:val="Compact"/>
            </w:pPr>
            <w:r>
              <w:t>[TITRE]</w:t>
            </w:r>
          </w:p>
        </w:tc>
        <w:tc>
          <w:tcPr>
            <w:tcW w:w="710" w:type="dxa"/>
          </w:tcPr>
          <w:p w14:paraId="26F2B7C8" w14:textId="77777777" w:rsidR="00533B9C" w:rsidRDefault="00000000">
            <w:pPr>
              <w:pStyle w:val="Compact"/>
            </w:pPr>
            <w:r>
              <w:t>[N°]</w:t>
            </w:r>
          </w:p>
        </w:tc>
        <w:tc>
          <w:tcPr>
            <w:tcW w:w="710" w:type="dxa"/>
          </w:tcPr>
          <w:p w14:paraId="2BBD5FDD" w14:textId="77777777" w:rsidR="00533B9C" w:rsidRDefault="00000000">
            <w:pPr>
              <w:pStyle w:val="Compact"/>
            </w:pPr>
            <w:r>
              <w:t>[PAYS]</w:t>
            </w:r>
          </w:p>
        </w:tc>
        <w:tc>
          <w:tcPr>
            <w:tcW w:w="710" w:type="dxa"/>
          </w:tcPr>
          <w:p w14:paraId="190376EA" w14:textId="77777777" w:rsidR="00533B9C" w:rsidRDefault="00000000">
            <w:pPr>
              <w:pStyle w:val="Compact"/>
            </w:pPr>
            <w:r>
              <w:t>[Déposé/Ac</w:t>
            </w:r>
            <w:r>
              <w:lastRenderedPageBreak/>
              <w:t>cordé/En cours]</w:t>
            </w:r>
          </w:p>
        </w:tc>
        <w:tc>
          <w:tcPr>
            <w:tcW w:w="710" w:type="dxa"/>
          </w:tcPr>
          <w:p w14:paraId="40EF4C1F" w14:textId="77777777" w:rsidR="00533B9C" w:rsidRDefault="00000000">
            <w:pPr>
              <w:pStyle w:val="Compact"/>
            </w:pPr>
            <w:r>
              <w:lastRenderedPageBreak/>
              <w:t>PI-01</w:t>
            </w:r>
          </w:p>
        </w:tc>
        <w:tc>
          <w:tcPr>
            <w:tcW w:w="710" w:type="dxa"/>
          </w:tcPr>
          <w:p w14:paraId="236E92AC" w14:textId="77777777" w:rsidR="00533B9C" w:rsidRDefault="00000000">
            <w:pPr>
              <w:pStyle w:val="Compact"/>
            </w:pPr>
            <w:r>
              <w:rPr>
                <w:rFonts w:hint="eastAsia"/>
              </w:rPr>
              <w:t>专利</w:t>
            </w:r>
          </w:p>
        </w:tc>
        <w:tc>
          <w:tcPr>
            <w:tcW w:w="710" w:type="dxa"/>
          </w:tcPr>
          <w:p w14:paraId="6DE793E5" w14:textId="77777777" w:rsidR="00533B9C" w:rsidRDefault="00000000">
            <w:pPr>
              <w:pStyle w:val="Compact"/>
            </w:pPr>
            <w:r>
              <w:rPr>
                <w:rFonts w:hint="eastAsia"/>
              </w:rPr>
              <w:t>[</w:t>
            </w:r>
            <w:r>
              <w:rPr>
                <w:rFonts w:hint="eastAsia"/>
              </w:rPr>
              <w:t>名称</w:t>
            </w:r>
            <w:r>
              <w:rPr>
                <w:rFonts w:hint="eastAsia"/>
              </w:rPr>
              <w:t>]</w:t>
            </w:r>
          </w:p>
        </w:tc>
        <w:tc>
          <w:tcPr>
            <w:tcW w:w="710" w:type="dxa"/>
          </w:tcPr>
          <w:p w14:paraId="48813644" w14:textId="77777777" w:rsidR="00533B9C" w:rsidRDefault="00000000">
            <w:pPr>
              <w:pStyle w:val="Compact"/>
            </w:pPr>
            <w:r>
              <w:rPr>
                <w:rFonts w:hint="eastAsia"/>
              </w:rPr>
              <w:t>[</w:t>
            </w:r>
            <w:r>
              <w:rPr>
                <w:rFonts w:hint="eastAsia"/>
              </w:rPr>
              <w:t>编号</w:t>
            </w:r>
            <w:r>
              <w:rPr>
                <w:rFonts w:hint="eastAsia"/>
              </w:rPr>
              <w:t>]</w:t>
            </w:r>
          </w:p>
        </w:tc>
        <w:tc>
          <w:tcPr>
            <w:tcW w:w="710" w:type="dxa"/>
          </w:tcPr>
          <w:p w14:paraId="7587895A" w14:textId="77777777" w:rsidR="00533B9C" w:rsidRDefault="00000000">
            <w:pPr>
              <w:pStyle w:val="Compact"/>
            </w:pPr>
            <w:r>
              <w:rPr>
                <w:rFonts w:hint="eastAsia"/>
              </w:rPr>
              <w:t>[</w:t>
            </w:r>
            <w:r>
              <w:rPr>
                <w:rFonts w:hint="eastAsia"/>
              </w:rPr>
              <w:t>国家</w:t>
            </w:r>
            <w:r>
              <w:rPr>
                <w:rFonts w:hint="eastAsia"/>
              </w:rPr>
              <w:t>]</w:t>
            </w:r>
          </w:p>
        </w:tc>
        <w:tc>
          <w:tcPr>
            <w:tcW w:w="710" w:type="dxa"/>
          </w:tcPr>
          <w:p w14:paraId="200BBAE7" w14:textId="77777777" w:rsidR="00533B9C" w:rsidRDefault="00000000">
            <w:pPr>
              <w:pStyle w:val="Compact"/>
            </w:pPr>
            <w:r>
              <w:rPr>
                <w:rFonts w:hint="eastAsia"/>
              </w:rPr>
              <w:t>[</w:t>
            </w:r>
            <w:r>
              <w:rPr>
                <w:rFonts w:hint="eastAsia"/>
              </w:rPr>
              <w:t>已申请</w:t>
            </w:r>
            <w:r>
              <w:rPr>
                <w:rFonts w:hint="eastAsia"/>
              </w:rPr>
              <w:lastRenderedPageBreak/>
              <w:t>/</w:t>
            </w:r>
            <w:r>
              <w:rPr>
                <w:rFonts w:hint="eastAsia"/>
              </w:rPr>
              <w:t>已授权</w:t>
            </w:r>
            <w:r>
              <w:rPr>
                <w:rFonts w:hint="eastAsia"/>
              </w:rPr>
              <w:t>/</w:t>
            </w:r>
            <w:r>
              <w:rPr>
                <w:rFonts w:hint="eastAsia"/>
              </w:rPr>
              <w:t>申请中</w:t>
            </w:r>
            <w:r>
              <w:rPr>
                <w:rFonts w:hint="eastAsia"/>
              </w:rPr>
              <w:t>]</w:t>
            </w:r>
          </w:p>
        </w:tc>
      </w:tr>
      <w:tr w:rsidR="00533B9C" w14:paraId="61CF3493" w14:textId="77777777" w:rsidTr="00533B9C">
        <w:tc>
          <w:tcPr>
            <w:tcW w:w="710" w:type="dxa"/>
          </w:tcPr>
          <w:p w14:paraId="7D0DEE7B" w14:textId="77777777" w:rsidR="00533B9C" w:rsidRDefault="00000000">
            <w:pPr>
              <w:pStyle w:val="Compact"/>
            </w:pPr>
            <w:r>
              <w:lastRenderedPageBreak/>
              <w:t>PI-02</w:t>
            </w:r>
          </w:p>
        </w:tc>
        <w:tc>
          <w:tcPr>
            <w:tcW w:w="710" w:type="dxa"/>
          </w:tcPr>
          <w:p w14:paraId="1A82D83A" w14:textId="77777777" w:rsidR="00533B9C" w:rsidRDefault="00000000">
            <w:pPr>
              <w:pStyle w:val="Compact"/>
            </w:pPr>
            <w:r>
              <w:t>Formule de fabrication</w:t>
            </w:r>
          </w:p>
        </w:tc>
        <w:tc>
          <w:tcPr>
            <w:tcW w:w="710" w:type="dxa"/>
          </w:tcPr>
          <w:p w14:paraId="3695C51E" w14:textId="77777777" w:rsidR="00533B9C" w:rsidRDefault="00000000">
            <w:pPr>
              <w:pStyle w:val="Compact"/>
            </w:pPr>
            <w:r>
              <w:t>[DESCRIPTION]</w:t>
            </w:r>
          </w:p>
        </w:tc>
        <w:tc>
          <w:tcPr>
            <w:tcW w:w="710" w:type="dxa"/>
          </w:tcPr>
          <w:p w14:paraId="28ADDFFF" w14:textId="77777777" w:rsidR="00533B9C" w:rsidRDefault="00000000">
            <w:pPr>
              <w:pStyle w:val="Compact"/>
            </w:pPr>
            <w:r>
              <w:t>—</w:t>
            </w:r>
          </w:p>
        </w:tc>
        <w:tc>
          <w:tcPr>
            <w:tcW w:w="710" w:type="dxa"/>
          </w:tcPr>
          <w:p w14:paraId="3176F295" w14:textId="77777777" w:rsidR="00533B9C" w:rsidRDefault="00000000">
            <w:pPr>
              <w:pStyle w:val="Compact"/>
            </w:pPr>
            <w:r>
              <w:t>Mondial</w:t>
            </w:r>
          </w:p>
        </w:tc>
        <w:tc>
          <w:tcPr>
            <w:tcW w:w="710" w:type="dxa"/>
          </w:tcPr>
          <w:p w14:paraId="28628CA0" w14:textId="77777777" w:rsidR="00533B9C" w:rsidRDefault="00000000">
            <w:pPr>
              <w:pStyle w:val="Compact"/>
            </w:pPr>
            <w:r>
              <w:t>[Confidentiel/Documenté]</w:t>
            </w:r>
          </w:p>
        </w:tc>
        <w:tc>
          <w:tcPr>
            <w:tcW w:w="710" w:type="dxa"/>
          </w:tcPr>
          <w:p w14:paraId="3B4519C4" w14:textId="77777777" w:rsidR="00533B9C" w:rsidRDefault="00000000">
            <w:pPr>
              <w:pStyle w:val="Compact"/>
            </w:pPr>
            <w:r>
              <w:t>PI-02</w:t>
            </w:r>
          </w:p>
        </w:tc>
        <w:tc>
          <w:tcPr>
            <w:tcW w:w="710" w:type="dxa"/>
          </w:tcPr>
          <w:p w14:paraId="398FD56E" w14:textId="77777777" w:rsidR="00533B9C" w:rsidRDefault="00000000">
            <w:pPr>
              <w:pStyle w:val="Compact"/>
            </w:pPr>
            <w:r>
              <w:rPr>
                <w:rFonts w:hint="eastAsia"/>
              </w:rPr>
              <w:t>生产配方</w:t>
            </w:r>
          </w:p>
        </w:tc>
        <w:tc>
          <w:tcPr>
            <w:tcW w:w="710" w:type="dxa"/>
          </w:tcPr>
          <w:p w14:paraId="64FA53A9" w14:textId="77777777" w:rsidR="00533B9C" w:rsidRDefault="00000000">
            <w:pPr>
              <w:pStyle w:val="Compact"/>
            </w:pPr>
            <w:r>
              <w:rPr>
                <w:rFonts w:hint="eastAsia"/>
              </w:rPr>
              <w:t>[</w:t>
            </w:r>
            <w:r>
              <w:rPr>
                <w:rFonts w:hint="eastAsia"/>
              </w:rPr>
              <w:t>描述</w:t>
            </w:r>
            <w:r>
              <w:rPr>
                <w:rFonts w:hint="eastAsia"/>
              </w:rPr>
              <w:t>]</w:t>
            </w:r>
          </w:p>
        </w:tc>
        <w:tc>
          <w:tcPr>
            <w:tcW w:w="710" w:type="dxa"/>
          </w:tcPr>
          <w:p w14:paraId="1DAA89E1" w14:textId="77777777" w:rsidR="00533B9C" w:rsidRDefault="00000000">
            <w:pPr>
              <w:pStyle w:val="Compact"/>
            </w:pPr>
            <w:r>
              <w:t>—</w:t>
            </w:r>
          </w:p>
        </w:tc>
        <w:tc>
          <w:tcPr>
            <w:tcW w:w="710" w:type="dxa"/>
          </w:tcPr>
          <w:p w14:paraId="387D453E" w14:textId="77777777" w:rsidR="00533B9C" w:rsidRDefault="00000000">
            <w:pPr>
              <w:pStyle w:val="Compact"/>
            </w:pPr>
            <w:r>
              <w:rPr>
                <w:rFonts w:hint="eastAsia"/>
              </w:rPr>
              <w:t>全球</w:t>
            </w:r>
          </w:p>
        </w:tc>
        <w:tc>
          <w:tcPr>
            <w:tcW w:w="710" w:type="dxa"/>
          </w:tcPr>
          <w:p w14:paraId="726863F7" w14:textId="77777777" w:rsidR="00533B9C" w:rsidRDefault="00000000">
            <w:pPr>
              <w:pStyle w:val="Compact"/>
            </w:pPr>
            <w:r>
              <w:rPr>
                <w:rFonts w:hint="eastAsia"/>
              </w:rPr>
              <w:t>[</w:t>
            </w:r>
            <w:r>
              <w:rPr>
                <w:rFonts w:hint="eastAsia"/>
              </w:rPr>
              <w:t>保密</w:t>
            </w:r>
            <w:r>
              <w:rPr>
                <w:rFonts w:hint="eastAsia"/>
              </w:rPr>
              <w:t>/</w:t>
            </w:r>
            <w:r>
              <w:rPr>
                <w:rFonts w:hint="eastAsia"/>
              </w:rPr>
              <w:t>已存档</w:t>
            </w:r>
            <w:r>
              <w:rPr>
                <w:rFonts w:hint="eastAsia"/>
              </w:rPr>
              <w:t>]</w:t>
            </w:r>
          </w:p>
        </w:tc>
      </w:tr>
      <w:tr w:rsidR="00533B9C" w14:paraId="3CAED9DA" w14:textId="77777777" w:rsidTr="00533B9C">
        <w:tc>
          <w:tcPr>
            <w:tcW w:w="710" w:type="dxa"/>
          </w:tcPr>
          <w:p w14:paraId="29CFF850" w14:textId="77777777" w:rsidR="00533B9C" w:rsidRDefault="00000000">
            <w:pPr>
              <w:pStyle w:val="Compact"/>
            </w:pPr>
            <w:r>
              <w:t>PI-03</w:t>
            </w:r>
          </w:p>
        </w:tc>
        <w:tc>
          <w:tcPr>
            <w:tcW w:w="710" w:type="dxa"/>
          </w:tcPr>
          <w:p w14:paraId="2A75D906" w14:textId="77777777" w:rsidR="00533B9C" w:rsidRDefault="00000000">
            <w:pPr>
              <w:pStyle w:val="Compact"/>
            </w:pPr>
            <w:r>
              <w:t>Procédé de fabrication</w:t>
            </w:r>
          </w:p>
        </w:tc>
        <w:tc>
          <w:tcPr>
            <w:tcW w:w="710" w:type="dxa"/>
          </w:tcPr>
          <w:p w14:paraId="404EF122" w14:textId="77777777" w:rsidR="00533B9C" w:rsidRDefault="00000000">
            <w:pPr>
              <w:pStyle w:val="Compact"/>
            </w:pPr>
            <w:r>
              <w:t>[DESCRIPTION]</w:t>
            </w:r>
          </w:p>
        </w:tc>
        <w:tc>
          <w:tcPr>
            <w:tcW w:w="710" w:type="dxa"/>
          </w:tcPr>
          <w:p w14:paraId="06138B5B" w14:textId="77777777" w:rsidR="00533B9C" w:rsidRDefault="00000000">
            <w:pPr>
              <w:pStyle w:val="Compact"/>
            </w:pPr>
            <w:r>
              <w:t>—</w:t>
            </w:r>
          </w:p>
        </w:tc>
        <w:tc>
          <w:tcPr>
            <w:tcW w:w="710" w:type="dxa"/>
          </w:tcPr>
          <w:p w14:paraId="143A6877" w14:textId="77777777" w:rsidR="00533B9C" w:rsidRDefault="00000000">
            <w:pPr>
              <w:pStyle w:val="Compact"/>
            </w:pPr>
            <w:r>
              <w:t>Mondial</w:t>
            </w:r>
          </w:p>
        </w:tc>
        <w:tc>
          <w:tcPr>
            <w:tcW w:w="710" w:type="dxa"/>
          </w:tcPr>
          <w:p w14:paraId="36D5E32C" w14:textId="77777777" w:rsidR="00533B9C" w:rsidRDefault="00000000">
            <w:pPr>
              <w:pStyle w:val="Compact"/>
            </w:pPr>
            <w:r>
              <w:t>[Documenté]</w:t>
            </w:r>
          </w:p>
        </w:tc>
        <w:tc>
          <w:tcPr>
            <w:tcW w:w="710" w:type="dxa"/>
          </w:tcPr>
          <w:p w14:paraId="4678E2E7" w14:textId="77777777" w:rsidR="00533B9C" w:rsidRDefault="00000000">
            <w:pPr>
              <w:pStyle w:val="Compact"/>
            </w:pPr>
            <w:r>
              <w:t>PI-03</w:t>
            </w:r>
          </w:p>
        </w:tc>
        <w:tc>
          <w:tcPr>
            <w:tcW w:w="710" w:type="dxa"/>
          </w:tcPr>
          <w:p w14:paraId="0FFEED25" w14:textId="77777777" w:rsidR="00533B9C" w:rsidRDefault="00000000">
            <w:pPr>
              <w:pStyle w:val="Compact"/>
            </w:pPr>
            <w:r>
              <w:rPr>
                <w:rFonts w:hint="eastAsia"/>
              </w:rPr>
              <w:t>生产工艺</w:t>
            </w:r>
          </w:p>
        </w:tc>
        <w:tc>
          <w:tcPr>
            <w:tcW w:w="710" w:type="dxa"/>
          </w:tcPr>
          <w:p w14:paraId="26A5A28B" w14:textId="77777777" w:rsidR="00533B9C" w:rsidRDefault="00000000">
            <w:pPr>
              <w:pStyle w:val="Compact"/>
            </w:pPr>
            <w:r>
              <w:rPr>
                <w:rFonts w:hint="eastAsia"/>
              </w:rPr>
              <w:t>[</w:t>
            </w:r>
            <w:r>
              <w:rPr>
                <w:rFonts w:hint="eastAsia"/>
              </w:rPr>
              <w:t>描述</w:t>
            </w:r>
            <w:r>
              <w:rPr>
                <w:rFonts w:hint="eastAsia"/>
              </w:rPr>
              <w:t>]</w:t>
            </w:r>
          </w:p>
        </w:tc>
        <w:tc>
          <w:tcPr>
            <w:tcW w:w="710" w:type="dxa"/>
          </w:tcPr>
          <w:p w14:paraId="3B59742E" w14:textId="77777777" w:rsidR="00533B9C" w:rsidRDefault="00000000">
            <w:pPr>
              <w:pStyle w:val="Compact"/>
            </w:pPr>
            <w:r>
              <w:t>—</w:t>
            </w:r>
          </w:p>
        </w:tc>
        <w:tc>
          <w:tcPr>
            <w:tcW w:w="710" w:type="dxa"/>
          </w:tcPr>
          <w:p w14:paraId="71CADFB3" w14:textId="77777777" w:rsidR="00533B9C" w:rsidRDefault="00000000">
            <w:pPr>
              <w:pStyle w:val="Compact"/>
            </w:pPr>
            <w:r>
              <w:rPr>
                <w:rFonts w:hint="eastAsia"/>
              </w:rPr>
              <w:t>全球</w:t>
            </w:r>
          </w:p>
        </w:tc>
        <w:tc>
          <w:tcPr>
            <w:tcW w:w="710" w:type="dxa"/>
          </w:tcPr>
          <w:p w14:paraId="0337A2CF" w14:textId="77777777" w:rsidR="00533B9C" w:rsidRDefault="00000000">
            <w:pPr>
              <w:pStyle w:val="Compact"/>
            </w:pPr>
            <w:r>
              <w:rPr>
                <w:rFonts w:hint="eastAsia"/>
              </w:rPr>
              <w:t>[</w:t>
            </w:r>
            <w:r>
              <w:rPr>
                <w:rFonts w:hint="eastAsia"/>
              </w:rPr>
              <w:t>已存档</w:t>
            </w:r>
            <w:r>
              <w:rPr>
                <w:rFonts w:hint="eastAsia"/>
              </w:rPr>
              <w:t>]</w:t>
            </w:r>
          </w:p>
        </w:tc>
      </w:tr>
      <w:tr w:rsidR="00533B9C" w14:paraId="66051AC8" w14:textId="77777777" w:rsidTr="00533B9C">
        <w:tc>
          <w:tcPr>
            <w:tcW w:w="710" w:type="dxa"/>
          </w:tcPr>
          <w:p w14:paraId="0EF4D1D0" w14:textId="77777777" w:rsidR="00533B9C" w:rsidRDefault="00000000">
            <w:pPr>
              <w:pStyle w:val="Compact"/>
            </w:pPr>
            <w:r>
              <w:t>PI-04</w:t>
            </w:r>
          </w:p>
        </w:tc>
        <w:tc>
          <w:tcPr>
            <w:tcW w:w="710" w:type="dxa"/>
          </w:tcPr>
          <w:p w14:paraId="6121CEBC" w14:textId="77777777" w:rsidR="00533B9C" w:rsidRDefault="00000000">
            <w:pPr>
              <w:pStyle w:val="Compact"/>
            </w:pPr>
            <w:r>
              <w:t>Savoir-faire</w:t>
            </w:r>
          </w:p>
        </w:tc>
        <w:tc>
          <w:tcPr>
            <w:tcW w:w="710" w:type="dxa"/>
          </w:tcPr>
          <w:p w14:paraId="5B381743" w14:textId="77777777" w:rsidR="00533B9C" w:rsidRDefault="00000000">
            <w:pPr>
              <w:pStyle w:val="Compact"/>
            </w:pPr>
            <w:r>
              <w:t>[DESCRIPTION]</w:t>
            </w:r>
          </w:p>
        </w:tc>
        <w:tc>
          <w:tcPr>
            <w:tcW w:w="710" w:type="dxa"/>
          </w:tcPr>
          <w:p w14:paraId="6904E8A6" w14:textId="77777777" w:rsidR="00533B9C" w:rsidRDefault="00000000">
            <w:pPr>
              <w:pStyle w:val="Compact"/>
            </w:pPr>
            <w:r>
              <w:t>—</w:t>
            </w:r>
          </w:p>
        </w:tc>
        <w:tc>
          <w:tcPr>
            <w:tcW w:w="710" w:type="dxa"/>
          </w:tcPr>
          <w:p w14:paraId="7C5E06C9" w14:textId="77777777" w:rsidR="00533B9C" w:rsidRDefault="00000000">
            <w:pPr>
              <w:pStyle w:val="Compact"/>
            </w:pPr>
            <w:r>
              <w:t>Mondial</w:t>
            </w:r>
          </w:p>
        </w:tc>
        <w:tc>
          <w:tcPr>
            <w:tcW w:w="710" w:type="dxa"/>
          </w:tcPr>
          <w:p w14:paraId="3E374F18" w14:textId="77777777" w:rsidR="00533B9C" w:rsidRDefault="00000000">
            <w:pPr>
              <w:pStyle w:val="Compact"/>
            </w:pPr>
            <w:r>
              <w:t>[Non documenté/Documenté]</w:t>
            </w:r>
          </w:p>
        </w:tc>
        <w:tc>
          <w:tcPr>
            <w:tcW w:w="710" w:type="dxa"/>
          </w:tcPr>
          <w:p w14:paraId="6AE23225" w14:textId="77777777" w:rsidR="00533B9C" w:rsidRDefault="00000000">
            <w:pPr>
              <w:pStyle w:val="Compact"/>
            </w:pPr>
            <w:r>
              <w:t>PI-04</w:t>
            </w:r>
          </w:p>
        </w:tc>
        <w:tc>
          <w:tcPr>
            <w:tcW w:w="710" w:type="dxa"/>
          </w:tcPr>
          <w:p w14:paraId="02AA9AE6" w14:textId="77777777" w:rsidR="00533B9C" w:rsidRDefault="00000000">
            <w:pPr>
              <w:pStyle w:val="Compact"/>
            </w:pPr>
            <w:r>
              <w:rPr>
                <w:rFonts w:hint="eastAsia"/>
              </w:rPr>
              <w:t>专有技术</w:t>
            </w:r>
          </w:p>
        </w:tc>
        <w:tc>
          <w:tcPr>
            <w:tcW w:w="710" w:type="dxa"/>
          </w:tcPr>
          <w:p w14:paraId="6CD3EC2E" w14:textId="77777777" w:rsidR="00533B9C" w:rsidRDefault="00000000">
            <w:pPr>
              <w:pStyle w:val="Compact"/>
            </w:pPr>
            <w:r>
              <w:rPr>
                <w:rFonts w:hint="eastAsia"/>
              </w:rPr>
              <w:t>[</w:t>
            </w:r>
            <w:r>
              <w:rPr>
                <w:rFonts w:hint="eastAsia"/>
              </w:rPr>
              <w:t>描述</w:t>
            </w:r>
            <w:r>
              <w:rPr>
                <w:rFonts w:hint="eastAsia"/>
              </w:rPr>
              <w:t>]</w:t>
            </w:r>
          </w:p>
        </w:tc>
        <w:tc>
          <w:tcPr>
            <w:tcW w:w="710" w:type="dxa"/>
          </w:tcPr>
          <w:p w14:paraId="02E431AA" w14:textId="77777777" w:rsidR="00533B9C" w:rsidRDefault="00000000">
            <w:pPr>
              <w:pStyle w:val="Compact"/>
            </w:pPr>
            <w:r>
              <w:t>—</w:t>
            </w:r>
          </w:p>
        </w:tc>
        <w:tc>
          <w:tcPr>
            <w:tcW w:w="710" w:type="dxa"/>
          </w:tcPr>
          <w:p w14:paraId="1EB771DA" w14:textId="77777777" w:rsidR="00533B9C" w:rsidRDefault="00000000">
            <w:pPr>
              <w:pStyle w:val="Compact"/>
            </w:pPr>
            <w:r>
              <w:rPr>
                <w:rFonts w:hint="eastAsia"/>
              </w:rPr>
              <w:t>全球</w:t>
            </w:r>
          </w:p>
        </w:tc>
        <w:tc>
          <w:tcPr>
            <w:tcW w:w="710" w:type="dxa"/>
          </w:tcPr>
          <w:p w14:paraId="400C8BCE" w14:textId="77777777" w:rsidR="00533B9C" w:rsidRDefault="00000000">
            <w:pPr>
              <w:pStyle w:val="Compact"/>
            </w:pPr>
            <w:r>
              <w:rPr>
                <w:rFonts w:hint="eastAsia"/>
              </w:rPr>
              <w:t>[</w:t>
            </w:r>
            <w:r>
              <w:rPr>
                <w:rFonts w:hint="eastAsia"/>
              </w:rPr>
              <w:t>未存档</w:t>
            </w:r>
            <w:r>
              <w:rPr>
                <w:rFonts w:hint="eastAsia"/>
              </w:rPr>
              <w:t>/</w:t>
            </w:r>
            <w:r>
              <w:rPr>
                <w:rFonts w:hint="eastAsia"/>
              </w:rPr>
              <w:t>已存档</w:t>
            </w:r>
            <w:r>
              <w:rPr>
                <w:rFonts w:hint="eastAsia"/>
              </w:rPr>
              <w:t>]</w:t>
            </w:r>
          </w:p>
        </w:tc>
      </w:tr>
      <w:tr w:rsidR="00533B9C" w14:paraId="1F1CFFA6" w14:textId="77777777" w:rsidTr="00533B9C">
        <w:tc>
          <w:tcPr>
            <w:tcW w:w="710" w:type="dxa"/>
          </w:tcPr>
          <w:p w14:paraId="6CE15175" w14:textId="77777777" w:rsidR="00533B9C" w:rsidRDefault="00000000">
            <w:pPr>
              <w:pStyle w:val="Compact"/>
            </w:pPr>
            <w:r>
              <w:t>PI-05</w:t>
            </w:r>
          </w:p>
        </w:tc>
        <w:tc>
          <w:tcPr>
            <w:tcW w:w="710" w:type="dxa"/>
          </w:tcPr>
          <w:p w14:paraId="1AFEEE71" w14:textId="77777777" w:rsidR="00533B9C" w:rsidRDefault="00000000">
            <w:pPr>
              <w:pStyle w:val="Compact"/>
            </w:pPr>
            <w:r>
              <w:t>Données cliniques</w:t>
            </w:r>
          </w:p>
        </w:tc>
        <w:tc>
          <w:tcPr>
            <w:tcW w:w="710" w:type="dxa"/>
          </w:tcPr>
          <w:p w14:paraId="61C814B7" w14:textId="77777777" w:rsidR="00533B9C" w:rsidRDefault="00000000">
            <w:pPr>
              <w:pStyle w:val="Compact"/>
            </w:pPr>
            <w:r>
              <w:t>[RÉFÉRENCE ÉTUDE]</w:t>
            </w:r>
          </w:p>
        </w:tc>
        <w:tc>
          <w:tcPr>
            <w:tcW w:w="710" w:type="dxa"/>
          </w:tcPr>
          <w:p w14:paraId="410E1EF8" w14:textId="77777777" w:rsidR="00533B9C" w:rsidRDefault="00000000">
            <w:pPr>
              <w:pStyle w:val="Compact"/>
            </w:pPr>
            <w:r>
              <w:t>—</w:t>
            </w:r>
          </w:p>
        </w:tc>
        <w:tc>
          <w:tcPr>
            <w:tcW w:w="710" w:type="dxa"/>
          </w:tcPr>
          <w:p w14:paraId="7B4629A2" w14:textId="77777777" w:rsidR="00533B9C" w:rsidRDefault="00000000">
            <w:pPr>
              <w:pStyle w:val="Compact"/>
            </w:pPr>
            <w:r>
              <w:t>[PAYS]</w:t>
            </w:r>
          </w:p>
        </w:tc>
        <w:tc>
          <w:tcPr>
            <w:tcW w:w="710" w:type="dxa"/>
          </w:tcPr>
          <w:p w14:paraId="55C6F997" w14:textId="77777777" w:rsidR="00533B9C" w:rsidRDefault="00000000">
            <w:pPr>
              <w:pStyle w:val="Compact"/>
            </w:pPr>
            <w:r>
              <w:t>[Disponible]</w:t>
            </w:r>
          </w:p>
        </w:tc>
        <w:tc>
          <w:tcPr>
            <w:tcW w:w="710" w:type="dxa"/>
          </w:tcPr>
          <w:p w14:paraId="6B95FB50" w14:textId="77777777" w:rsidR="00533B9C" w:rsidRDefault="00000000">
            <w:pPr>
              <w:pStyle w:val="Compact"/>
            </w:pPr>
            <w:r>
              <w:t>PI-05</w:t>
            </w:r>
          </w:p>
        </w:tc>
        <w:tc>
          <w:tcPr>
            <w:tcW w:w="710" w:type="dxa"/>
          </w:tcPr>
          <w:p w14:paraId="4D620C77" w14:textId="77777777" w:rsidR="00533B9C" w:rsidRDefault="00000000">
            <w:pPr>
              <w:pStyle w:val="Compact"/>
            </w:pPr>
            <w:r>
              <w:rPr>
                <w:rFonts w:hint="eastAsia"/>
              </w:rPr>
              <w:t>临床数据</w:t>
            </w:r>
          </w:p>
        </w:tc>
        <w:tc>
          <w:tcPr>
            <w:tcW w:w="710" w:type="dxa"/>
          </w:tcPr>
          <w:p w14:paraId="76F5B424" w14:textId="77777777" w:rsidR="00533B9C" w:rsidRDefault="00000000">
            <w:pPr>
              <w:pStyle w:val="Compact"/>
            </w:pPr>
            <w:r>
              <w:rPr>
                <w:rFonts w:hint="eastAsia"/>
              </w:rPr>
              <w:t>[</w:t>
            </w:r>
            <w:r>
              <w:rPr>
                <w:rFonts w:hint="eastAsia"/>
              </w:rPr>
              <w:t>研究参考</w:t>
            </w:r>
            <w:r>
              <w:rPr>
                <w:rFonts w:hint="eastAsia"/>
              </w:rPr>
              <w:t>]</w:t>
            </w:r>
          </w:p>
        </w:tc>
        <w:tc>
          <w:tcPr>
            <w:tcW w:w="710" w:type="dxa"/>
          </w:tcPr>
          <w:p w14:paraId="1292F21B" w14:textId="77777777" w:rsidR="00533B9C" w:rsidRDefault="00000000">
            <w:pPr>
              <w:pStyle w:val="Compact"/>
            </w:pPr>
            <w:r>
              <w:t>—</w:t>
            </w:r>
          </w:p>
        </w:tc>
        <w:tc>
          <w:tcPr>
            <w:tcW w:w="710" w:type="dxa"/>
          </w:tcPr>
          <w:p w14:paraId="45851FAD" w14:textId="77777777" w:rsidR="00533B9C" w:rsidRDefault="00000000">
            <w:pPr>
              <w:pStyle w:val="Compact"/>
            </w:pPr>
            <w:r>
              <w:rPr>
                <w:rFonts w:hint="eastAsia"/>
              </w:rPr>
              <w:t>[</w:t>
            </w:r>
            <w:r>
              <w:rPr>
                <w:rFonts w:hint="eastAsia"/>
              </w:rPr>
              <w:t>国家</w:t>
            </w:r>
            <w:r>
              <w:rPr>
                <w:rFonts w:hint="eastAsia"/>
              </w:rPr>
              <w:t>]</w:t>
            </w:r>
          </w:p>
        </w:tc>
        <w:tc>
          <w:tcPr>
            <w:tcW w:w="710" w:type="dxa"/>
          </w:tcPr>
          <w:p w14:paraId="4A955630" w14:textId="77777777" w:rsidR="00533B9C" w:rsidRDefault="00000000">
            <w:pPr>
              <w:pStyle w:val="Compact"/>
            </w:pPr>
            <w:r>
              <w:rPr>
                <w:rFonts w:hint="eastAsia"/>
              </w:rPr>
              <w:t>[</w:t>
            </w:r>
            <w:r>
              <w:rPr>
                <w:rFonts w:hint="eastAsia"/>
              </w:rPr>
              <w:t>可获取</w:t>
            </w:r>
            <w:r>
              <w:rPr>
                <w:rFonts w:hint="eastAsia"/>
              </w:rPr>
              <w:t>]</w:t>
            </w:r>
          </w:p>
        </w:tc>
      </w:tr>
      <w:tr w:rsidR="00533B9C" w14:paraId="1B1AC526" w14:textId="77777777" w:rsidTr="00533B9C">
        <w:tc>
          <w:tcPr>
            <w:tcW w:w="710" w:type="dxa"/>
          </w:tcPr>
          <w:p w14:paraId="12F82044" w14:textId="77777777" w:rsidR="00533B9C" w:rsidRDefault="00000000">
            <w:pPr>
              <w:pStyle w:val="Compact"/>
            </w:pPr>
            <w:r>
              <w:t>PI-06</w:t>
            </w:r>
          </w:p>
        </w:tc>
        <w:tc>
          <w:tcPr>
            <w:tcW w:w="710" w:type="dxa"/>
          </w:tcPr>
          <w:p w14:paraId="368847F1" w14:textId="77777777" w:rsidR="00533B9C" w:rsidRDefault="00000000">
            <w:pPr>
              <w:pStyle w:val="Compact"/>
            </w:pPr>
            <w:r>
              <w:t>Dossier réglementaire</w:t>
            </w:r>
          </w:p>
        </w:tc>
        <w:tc>
          <w:tcPr>
            <w:tcW w:w="710" w:type="dxa"/>
          </w:tcPr>
          <w:p w14:paraId="0FDE97BB" w14:textId="77777777" w:rsidR="00533B9C" w:rsidRDefault="00000000">
            <w:pPr>
              <w:pStyle w:val="Compact"/>
            </w:pPr>
            <w:r>
              <w:t>[RÉFÉRENCE]</w:t>
            </w:r>
          </w:p>
        </w:tc>
        <w:tc>
          <w:tcPr>
            <w:tcW w:w="710" w:type="dxa"/>
          </w:tcPr>
          <w:p w14:paraId="3E5018CF" w14:textId="77777777" w:rsidR="00533B9C" w:rsidRDefault="00000000">
            <w:pPr>
              <w:pStyle w:val="Compact"/>
            </w:pPr>
            <w:r>
              <w:t>[N°]</w:t>
            </w:r>
          </w:p>
        </w:tc>
        <w:tc>
          <w:tcPr>
            <w:tcW w:w="710" w:type="dxa"/>
          </w:tcPr>
          <w:p w14:paraId="253CAAB7" w14:textId="77777777" w:rsidR="00533B9C" w:rsidRDefault="00000000">
            <w:pPr>
              <w:pStyle w:val="Compact"/>
            </w:pPr>
            <w:r>
              <w:t>Chine/[autres]</w:t>
            </w:r>
          </w:p>
        </w:tc>
        <w:tc>
          <w:tcPr>
            <w:tcW w:w="710" w:type="dxa"/>
          </w:tcPr>
          <w:p w14:paraId="4A2900F4" w14:textId="77777777" w:rsidR="00533B9C" w:rsidRDefault="00000000">
            <w:pPr>
              <w:pStyle w:val="Compact"/>
            </w:pPr>
            <w:r>
              <w:t>[Enregistré]</w:t>
            </w:r>
          </w:p>
        </w:tc>
        <w:tc>
          <w:tcPr>
            <w:tcW w:w="710" w:type="dxa"/>
          </w:tcPr>
          <w:p w14:paraId="236DF0DE" w14:textId="77777777" w:rsidR="00533B9C" w:rsidRDefault="00000000">
            <w:pPr>
              <w:pStyle w:val="Compact"/>
            </w:pPr>
            <w:r>
              <w:t>PI-06</w:t>
            </w:r>
          </w:p>
        </w:tc>
        <w:tc>
          <w:tcPr>
            <w:tcW w:w="710" w:type="dxa"/>
          </w:tcPr>
          <w:p w14:paraId="4BBE4BF1" w14:textId="77777777" w:rsidR="00533B9C" w:rsidRDefault="00000000">
            <w:pPr>
              <w:pStyle w:val="Compact"/>
            </w:pPr>
            <w:r>
              <w:rPr>
                <w:rFonts w:hint="eastAsia"/>
              </w:rPr>
              <w:t>监管档案</w:t>
            </w:r>
          </w:p>
        </w:tc>
        <w:tc>
          <w:tcPr>
            <w:tcW w:w="710" w:type="dxa"/>
          </w:tcPr>
          <w:p w14:paraId="210D31C2" w14:textId="77777777" w:rsidR="00533B9C" w:rsidRDefault="00000000">
            <w:pPr>
              <w:pStyle w:val="Compact"/>
            </w:pPr>
            <w:r>
              <w:rPr>
                <w:rFonts w:hint="eastAsia"/>
              </w:rPr>
              <w:t>[</w:t>
            </w:r>
            <w:r>
              <w:rPr>
                <w:rFonts w:hint="eastAsia"/>
              </w:rPr>
              <w:t>参考编号</w:t>
            </w:r>
            <w:r>
              <w:rPr>
                <w:rFonts w:hint="eastAsia"/>
              </w:rPr>
              <w:t>]</w:t>
            </w:r>
          </w:p>
        </w:tc>
        <w:tc>
          <w:tcPr>
            <w:tcW w:w="710" w:type="dxa"/>
          </w:tcPr>
          <w:p w14:paraId="4146C882" w14:textId="77777777" w:rsidR="00533B9C" w:rsidRDefault="00000000">
            <w:pPr>
              <w:pStyle w:val="Compact"/>
            </w:pPr>
            <w:r>
              <w:rPr>
                <w:rFonts w:hint="eastAsia"/>
              </w:rPr>
              <w:t>[</w:t>
            </w:r>
            <w:r>
              <w:rPr>
                <w:rFonts w:hint="eastAsia"/>
              </w:rPr>
              <w:t>编号</w:t>
            </w:r>
            <w:r>
              <w:rPr>
                <w:rFonts w:hint="eastAsia"/>
              </w:rPr>
              <w:t>]</w:t>
            </w:r>
          </w:p>
        </w:tc>
        <w:tc>
          <w:tcPr>
            <w:tcW w:w="710" w:type="dxa"/>
          </w:tcPr>
          <w:p w14:paraId="5E74277A" w14:textId="77777777" w:rsidR="00533B9C" w:rsidRDefault="00000000">
            <w:pPr>
              <w:pStyle w:val="Compact"/>
            </w:pPr>
            <w:r>
              <w:rPr>
                <w:rFonts w:hint="eastAsia"/>
              </w:rPr>
              <w:t>中国</w:t>
            </w:r>
            <w:r>
              <w:rPr>
                <w:rFonts w:hint="eastAsia"/>
              </w:rPr>
              <w:t>/[</w:t>
            </w:r>
            <w:r>
              <w:rPr>
                <w:rFonts w:hint="eastAsia"/>
              </w:rPr>
              <w:t>其他</w:t>
            </w:r>
            <w:r>
              <w:rPr>
                <w:rFonts w:hint="eastAsia"/>
              </w:rPr>
              <w:t>]</w:t>
            </w:r>
          </w:p>
        </w:tc>
        <w:tc>
          <w:tcPr>
            <w:tcW w:w="710" w:type="dxa"/>
          </w:tcPr>
          <w:p w14:paraId="291B65BD" w14:textId="77777777" w:rsidR="00533B9C" w:rsidRDefault="00000000">
            <w:pPr>
              <w:pStyle w:val="Compact"/>
            </w:pPr>
            <w:r>
              <w:rPr>
                <w:rFonts w:hint="eastAsia"/>
              </w:rPr>
              <w:t>[</w:t>
            </w:r>
            <w:r>
              <w:rPr>
                <w:rFonts w:hint="eastAsia"/>
              </w:rPr>
              <w:t>已注册</w:t>
            </w:r>
            <w:r>
              <w:rPr>
                <w:rFonts w:hint="eastAsia"/>
              </w:rPr>
              <w:t>]</w:t>
            </w:r>
          </w:p>
        </w:tc>
      </w:tr>
      <w:tr w:rsidR="00533B9C" w14:paraId="44E610B0" w14:textId="77777777" w:rsidTr="00533B9C">
        <w:tc>
          <w:tcPr>
            <w:tcW w:w="710" w:type="dxa"/>
          </w:tcPr>
          <w:p w14:paraId="6D0A1333" w14:textId="77777777" w:rsidR="00533B9C" w:rsidRDefault="00000000">
            <w:pPr>
              <w:pStyle w:val="Compact"/>
            </w:pPr>
            <w:r>
              <w:t>PI-07</w:t>
            </w:r>
          </w:p>
        </w:tc>
        <w:tc>
          <w:tcPr>
            <w:tcW w:w="710" w:type="dxa"/>
          </w:tcPr>
          <w:p w14:paraId="260CA87C" w14:textId="77777777" w:rsidR="00533B9C" w:rsidRDefault="00000000">
            <w:pPr>
              <w:pStyle w:val="Compact"/>
            </w:pPr>
            <w:r>
              <w:t>Marque</w:t>
            </w:r>
          </w:p>
        </w:tc>
        <w:tc>
          <w:tcPr>
            <w:tcW w:w="710" w:type="dxa"/>
          </w:tcPr>
          <w:p w14:paraId="1DE84DEA" w14:textId="77777777" w:rsidR="00533B9C" w:rsidRDefault="00000000">
            <w:pPr>
              <w:pStyle w:val="Compact"/>
            </w:pPr>
            <w:r>
              <w:t>[DÉNO</w:t>
            </w:r>
            <w:r>
              <w:lastRenderedPageBreak/>
              <w:t>MINATION]</w:t>
            </w:r>
          </w:p>
        </w:tc>
        <w:tc>
          <w:tcPr>
            <w:tcW w:w="710" w:type="dxa"/>
          </w:tcPr>
          <w:p w14:paraId="681B2DAC" w14:textId="77777777" w:rsidR="00533B9C" w:rsidRDefault="00000000">
            <w:pPr>
              <w:pStyle w:val="Compact"/>
            </w:pPr>
            <w:r>
              <w:lastRenderedPageBreak/>
              <w:t>[N°]</w:t>
            </w:r>
          </w:p>
        </w:tc>
        <w:tc>
          <w:tcPr>
            <w:tcW w:w="710" w:type="dxa"/>
          </w:tcPr>
          <w:p w14:paraId="368F87E9" w14:textId="77777777" w:rsidR="00533B9C" w:rsidRDefault="00000000">
            <w:pPr>
              <w:pStyle w:val="Compact"/>
            </w:pPr>
            <w:r>
              <w:t xml:space="preserve">[PAYS </w:t>
            </w:r>
            <w:r>
              <w:lastRenderedPageBreak/>
              <w:t>hors Europe]</w:t>
            </w:r>
          </w:p>
        </w:tc>
        <w:tc>
          <w:tcPr>
            <w:tcW w:w="710" w:type="dxa"/>
          </w:tcPr>
          <w:p w14:paraId="75528FBF" w14:textId="77777777" w:rsidR="00533B9C" w:rsidRDefault="00000000">
            <w:pPr>
              <w:pStyle w:val="Compact"/>
            </w:pPr>
            <w:r>
              <w:lastRenderedPageBreak/>
              <w:t>[Dépos</w:t>
            </w:r>
            <w:r>
              <w:lastRenderedPageBreak/>
              <w:t>ée/Accordée]</w:t>
            </w:r>
          </w:p>
        </w:tc>
        <w:tc>
          <w:tcPr>
            <w:tcW w:w="710" w:type="dxa"/>
          </w:tcPr>
          <w:p w14:paraId="6D5C7CD0" w14:textId="77777777" w:rsidR="00533B9C" w:rsidRDefault="00000000">
            <w:pPr>
              <w:pStyle w:val="Compact"/>
            </w:pPr>
            <w:r>
              <w:lastRenderedPageBreak/>
              <w:t>PI-07</w:t>
            </w:r>
          </w:p>
        </w:tc>
        <w:tc>
          <w:tcPr>
            <w:tcW w:w="710" w:type="dxa"/>
          </w:tcPr>
          <w:p w14:paraId="22B649E0" w14:textId="77777777" w:rsidR="00533B9C" w:rsidRDefault="00000000">
            <w:pPr>
              <w:pStyle w:val="Compact"/>
            </w:pPr>
            <w:r>
              <w:rPr>
                <w:rFonts w:hint="eastAsia"/>
              </w:rPr>
              <w:t>商标</w:t>
            </w:r>
          </w:p>
        </w:tc>
        <w:tc>
          <w:tcPr>
            <w:tcW w:w="710" w:type="dxa"/>
          </w:tcPr>
          <w:p w14:paraId="7F395DC7" w14:textId="77777777" w:rsidR="00533B9C" w:rsidRDefault="00000000">
            <w:pPr>
              <w:pStyle w:val="Compact"/>
            </w:pPr>
            <w:r>
              <w:rPr>
                <w:rFonts w:hint="eastAsia"/>
              </w:rPr>
              <w:t>[</w:t>
            </w:r>
            <w:r>
              <w:rPr>
                <w:rFonts w:hint="eastAsia"/>
              </w:rPr>
              <w:t>名称</w:t>
            </w:r>
            <w:r>
              <w:rPr>
                <w:rFonts w:hint="eastAsia"/>
              </w:rPr>
              <w:t>]</w:t>
            </w:r>
          </w:p>
        </w:tc>
        <w:tc>
          <w:tcPr>
            <w:tcW w:w="710" w:type="dxa"/>
          </w:tcPr>
          <w:p w14:paraId="70221FB3" w14:textId="77777777" w:rsidR="00533B9C" w:rsidRDefault="00000000">
            <w:pPr>
              <w:pStyle w:val="Compact"/>
            </w:pPr>
            <w:r>
              <w:rPr>
                <w:rFonts w:hint="eastAsia"/>
              </w:rPr>
              <w:t>[</w:t>
            </w:r>
            <w:r>
              <w:rPr>
                <w:rFonts w:hint="eastAsia"/>
              </w:rPr>
              <w:t>编号</w:t>
            </w:r>
            <w:r>
              <w:rPr>
                <w:rFonts w:hint="eastAsia"/>
              </w:rPr>
              <w:t>]</w:t>
            </w:r>
          </w:p>
        </w:tc>
        <w:tc>
          <w:tcPr>
            <w:tcW w:w="710" w:type="dxa"/>
          </w:tcPr>
          <w:p w14:paraId="3B5DBD34" w14:textId="77777777" w:rsidR="00533B9C" w:rsidRDefault="00000000">
            <w:pPr>
              <w:pStyle w:val="Compact"/>
            </w:pPr>
            <w:r>
              <w:rPr>
                <w:rFonts w:hint="eastAsia"/>
              </w:rPr>
              <w:t>[</w:t>
            </w:r>
            <w:r>
              <w:rPr>
                <w:rFonts w:hint="eastAsia"/>
              </w:rPr>
              <w:t>欧洲以</w:t>
            </w:r>
            <w:r>
              <w:rPr>
                <w:rFonts w:hint="eastAsia"/>
              </w:rPr>
              <w:lastRenderedPageBreak/>
              <w:t>外国家</w:t>
            </w:r>
            <w:r>
              <w:rPr>
                <w:rFonts w:hint="eastAsia"/>
              </w:rPr>
              <w:t>]</w:t>
            </w:r>
          </w:p>
        </w:tc>
        <w:tc>
          <w:tcPr>
            <w:tcW w:w="710" w:type="dxa"/>
          </w:tcPr>
          <w:p w14:paraId="16303947" w14:textId="77777777" w:rsidR="00533B9C" w:rsidRDefault="00000000">
            <w:pPr>
              <w:pStyle w:val="Compact"/>
            </w:pPr>
            <w:r>
              <w:rPr>
                <w:rFonts w:hint="eastAsia"/>
              </w:rPr>
              <w:lastRenderedPageBreak/>
              <w:t>[</w:t>
            </w:r>
            <w:r>
              <w:rPr>
                <w:rFonts w:hint="eastAsia"/>
              </w:rPr>
              <w:t>已申请</w:t>
            </w:r>
            <w:r>
              <w:rPr>
                <w:rFonts w:hint="eastAsia"/>
              </w:rPr>
              <w:lastRenderedPageBreak/>
              <w:t>/</w:t>
            </w:r>
            <w:r>
              <w:rPr>
                <w:rFonts w:hint="eastAsia"/>
              </w:rPr>
              <w:t>已注册</w:t>
            </w:r>
            <w:r>
              <w:rPr>
                <w:rFonts w:hint="eastAsia"/>
              </w:rPr>
              <w:t>]</w:t>
            </w:r>
          </w:p>
        </w:tc>
      </w:tr>
    </w:tbl>
    <w:p w14:paraId="38DFDA4D" w14:textId="77777777" w:rsidR="00533B9C" w:rsidRDefault="00000000">
      <w:pPr>
        <w:pStyle w:val="BodyText"/>
      </w:pPr>
      <w:r>
        <w:rPr>
          <w:i/>
          <w:iCs/>
        </w:rPr>
        <w:lastRenderedPageBreak/>
        <w:t>La présente liste est indicative. L’Annexe A définitive est établie conjointement par DIAHO et le Commissaire aux apports / Réviseur d’entreprises dans le cadre de l’évaluation des apports.</w:t>
      </w:r>
      <w:r>
        <w:t xml:space="preserve"> </w:t>
      </w:r>
      <w:r>
        <w:rPr>
          <w:rFonts w:hint="eastAsia"/>
          <w:i/>
          <w:iCs/>
        </w:rPr>
        <w:t>本清单为参考性清单。附件</w:t>
      </w:r>
      <w:r>
        <w:rPr>
          <w:rFonts w:hint="eastAsia"/>
          <w:i/>
          <w:iCs/>
        </w:rPr>
        <w:t>A</w:t>
      </w:r>
      <w:r>
        <w:rPr>
          <w:rFonts w:hint="eastAsia"/>
          <w:i/>
          <w:iCs/>
        </w:rPr>
        <w:t>最终版本由迪鸿与出资审计师</w:t>
      </w:r>
      <w:r>
        <w:rPr>
          <w:rFonts w:hint="eastAsia"/>
          <w:i/>
          <w:iCs/>
        </w:rPr>
        <w:t>/</w:t>
      </w:r>
      <w:r>
        <w:rPr>
          <w:rFonts w:hint="eastAsia"/>
          <w:i/>
          <w:iCs/>
        </w:rPr>
        <w:t>企业审计师在出资评估框架内共同确定。</w:t>
      </w:r>
    </w:p>
    <w:p w14:paraId="55B4B738" w14:textId="77777777" w:rsidR="00533B9C" w:rsidRDefault="00423071">
      <w:r>
        <w:rPr>
          <w:noProof/>
        </w:rPr>
      </w:r>
      <w:r>
        <w:pict w14:anchorId="7877840B">
          <v:rect id="Horizontal Line 17" o:spid="_x0000_s1027"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5234DB36" w14:textId="77777777" w:rsidR="00533B9C" w:rsidRDefault="00000000">
      <w:pPr>
        <w:pStyle w:val="Heading2"/>
      </w:pPr>
      <w:bookmarkStart w:id="41" w:name="X6c8b60a641bf287e822c5027903a4b2d5fbe0d6"/>
      <w:bookmarkEnd w:id="39"/>
      <w:r>
        <w:t xml:space="preserve">ANNEXE B — DÉCISIONS SOUMISES À CONSULTATION OU DROIT DE VETO DE DIAHO | </w:t>
      </w:r>
      <w:r>
        <w:rPr>
          <w:rFonts w:hint="eastAsia"/>
        </w:rPr>
        <w:t>附件</w:t>
      </w:r>
      <w:r>
        <w:rPr>
          <w:rFonts w:hint="eastAsia"/>
        </w:rPr>
        <w:t>B</w:t>
      </w:r>
      <w:r>
        <w:t xml:space="preserve"> — </w:t>
      </w:r>
      <w:r>
        <w:rPr>
          <w:rFonts w:hint="eastAsia"/>
        </w:rPr>
        <w:t>须经迪鸿咨询或享有否决权的决策事项</w:t>
      </w:r>
    </w:p>
    <w:p w14:paraId="34FF8C3A" w14:textId="77777777" w:rsidR="00533B9C" w:rsidRDefault="00000000">
      <w:pPr>
        <w:pStyle w:val="FirstParagraph"/>
      </w:pPr>
      <w:r>
        <w:rPr>
          <w:i/>
          <w:iCs/>
        </w:rPr>
        <w:t xml:space="preserve">[À négocier entre les Parties et le Conseil — liste à définir avant signature | </w:t>
      </w:r>
      <w:r>
        <w:rPr>
          <w:rFonts w:hint="eastAsia"/>
          <w:i/>
          <w:iCs/>
        </w:rPr>
        <w:t>待各方及顾问协商谈判——须在签署前确定清单</w:t>
      </w:r>
      <w:r>
        <w:rPr>
          <w:rFonts w:hint="eastAsia"/>
          <w:i/>
          <w:iCs/>
        </w:rPr>
        <w:t>]</w:t>
      </w:r>
    </w:p>
    <w:p w14:paraId="3AF0D08C" w14:textId="77777777" w:rsidR="00533B9C" w:rsidRDefault="00000000">
      <w:pPr>
        <w:pStyle w:val="BodyText"/>
      </w:pPr>
      <w:r>
        <w:rPr>
          <w:b/>
          <w:bCs/>
        </w:rPr>
        <w:t>Décisions soumises à consultation préalable de DIAHO (information + avis non contraignant) :</w:t>
      </w:r>
      <w:r>
        <w:t xml:space="preserve"> </w:t>
      </w:r>
      <w:r>
        <w:rPr>
          <w:rFonts w:hint="eastAsia"/>
          <w:b/>
          <w:bCs/>
        </w:rPr>
        <w:t>须事先咨询迪鸿的决策（知情</w:t>
      </w:r>
      <w:r>
        <w:rPr>
          <w:rFonts w:hint="eastAsia"/>
          <w:b/>
          <w:bCs/>
        </w:rPr>
        <w:t>+</w:t>
      </w:r>
      <w:r>
        <w:rPr>
          <w:rFonts w:hint="eastAsia"/>
          <w:b/>
          <w:bCs/>
        </w:rPr>
        <w:t>不具约束力的意见）：</w:t>
      </w:r>
      <w:r>
        <w:t xml:space="preserve"> - [ ] [À définir | </w:t>
      </w:r>
      <w:r>
        <w:rPr>
          <w:rFonts w:hint="eastAsia"/>
        </w:rPr>
        <w:t>待定</w:t>
      </w:r>
      <w:r>
        <w:rPr>
          <w:rFonts w:hint="eastAsia"/>
        </w:rPr>
        <w:t>]</w:t>
      </w:r>
    </w:p>
    <w:p w14:paraId="6E381A3B" w14:textId="77777777" w:rsidR="00533B9C" w:rsidRDefault="00000000">
      <w:pPr>
        <w:pStyle w:val="BodyText"/>
      </w:pPr>
      <w:r>
        <w:rPr>
          <w:b/>
          <w:bCs/>
        </w:rPr>
        <w:t>Décisions soumises à accord préalable de DIAHO (veto) :</w:t>
      </w:r>
      <w:r>
        <w:t xml:space="preserve"> </w:t>
      </w:r>
      <w:r>
        <w:rPr>
          <w:rFonts w:hint="eastAsia"/>
          <w:b/>
          <w:bCs/>
        </w:rPr>
        <w:t>须获迪鸿事先同意的决策（否决权）：</w:t>
      </w:r>
      <w:r>
        <w:t xml:space="preserve"> - [ ] [À définir — recommandation [[Renard]] : réduire au strict minimum pour préserver l’autonomie opérationnelle des Fondateurs | </w:t>
      </w:r>
      <w:r>
        <w:rPr>
          <w:rFonts w:hint="eastAsia"/>
        </w:rPr>
        <w:t>待定——</w:t>
      </w:r>
      <w:r>
        <w:rPr>
          <w:rFonts w:hint="eastAsia"/>
        </w:rPr>
        <w:t>Renard</w:t>
      </w:r>
      <w:r>
        <w:rPr>
          <w:rFonts w:hint="eastAsia"/>
        </w:rPr>
        <w:t>建议：严格限于最低限度，以维护创始人的运营自主权</w:t>
      </w:r>
      <w:r>
        <w:rPr>
          <w:rFonts w:hint="eastAsia"/>
        </w:rPr>
        <w:t>]</w:t>
      </w:r>
    </w:p>
    <w:p w14:paraId="4AB36E41" w14:textId="77777777" w:rsidR="00533B9C" w:rsidRDefault="00423071">
      <w:r>
        <w:rPr>
          <w:noProof/>
        </w:rPr>
      </w:r>
      <w:r>
        <w:pict w14:anchorId="61518CC4">
          <v:rect id="Horizontal Line 18" o:spid="_x0000_s102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bookmarkEnd w:id="3"/>
      <w:bookmarkEnd w:id="41"/>
    </w:p>
    <w:sectPr w:rsidR="00533B9C">
      <w:footnotePr>
        <w:numRestart w:val="eachSect"/>
      </w:footnotePr>
      <w:pgSz w:w="11906" w:h="16838"/>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0" w:author="李y" w:date="2026-06-29T21:36:00Z" w:initials="">
    <w:p w14:paraId="0208A3DE" w14:textId="77777777" w:rsidR="00533B9C" w:rsidRDefault="00596880">
      <w:pPr>
        <w:pStyle w:val="CommentText"/>
      </w:pPr>
      <w:r>
        <w:rPr>
          <w:rStyle w:val="CommentReference"/>
        </w:rPr>
        <w:annotationRef/>
      </w:r>
      <w:r w:rsidR="00000000">
        <w:rPr>
          <w:rFonts w:hint="eastAsia"/>
        </w:rPr>
        <w:t>需要进行调整按实际的出资的清单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208A3D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208A3DE" w16cid:durableId="0208A3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21B7B4" w14:textId="77777777" w:rsidR="00423071" w:rsidRDefault="00423071">
      <w:pPr>
        <w:spacing w:after="0"/>
      </w:pPr>
      <w:r>
        <w:separator/>
      </w:r>
    </w:p>
  </w:endnote>
  <w:endnote w:type="continuationSeparator" w:id="0">
    <w:p w14:paraId="15E6FEFF" w14:textId="77777777" w:rsidR="00423071" w:rsidRDefault="004230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F06808" w14:textId="77777777" w:rsidR="00423071" w:rsidRDefault="00423071">
      <w:pPr>
        <w:spacing w:after="0"/>
      </w:pPr>
      <w:r>
        <w:separator/>
      </w:r>
    </w:p>
  </w:footnote>
  <w:footnote w:type="continuationSeparator" w:id="0">
    <w:p w14:paraId="7544CD2B" w14:textId="77777777" w:rsidR="00423071" w:rsidRDefault="0042307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0000002"/>
    <w:multiLevelType w:val="multilevel"/>
    <w:tmpl w:val="0000000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 w15:restartNumberingAfterBreak="0">
    <w:nsid w:val="00000003"/>
    <w:multiLevelType w:val="multilevel"/>
    <w:tmpl w:val="00000003"/>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16530934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34242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20590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747702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noPunctuationKerning/>
  <w:characterSpacingControl w:val="doNotCompress"/>
  <w:footnotePr>
    <w:numRestart w:val="eachSect"/>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B9C"/>
    <w:rsid w:val="00423071"/>
    <w:rsid w:val="00533B9C"/>
    <w:rsid w:val="00596880"/>
    <w:rsid w:val="00AC6CCD"/>
    <w:rsid w:val="21096E24"/>
    <w:rsid w:val="22366DE3"/>
    <w:rsid w:val="3FD35B35"/>
    <w:rsid w:val="5EF2794C"/>
    <w:rsid w:val="60CE0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5:docId w15:val="{9CF08916-0AE3-6F4A-B78A-94E7D7ADD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BE"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annotation text" w:qFormat="1"/>
    <w:lsdException w:name="caption" w:semiHidden="1" w:unhideWhenUsed="1" w:qFormat="1"/>
    <w:lsdException w:name="Title" w:uiPriority="10" w:qFormat="1"/>
    <w:lsdException w:name="Default Paragraph Font" w:qFormat="1"/>
    <w:lsdException w:name="Body Text" w:qFormat="1"/>
    <w:lsdException w:name="Subtitle" w:uiPriority="11" w:qFormat="1"/>
    <w:lsdException w:name="Date" w:qFormat="1"/>
    <w:lsdException w:name="Block Text" w:uiPriority="9"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Aptos" w:hAnsi="Aptos" w:cs="SimSun"/>
      <w:sz w:val="24"/>
      <w:szCs w:val="24"/>
      <w:lang w:val="en-US" w:eastAsia="zh-CN"/>
    </w:rPr>
  </w:style>
  <w:style w:type="paragraph" w:styleId="Heading1">
    <w:name w:val="heading 1"/>
    <w:basedOn w:val="Normal"/>
    <w:next w:val="BodyText"/>
    <w:link w:val="Heading1Char"/>
    <w:uiPriority w:val="9"/>
    <w:qFormat/>
    <w:pPr>
      <w:keepNext/>
      <w:keepLines/>
      <w:spacing w:before="360" w:after="80"/>
      <w:outlineLvl w:val="0"/>
    </w:pPr>
    <w:rPr>
      <w:rFonts w:ascii="Aptos Display" w:hAnsi="Aptos Display"/>
      <w:color w:val="0F4761"/>
      <w:sz w:val="40"/>
      <w:szCs w:val="40"/>
    </w:rPr>
  </w:style>
  <w:style w:type="paragraph" w:styleId="Heading2">
    <w:name w:val="heading 2"/>
    <w:basedOn w:val="Normal"/>
    <w:next w:val="BodyText"/>
    <w:link w:val="Heading2Char"/>
    <w:uiPriority w:val="9"/>
    <w:qFormat/>
    <w:pPr>
      <w:keepNext/>
      <w:keepLines/>
      <w:spacing w:before="160" w:after="80"/>
      <w:outlineLvl w:val="1"/>
    </w:pPr>
    <w:rPr>
      <w:rFonts w:ascii="Aptos Display" w:hAnsi="Aptos Display"/>
      <w:color w:val="0F4761"/>
      <w:sz w:val="32"/>
      <w:szCs w:val="32"/>
    </w:rPr>
  </w:style>
  <w:style w:type="paragraph" w:styleId="Heading3">
    <w:name w:val="heading 3"/>
    <w:basedOn w:val="Normal"/>
    <w:next w:val="BodyText"/>
    <w:link w:val="Heading3Char"/>
    <w:uiPriority w:val="9"/>
    <w:qFormat/>
    <w:pPr>
      <w:keepNext/>
      <w:keepLines/>
      <w:spacing w:before="160" w:after="80"/>
      <w:outlineLvl w:val="2"/>
    </w:pPr>
    <w:rPr>
      <w:color w:val="0F4761"/>
      <w:sz w:val="28"/>
      <w:szCs w:val="28"/>
    </w:rPr>
  </w:style>
  <w:style w:type="paragraph" w:styleId="Heading4">
    <w:name w:val="heading 4"/>
    <w:basedOn w:val="Normal"/>
    <w:next w:val="BodyText"/>
    <w:link w:val="Heading4Char"/>
    <w:uiPriority w:val="9"/>
    <w:qFormat/>
    <w:pPr>
      <w:keepNext/>
      <w:keepLines/>
      <w:spacing w:before="80" w:after="40"/>
      <w:outlineLvl w:val="3"/>
    </w:pPr>
    <w:rPr>
      <w:i/>
      <w:iCs/>
      <w:color w:val="0F4761"/>
    </w:rPr>
  </w:style>
  <w:style w:type="paragraph" w:styleId="Heading5">
    <w:name w:val="heading 5"/>
    <w:basedOn w:val="Normal"/>
    <w:next w:val="BodyText"/>
    <w:link w:val="Heading5Char"/>
    <w:uiPriority w:val="9"/>
    <w:qFormat/>
    <w:pPr>
      <w:keepNext/>
      <w:keepLines/>
      <w:spacing w:before="80" w:after="40"/>
      <w:outlineLvl w:val="4"/>
    </w:pPr>
    <w:rPr>
      <w:color w:val="0F4761"/>
    </w:rPr>
  </w:style>
  <w:style w:type="paragraph" w:styleId="Heading6">
    <w:name w:val="heading 6"/>
    <w:basedOn w:val="Normal"/>
    <w:next w:val="BodyText"/>
    <w:link w:val="Heading6Char"/>
    <w:uiPriority w:val="9"/>
    <w:qFormat/>
    <w:pPr>
      <w:keepNext/>
      <w:keepLines/>
      <w:spacing w:before="40" w:after="0"/>
      <w:outlineLvl w:val="5"/>
    </w:pPr>
    <w:rPr>
      <w:i/>
      <w:iCs/>
      <w:color w:val="595959"/>
    </w:rPr>
  </w:style>
  <w:style w:type="paragraph" w:styleId="Heading7">
    <w:name w:val="heading 7"/>
    <w:basedOn w:val="Normal"/>
    <w:next w:val="BodyText"/>
    <w:link w:val="Heading7Char"/>
    <w:uiPriority w:val="9"/>
    <w:qFormat/>
    <w:pPr>
      <w:keepNext/>
      <w:keepLines/>
      <w:spacing w:before="40" w:after="0"/>
      <w:outlineLvl w:val="6"/>
    </w:pPr>
    <w:rPr>
      <w:color w:val="595959"/>
    </w:rPr>
  </w:style>
  <w:style w:type="paragraph" w:styleId="Heading8">
    <w:name w:val="heading 8"/>
    <w:basedOn w:val="Normal"/>
    <w:next w:val="BodyText"/>
    <w:link w:val="Heading8Char"/>
    <w:uiPriority w:val="9"/>
    <w:qFormat/>
    <w:pPr>
      <w:keepNext/>
      <w:keepLines/>
      <w:spacing w:after="0"/>
      <w:outlineLvl w:val="7"/>
    </w:pPr>
    <w:rPr>
      <w:i/>
      <w:iCs/>
      <w:color w:val="272727"/>
    </w:rPr>
  </w:style>
  <w:style w:type="paragraph" w:styleId="Heading9">
    <w:name w:val="heading 9"/>
    <w:basedOn w:val="Normal"/>
    <w:next w:val="BodyText"/>
    <w:link w:val="Heading9Char"/>
    <w:uiPriority w:val="9"/>
    <w:qFormat/>
    <w:pPr>
      <w:keepNext/>
      <w:keepLines/>
      <w:spacing w:after="0"/>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CommentText">
    <w:name w:val="annotation text"/>
    <w:basedOn w:val="Normal"/>
    <w:qFormat/>
  </w:style>
  <w:style w:type="paragraph" w:styleId="BlockText">
    <w:name w:val="Block Text"/>
    <w:basedOn w:val="BodyText"/>
    <w:next w:val="BodyText"/>
    <w:uiPriority w:val="9"/>
    <w:qFormat/>
    <w:pPr>
      <w:spacing w:before="100" w:after="100"/>
      <w:ind w:left="480" w:right="480"/>
    </w:pPr>
  </w:style>
  <w:style w:type="paragraph" w:styleId="Date">
    <w:name w:val="Date"/>
    <w:basedOn w:val="Title"/>
    <w:next w:val="BodyText"/>
    <w:qFormat/>
    <w:pPr>
      <w:keepNext/>
      <w:keepLines/>
    </w:pPr>
    <w:rPr>
      <w:sz w:val="24"/>
      <w:szCs w:val="24"/>
    </w:rPr>
  </w:style>
  <w:style w:type="paragraph" w:styleId="Title">
    <w:name w:val="Title"/>
    <w:basedOn w:val="Normal"/>
    <w:next w:val="BodyText"/>
    <w:link w:val="TitleChar"/>
    <w:uiPriority w:val="10"/>
    <w:qFormat/>
    <w:pPr>
      <w:spacing w:after="80"/>
      <w:contextualSpacing/>
      <w:jc w:val="center"/>
    </w:pPr>
    <w:rPr>
      <w:rFonts w:ascii="Aptos Display" w:hAnsi="Aptos Display"/>
      <w:sz w:val="56"/>
      <w:szCs w:val="56"/>
    </w:rPr>
  </w:style>
  <w:style w:type="paragraph" w:styleId="Subtitle">
    <w:name w:val="Subtitle"/>
    <w:basedOn w:val="Title"/>
    <w:next w:val="BodyText"/>
    <w:link w:val="SubtitleChar"/>
    <w:uiPriority w:val="11"/>
    <w:qFormat/>
    <w:pPr>
      <w:numPr>
        <w:ilvl w:val="1"/>
      </w:numPr>
    </w:pPr>
    <w:rPr>
      <w:spacing w:val="15"/>
      <w:sz w:val="28"/>
      <w:szCs w:val="28"/>
    </w:rPr>
  </w:style>
  <w:style w:type="character" w:styleId="Hyperlink">
    <w:name w:val="Hyperlink"/>
    <w:basedOn w:val="BodyTextChar"/>
    <w:qFormat/>
    <w:rPr>
      <w:color w:val="4F81BD"/>
    </w:rPr>
  </w:style>
  <w:style w:type="character" w:customStyle="1" w:styleId="BodyTextChar">
    <w:name w:val="Body Text Char"/>
    <w:basedOn w:val="DefaultParagraphFont"/>
    <w:link w:val="BodyText"/>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qFormat/>
    <w:rPr>
      <w:rFonts w:ascii="Aptos Display" w:eastAsia="SimSun" w:hAnsi="Aptos Display" w:cs="SimSun"/>
      <w:sz w:val="56"/>
      <w:szCs w:val="56"/>
    </w:rPr>
  </w:style>
  <w:style w:type="character" w:customStyle="1" w:styleId="SubtitleChar">
    <w:name w:val="Subtitle Char"/>
    <w:basedOn w:val="DefaultParagraphFont"/>
    <w:link w:val="Subtitle"/>
    <w:uiPriority w:val="11"/>
    <w:qFormat/>
    <w:rPr>
      <w:rFonts w:eastAsia="SimSun" w:cs="SimSun"/>
      <w:color w:val="595959"/>
      <w:spacing w:val="15"/>
      <w:sz w:val="28"/>
      <w:szCs w:val="28"/>
    </w:rPr>
  </w:style>
  <w:style w:type="paragraph" w:customStyle="1" w:styleId="Author">
    <w:name w:val="Author"/>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character" w:customStyle="1" w:styleId="Heading1Char">
    <w:name w:val="Heading 1 Char"/>
    <w:basedOn w:val="DefaultParagraphFont"/>
    <w:link w:val="Heading1"/>
    <w:uiPriority w:val="9"/>
    <w:qFormat/>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qFormat/>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qFormat/>
    <w:rPr>
      <w:rFonts w:eastAsia="SimSun" w:cs="SimSun"/>
      <w:color w:val="0F4761"/>
      <w:sz w:val="28"/>
      <w:szCs w:val="28"/>
    </w:rPr>
  </w:style>
  <w:style w:type="character" w:customStyle="1" w:styleId="Heading4Char">
    <w:name w:val="Heading 4 Char"/>
    <w:basedOn w:val="DefaultParagraphFont"/>
    <w:link w:val="Heading4"/>
    <w:uiPriority w:val="9"/>
    <w:qFormat/>
    <w:rPr>
      <w:rFonts w:eastAsia="SimSun" w:cs="SimSun"/>
      <w:i/>
      <w:iCs/>
      <w:color w:val="0F4761"/>
    </w:rPr>
  </w:style>
  <w:style w:type="character" w:customStyle="1" w:styleId="Heading5Char">
    <w:name w:val="Heading 5 Char"/>
    <w:basedOn w:val="DefaultParagraphFont"/>
    <w:link w:val="Heading5"/>
    <w:uiPriority w:val="9"/>
    <w:qFormat/>
    <w:rPr>
      <w:rFonts w:eastAsia="SimSun" w:cs="SimSun"/>
      <w:color w:val="0F4761"/>
    </w:rPr>
  </w:style>
  <w:style w:type="character" w:customStyle="1" w:styleId="Heading6Char">
    <w:name w:val="Heading 6 Char"/>
    <w:basedOn w:val="DefaultParagraphFont"/>
    <w:link w:val="Heading6"/>
    <w:uiPriority w:val="9"/>
    <w:qFormat/>
    <w:rPr>
      <w:rFonts w:eastAsia="SimSun" w:cs="SimSun"/>
      <w:i/>
      <w:iCs/>
      <w:color w:val="595959"/>
    </w:rPr>
  </w:style>
  <w:style w:type="character" w:customStyle="1" w:styleId="Heading7Char">
    <w:name w:val="Heading 7 Char"/>
    <w:basedOn w:val="DefaultParagraphFont"/>
    <w:link w:val="Heading7"/>
    <w:uiPriority w:val="9"/>
    <w:qFormat/>
    <w:rPr>
      <w:rFonts w:eastAsia="SimSun" w:cs="SimSun"/>
      <w:color w:val="595959"/>
    </w:rPr>
  </w:style>
  <w:style w:type="character" w:customStyle="1" w:styleId="Heading8Char">
    <w:name w:val="Heading 8 Char"/>
    <w:basedOn w:val="DefaultParagraphFont"/>
    <w:link w:val="Heading8"/>
    <w:uiPriority w:val="9"/>
    <w:qFormat/>
    <w:rPr>
      <w:rFonts w:eastAsia="SimSun" w:cs="SimSun"/>
      <w:i/>
      <w:iCs/>
      <w:color w:val="272727"/>
    </w:rPr>
  </w:style>
  <w:style w:type="character" w:customStyle="1" w:styleId="Heading9Char">
    <w:name w:val="Heading 9 Char"/>
    <w:basedOn w:val="DefaultParagraphFont"/>
    <w:link w:val="Heading9"/>
    <w:uiPriority w:val="9"/>
    <w:qFormat/>
    <w:rPr>
      <w:rFonts w:eastAsia="SimSun" w:cs="SimSun"/>
      <w:color w:val="272727"/>
    </w:rPr>
  </w:style>
  <w:style w:type="paragraph" w:customStyle="1" w:styleId="FootnoteText1">
    <w:name w:val="Footnote Text1"/>
    <w:basedOn w:val="Normal"/>
    <w:uiPriority w:val="9"/>
    <w:qFormat/>
  </w:style>
  <w:style w:type="paragraph" w:customStyle="1" w:styleId="FootnoteBlockText">
    <w:name w:val="Footnote Block Text"/>
    <w:basedOn w:val="FootnoteText1"/>
    <w:next w:val="FootnoteText1"/>
    <w:uiPriority w:val="9"/>
    <w:qFormat/>
    <w:pPr>
      <w:spacing w:before="100" w:after="100"/>
      <w:ind w:left="480" w:right="480"/>
    </w:pPr>
  </w:style>
  <w:style w:type="table" w:customStyle="1" w:styleId="Table">
    <w:name w:val="Table"/>
    <w:qFormat/>
    <w:tblPr>
      <w:tblCellMar>
        <w:top w:w="0" w:type="dxa"/>
        <w:left w:w="108" w:type="dxa"/>
        <w:bottom w:w="0" w:type="dxa"/>
        <w:right w:w="108" w:type="dxa"/>
      </w:tblCellMar>
    </w:tblPr>
    <w:tblStylePr w:type="firstRow">
      <w:tblPr/>
      <w:tcPr>
        <w:tcBorders>
          <w:bottom w:val="single" w:sz="4"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Caption1">
    <w:name w:val="Caption1"/>
    <w:basedOn w:val="Normal"/>
    <w:qFormat/>
    <w:pPr>
      <w:spacing w:after="120"/>
    </w:pPr>
    <w:rPr>
      <w:i/>
    </w:rPr>
  </w:style>
  <w:style w:type="paragraph" w:customStyle="1" w:styleId="TableCaption">
    <w:name w:val="Table Caption"/>
    <w:basedOn w:val="Caption1"/>
    <w:qFormat/>
    <w:pPr>
      <w:keepNext/>
    </w:pPr>
  </w:style>
  <w:style w:type="paragraph" w:customStyle="1" w:styleId="ImageCaption">
    <w:name w:val="Image Caption"/>
    <w:basedOn w:val="Caption1"/>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link w:val="SourceCode"/>
    <w:qFormat/>
    <w:rPr>
      <w:rFonts w:ascii="Consolas" w:hAnsi="Consolas"/>
      <w:sz w:val="22"/>
    </w:rPr>
  </w:style>
  <w:style w:type="paragraph" w:customStyle="1" w:styleId="SourceCode">
    <w:name w:val="Source Code"/>
    <w:basedOn w:val="Normal"/>
    <w:link w:val="VerbatimChar"/>
    <w:qFormat/>
    <w:pPr>
      <w:wordWrap w:val="0"/>
    </w:pPr>
  </w:style>
  <w:style w:type="character" w:customStyle="1" w:styleId="SectionNumber">
    <w:name w:val="Section Number"/>
    <w:basedOn w:val="BodyTextChar"/>
    <w:qFormat/>
  </w:style>
  <w:style w:type="character" w:customStyle="1" w:styleId="FootnoteReference1">
    <w:name w:val="Footnote Reference1"/>
    <w:basedOn w:val="BodyTextChar"/>
    <w:qFormat/>
    <w:rPr>
      <w:vertAlign w:val="superscript"/>
    </w:rPr>
  </w:style>
  <w:style w:type="paragraph" w:customStyle="1" w:styleId="TOCHeading1">
    <w:name w:val="TOC Heading1"/>
    <w:basedOn w:val="Heading1"/>
    <w:next w:val="BodyText"/>
    <w:uiPriority w:val="39"/>
    <w:qFormat/>
    <w:pPr>
      <w:spacing w:before="240" w:line="259" w:lineRule="auto"/>
      <w:outlineLvl w:val="9"/>
    </w:pPr>
    <w:rPr>
      <w:color w:val="365F9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CommentReference">
    <w:name w:val="annotation reference"/>
    <w:basedOn w:val="DefaultParagraphFont"/>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8153</Words>
  <Characters>23156</Characters>
  <Application>Microsoft Office Word</Application>
  <DocSecurity>0</DocSecurity>
  <Lines>857</Lines>
  <Paragraphs>440</Paragraphs>
  <ScaleCrop>false</ScaleCrop>
  <Company/>
  <LinksUpToDate>false</LinksUpToDate>
  <CharactersWithSpaces>30869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Jean Claude havaux</cp:lastModifiedBy>
  <cp:revision>2</cp:revision>
  <dcterms:created xsi:type="dcterms:W3CDTF">2026-07-17T20:18:00Z</dcterms:created>
  <dcterms:modified xsi:type="dcterms:W3CDTF">2026-07-17T20:18:00Z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30353ED531B245FA99CB69FAED1E9B94_13</vt:lpwstr>
  </property>
  <property fmtid="{D5CDD505-2E9C-101B-9397-08002B2CF9AE}" pid="3" name="KSOTemplateDocerSaveRecord">
    <vt:lpwstr>eyJoZGlkIjoiN2ZmNzJiZTI0YWNmMjcyNjYyYjEyNzkyNjM5ZjcxZDkiLCJ1c2VySWQiOiI0MTE5MDczNTQifQ==</vt:lpwstr>
  </property>
  <property fmtid="{D5CDD505-2E9C-101B-9397-08002B2CF9AE}" pid="4" name="KSOProductBuildVer">
    <vt:lpwstr>2052-12.1.0.26895</vt:lpwstr>
  </property>
</Properties>
</file>