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BA3A3" w14:textId="77777777" w:rsidR="00F31092" w:rsidRPr="0065612E" w:rsidRDefault="00000000">
      <w:pPr>
        <w:pStyle w:val="Titre1"/>
        <w:spacing w:after="160"/>
        <w:jc w:val="center"/>
        <w:rPr>
          <w:sz w:val="24"/>
          <w:szCs w:val="24"/>
        </w:rPr>
      </w:pPr>
      <w:r w:rsidRPr="0065612E">
        <w:rPr>
          <w:sz w:val="24"/>
          <w:szCs w:val="24"/>
        </w:rPr>
        <w:t>REVATIS S.A. — Translational Regenerative Medicine</w:t>
      </w:r>
    </w:p>
    <w:p w14:paraId="614E0DF1" w14:textId="77777777" w:rsidR="00DC1FBE" w:rsidRPr="0065612E" w:rsidRDefault="00000000">
      <w:pPr>
        <w:spacing w:after="160"/>
        <w:jc w:val="both"/>
        <w:rPr>
          <w:sz w:val="24"/>
          <w:szCs w:val="24"/>
        </w:rPr>
      </w:pPr>
      <w:r w:rsidRPr="0065612E">
        <w:rPr>
          <w:sz w:val="24"/>
          <w:szCs w:val="24"/>
        </w:rPr>
        <w:t xml:space="preserve">REVATIS S.A. is a spin-off from the University of Liège developing regenerative and cell-based therapies grounded in two patented technologies: the isolation of muscle-derived stem cells (mdMSCs) through a minimally invasive method, and the collection of secretomes and extracellular vesicles (EVs) through a proprietary process that preserves their biological activity. These complementary platforms enable both cell-based and </w:t>
      </w:r>
      <w:proofErr w:type="gramStart"/>
      <w:r w:rsidRPr="0065612E">
        <w:rPr>
          <w:sz w:val="24"/>
          <w:szCs w:val="24"/>
        </w:rPr>
        <w:t>acellular</w:t>
      </w:r>
      <w:proofErr w:type="gramEnd"/>
      <w:r w:rsidRPr="0065612E">
        <w:rPr>
          <w:sz w:val="24"/>
          <w:szCs w:val="24"/>
        </w:rPr>
        <w:t xml:space="preserve"> regenerative products for veterinary and human applications.</w:t>
      </w:r>
    </w:p>
    <w:p w14:paraId="7516C248" w14:textId="7921253C" w:rsidR="00DC1FBE" w:rsidRPr="0065612E" w:rsidRDefault="00000000">
      <w:pPr>
        <w:spacing w:after="160"/>
        <w:jc w:val="both"/>
        <w:rPr>
          <w:sz w:val="24"/>
          <w:szCs w:val="24"/>
        </w:rPr>
      </w:pPr>
      <w:r w:rsidRPr="0065612E">
        <w:rPr>
          <w:sz w:val="24"/>
          <w:szCs w:val="24"/>
        </w:rPr>
        <w:br/>
        <w:t xml:space="preserve">REVATIS operates a GMP-compliant facility already authorized </w:t>
      </w:r>
      <w:proofErr w:type="gramStart"/>
      <w:r w:rsidRPr="0065612E">
        <w:rPr>
          <w:sz w:val="24"/>
          <w:szCs w:val="24"/>
        </w:rPr>
        <w:t>for the production of</w:t>
      </w:r>
      <w:proofErr w:type="gramEnd"/>
      <w:r w:rsidRPr="0065612E">
        <w:rPr>
          <w:sz w:val="24"/>
          <w:szCs w:val="24"/>
        </w:rPr>
        <w:t xml:space="preserve"> veterinary clinical-grade batches. The Federal Agency for Medicines and Health Products (FAMHP) has granted permission to process human mdMSCs for research purposes and to establish a biobank of healthy donors. The company has demonstrated consistent technical control with aseptic isolator systems, xeno-free culture media, and reproducible cell yields exceeding 200 million mdMSCs from a single micro-biopsy. Over three million euros in non-dilutive funding from European and regional programs have been secured to sustain R&amp;D and translational activities through 2028.</w:t>
      </w:r>
      <w:r w:rsidR="00AC3320">
        <w:rPr>
          <w:sz w:val="24"/>
          <w:szCs w:val="24"/>
        </w:rPr>
        <w:t xml:space="preserve"> </w:t>
      </w:r>
    </w:p>
    <w:p w14:paraId="740C6227" w14:textId="60BA90A1" w:rsidR="00DC1FBE" w:rsidRDefault="00000000">
      <w:pPr>
        <w:spacing w:after="160"/>
        <w:jc w:val="both"/>
        <w:rPr>
          <w:sz w:val="24"/>
          <w:szCs w:val="24"/>
        </w:rPr>
      </w:pPr>
      <w:r w:rsidRPr="0065612E">
        <w:rPr>
          <w:sz w:val="24"/>
          <w:szCs w:val="24"/>
        </w:rPr>
        <w:br/>
        <w:t>The commercial distribution of veterinary products manufactured by REVATIS S.A. is handled by AxoVet (Revatis Vet SRL), a subsidiary established in December 2024. This structure allows the parent company to concentrate on manufacturing, quality systems, and human-clinical translation while AxoVet manages veterinary sales and partnerships.</w:t>
      </w:r>
      <w:r w:rsidRPr="0065612E">
        <w:rPr>
          <w:sz w:val="24"/>
          <w:szCs w:val="24"/>
        </w:rPr>
        <w:br/>
      </w:r>
      <w:r w:rsidRPr="0065612E">
        <w:rPr>
          <w:sz w:val="24"/>
          <w:szCs w:val="24"/>
        </w:rPr>
        <w:br/>
        <w:t xml:space="preserve">The company’s immediate objective is to obtain full GMP certification </w:t>
      </w:r>
      <w:proofErr w:type="gramStart"/>
      <w:r w:rsidRPr="0065612E">
        <w:rPr>
          <w:sz w:val="24"/>
          <w:szCs w:val="24"/>
        </w:rPr>
        <w:t>for the production of</w:t>
      </w:r>
      <w:proofErr w:type="gramEnd"/>
      <w:r w:rsidRPr="0065612E">
        <w:rPr>
          <w:sz w:val="24"/>
          <w:szCs w:val="24"/>
        </w:rPr>
        <w:t xml:space="preserve"> human clinical batches. This will enable the start of academic clinical trials under hospital exemptions in key indications supported by veterinary data: tendinopathies (CHU Vésale/ULB), osteoarthritis (CHIREC Brussels), and sarcopenia or myopathies (Maastricht). Parallel work focuses on the secretome program in ophthalmology, targeting non-immunogenic acellular treatments for ocular-surface diseases, with first-in-human entry expected by the end of 202</w:t>
      </w:r>
      <w:r w:rsidR="007B1A42">
        <w:rPr>
          <w:sz w:val="24"/>
          <w:szCs w:val="24"/>
        </w:rPr>
        <w:t>6</w:t>
      </w:r>
      <w:r w:rsidRPr="0065612E">
        <w:rPr>
          <w:sz w:val="24"/>
          <w:szCs w:val="24"/>
        </w:rPr>
        <w:t>.</w:t>
      </w:r>
    </w:p>
    <w:p w14:paraId="0EF8550A" w14:textId="77777777" w:rsidR="0065612E" w:rsidRDefault="0065612E">
      <w:pPr>
        <w:spacing w:after="160"/>
        <w:jc w:val="both"/>
        <w:rPr>
          <w:sz w:val="24"/>
          <w:szCs w:val="24"/>
        </w:rPr>
      </w:pPr>
    </w:p>
    <w:p w14:paraId="0FFCCB86" w14:textId="77777777" w:rsidR="0065612E" w:rsidRPr="0065612E" w:rsidRDefault="0065612E">
      <w:pPr>
        <w:spacing w:after="160"/>
        <w:jc w:val="both"/>
        <w:rPr>
          <w:sz w:val="24"/>
          <w:szCs w:val="24"/>
        </w:rPr>
      </w:pPr>
    </w:p>
    <w:p w14:paraId="7AAF1C8D" w14:textId="77777777" w:rsidR="0065612E" w:rsidRDefault="00000000">
      <w:pPr>
        <w:spacing w:after="160"/>
        <w:jc w:val="both"/>
        <w:rPr>
          <w:sz w:val="24"/>
          <w:szCs w:val="24"/>
        </w:rPr>
      </w:pPr>
      <w:r w:rsidRPr="0065612E">
        <w:rPr>
          <w:sz w:val="24"/>
          <w:szCs w:val="24"/>
        </w:rPr>
        <w:lastRenderedPageBreak/>
        <w:br/>
      </w:r>
    </w:p>
    <w:p w14:paraId="03E03F63" w14:textId="77777777" w:rsidR="0065612E" w:rsidRDefault="00000000">
      <w:pPr>
        <w:spacing w:after="160"/>
        <w:jc w:val="both"/>
        <w:rPr>
          <w:sz w:val="24"/>
          <w:szCs w:val="24"/>
        </w:rPr>
      </w:pPr>
      <w:r w:rsidRPr="0065612E">
        <w:rPr>
          <w:sz w:val="24"/>
          <w:szCs w:val="24"/>
        </w:rPr>
        <w:t xml:space="preserve">New funds raised will be dedicated to completing the regulatory and technical requirements for the human GMP license. The main tasks include finalizing the quality management system for human production, appointing the </w:t>
      </w:r>
      <w:proofErr w:type="gramStart"/>
      <w:r w:rsidRPr="0065612E">
        <w:rPr>
          <w:sz w:val="24"/>
          <w:szCs w:val="24"/>
        </w:rPr>
        <w:t>responsible physician</w:t>
      </w:r>
      <w:proofErr w:type="gramEnd"/>
      <w:r w:rsidRPr="0065612E">
        <w:rPr>
          <w:sz w:val="24"/>
          <w:szCs w:val="24"/>
        </w:rPr>
        <w:t xml:space="preserve"> for human corporal material, validating analytical and stability methods, performing qualification batches, and meeting any safety or immunotoxicity testing required by the FAMHP. These steps will confirm REVATIS as an authorized manufacturer of clinical-grade human cell and biologic products.</w:t>
      </w:r>
      <w:r w:rsidRPr="0065612E">
        <w:rPr>
          <w:sz w:val="24"/>
          <w:szCs w:val="24"/>
        </w:rPr>
        <w:br/>
      </w:r>
      <w:r w:rsidRPr="0065612E">
        <w:rPr>
          <w:sz w:val="24"/>
          <w:szCs w:val="24"/>
        </w:rPr>
        <w:br/>
      </w:r>
    </w:p>
    <w:p w14:paraId="70D14E9F" w14:textId="6F1AFB21" w:rsidR="00F31092" w:rsidRPr="0065612E" w:rsidRDefault="00000000">
      <w:pPr>
        <w:spacing w:after="160"/>
        <w:jc w:val="both"/>
        <w:rPr>
          <w:sz w:val="24"/>
          <w:szCs w:val="24"/>
        </w:rPr>
      </w:pPr>
      <w:r w:rsidRPr="0065612E">
        <w:rPr>
          <w:sz w:val="24"/>
          <w:szCs w:val="24"/>
        </w:rPr>
        <w:t xml:space="preserve">REVATIS’ business model combines manufacturing and R&amp;D </w:t>
      </w:r>
      <w:r w:rsidR="00AC3320">
        <w:rPr>
          <w:sz w:val="24"/>
          <w:szCs w:val="24"/>
        </w:rPr>
        <w:t>partnerships</w:t>
      </w:r>
      <w:r w:rsidRPr="0065612E">
        <w:rPr>
          <w:sz w:val="24"/>
          <w:szCs w:val="24"/>
        </w:rPr>
        <w:t xml:space="preserve"> </w:t>
      </w:r>
      <w:r w:rsidR="00AC3320">
        <w:rPr>
          <w:sz w:val="24"/>
          <w:szCs w:val="24"/>
        </w:rPr>
        <w:t xml:space="preserve">based on our patented technologies </w:t>
      </w:r>
      <w:r w:rsidRPr="0065612E">
        <w:rPr>
          <w:sz w:val="24"/>
          <w:szCs w:val="24"/>
        </w:rPr>
        <w:t>with the commercialization of veterinary products via AxoVet. Human clinical development will proceed through academic collaborations, with value creation expected from licensing and strategic partnerships following</w:t>
      </w:r>
      <w:r w:rsidR="00DC1FBE" w:rsidRPr="0065612E">
        <w:rPr>
          <w:sz w:val="24"/>
          <w:szCs w:val="24"/>
        </w:rPr>
        <w:t xml:space="preserve"> </w:t>
      </w:r>
      <w:r w:rsidRPr="0065612E">
        <w:rPr>
          <w:sz w:val="24"/>
          <w:szCs w:val="24"/>
        </w:rPr>
        <w:t>academic validation. The current capital increase of 2</w:t>
      </w:r>
      <w:r w:rsidR="00E54885">
        <w:rPr>
          <w:sz w:val="24"/>
          <w:szCs w:val="24"/>
        </w:rPr>
        <w:t>36</w:t>
      </w:r>
      <w:r w:rsidRPr="0065612E">
        <w:rPr>
          <w:sz w:val="24"/>
          <w:szCs w:val="24"/>
        </w:rPr>
        <w:t xml:space="preserve"> shares at €7,500 per share (until 31 December 2025, then €10,000) aims to finance this GMP authorization phase and prepare the transition to first-in-human trials.</w:t>
      </w:r>
    </w:p>
    <w:sectPr w:rsidR="00F31092" w:rsidRPr="0065612E"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6B35A" w14:textId="77777777" w:rsidR="00EA51E7" w:rsidRDefault="00EA51E7" w:rsidP="00DC1FBE">
      <w:pPr>
        <w:spacing w:after="0" w:line="240" w:lineRule="auto"/>
      </w:pPr>
      <w:r>
        <w:separator/>
      </w:r>
    </w:p>
  </w:endnote>
  <w:endnote w:type="continuationSeparator" w:id="0">
    <w:p w14:paraId="7087AE56" w14:textId="77777777" w:rsidR="00EA51E7" w:rsidRDefault="00EA51E7" w:rsidP="00DC1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C99E" w14:textId="77777777" w:rsidR="00DC1FBE" w:rsidRPr="00DC0F2F" w:rsidRDefault="00DC1FBE" w:rsidP="00DC1FBE">
    <w:pPr>
      <w:spacing w:after="0"/>
      <w:rPr>
        <w:u w:val="single"/>
        <w:lang w:val="fr-FR"/>
      </w:rPr>
    </w:pPr>
    <w:proofErr w:type="spellStart"/>
    <w:r w:rsidRPr="00DC0F2F">
      <w:rPr>
        <w:b/>
        <w:lang w:val="fr-FR"/>
      </w:rPr>
      <w:t>RevaTis</w:t>
    </w:r>
    <w:proofErr w:type="spellEnd"/>
    <w:r w:rsidRPr="00DC0F2F">
      <w:rPr>
        <w:b/>
        <w:lang w:val="fr-FR"/>
      </w:rPr>
      <w:t xml:space="preserve"> SA</w:t>
    </w:r>
  </w:p>
  <w:p w14:paraId="04CB79F0" w14:textId="7E92F694" w:rsidR="00DC1FBE" w:rsidRDefault="00DC1FBE" w:rsidP="00DC1FBE">
    <w:pPr>
      <w:spacing w:after="0" w:line="240" w:lineRule="auto"/>
      <w:rPr>
        <w:lang w:val="fr-FR"/>
      </w:rPr>
    </w:pPr>
    <w:r w:rsidRPr="00DC0F2F">
      <w:rPr>
        <w:lang w:val="fr-FR"/>
      </w:rPr>
      <w:t xml:space="preserve">Novalis Science </w:t>
    </w:r>
    <w:proofErr w:type="gramStart"/>
    <w:r w:rsidRPr="00DC0F2F">
      <w:rPr>
        <w:lang w:val="fr-FR"/>
      </w:rPr>
      <w:t xml:space="preserve">Park </w:t>
    </w:r>
    <w:r>
      <w:rPr>
        <w:lang w:val="fr-FR"/>
      </w:rPr>
      <w:t>,</w:t>
    </w:r>
    <w:proofErr w:type="gramEnd"/>
    <w:r>
      <w:rPr>
        <w:lang w:val="fr-FR"/>
      </w:rPr>
      <w:t xml:space="preserve"> </w:t>
    </w:r>
    <w:r w:rsidRPr="00DC0F2F">
      <w:rPr>
        <w:lang w:val="fr-FR"/>
      </w:rPr>
      <w:t xml:space="preserve">Centre d'entreprise </w:t>
    </w:r>
    <w:proofErr w:type="gramStart"/>
    <w:r w:rsidRPr="00DC0F2F">
      <w:rPr>
        <w:lang w:val="fr-FR"/>
      </w:rPr>
      <w:t xml:space="preserve">Novalis </w:t>
    </w:r>
    <w:r>
      <w:rPr>
        <w:lang w:val="fr-FR"/>
      </w:rPr>
      <w:t>,</w:t>
    </w:r>
    <w:proofErr w:type="gramEnd"/>
    <w:r>
      <w:rPr>
        <w:lang w:val="fr-FR"/>
      </w:rPr>
      <w:t xml:space="preserve"> </w:t>
    </w:r>
    <w:r w:rsidRPr="00DC0F2F">
      <w:rPr>
        <w:lang w:val="fr-FR"/>
      </w:rPr>
      <w:t>Rue de la Science 8</w:t>
    </w:r>
    <w:r>
      <w:rPr>
        <w:lang w:val="fr-FR"/>
      </w:rPr>
      <w:t xml:space="preserve">, </w:t>
    </w:r>
    <w:r w:rsidRPr="00DC0F2F">
      <w:rPr>
        <w:lang w:val="fr-FR"/>
      </w:rPr>
      <w:t>6900 Aye</w:t>
    </w:r>
  </w:p>
  <w:p w14:paraId="1C7D05D6" w14:textId="269A3A92" w:rsidR="00DC1FBE" w:rsidRPr="00DC0F2F" w:rsidRDefault="00DC1FBE" w:rsidP="00DC1FBE">
    <w:pPr>
      <w:spacing w:after="0" w:line="240" w:lineRule="auto"/>
      <w:rPr>
        <w:lang w:val="fr-FR"/>
      </w:rPr>
    </w:pPr>
    <w:r>
      <w:rPr>
        <w:lang w:val="fr-FR"/>
      </w:rPr>
      <w:t xml:space="preserve">Contact : </w:t>
    </w:r>
    <w:hyperlink r:id="rId1" w:history="1">
      <w:r w:rsidRPr="00A05653">
        <w:rPr>
          <w:rStyle w:val="Lienhypertexte"/>
          <w:lang w:val="fr-FR"/>
        </w:rPr>
        <w:t>didier.serteyn@revatis.com</w:t>
      </w:r>
    </w:hyperlink>
    <w:r>
      <w:rPr>
        <w:lang w:val="fr-FR"/>
      </w:rPr>
      <w:tab/>
    </w:r>
    <w:r>
      <w:rPr>
        <w:lang w:val="fr-FR"/>
      </w:rPr>
      <w:tab/>
    </w:r>
    <w:r>
      <w:rPr>
        <w:lang w:val="fr-FR"/>
      </w:rPr>
      <w:tab/>
      <w:t>Tel : +32 475749208</w:t>
    </w:r>
  </w:p>
  <w:p w14:paraId="1EAF24EB" w14:textId="77777777" w:rsidR="00DC1FBE" w:rsidRPr="00DC1FBE" w:rsidRDefault="00DC1FBE" w:rsidP="00DC1FBE">
    <w:pPr>
      <w:pStyle w:val="Pieddepage"/>
      <w:rPr>
        <w:lang w:val="fr-B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EA7C0" w14:textId="77777777" w:rsidR="00EA51E7" w:rsidRDefault="00EA51E7" w:rsidP="00DC1FBE">
      <w:pPr>
        <w:spacing w:after="0" w:line="240" w:lineRule="auto"/>
      </w:pPr>
      <w:r>
        <w:separator/>
      </w:r>
    </w:p>
  </w:footnote>
  <w:footnote w:type="continuationSeparator" w:id="0">
    <w:p w14:paraId="4DC077C3" w14:textId="77777777" w:rsidR="00EA51E7" w:rsidRDefault="00EA51E7" w:rsidP="00DC1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6190" w14:textId="63F9075D" w:rsidR="00DC1FBE" w:rsidRDefault="00DC1FBE" w:rsidP="00DC1FBE">
    <w:pPr>
      <w:pStyle w:val="En-tte"/>
      <w:jc w:val="center"/>
    </w:pPr>
    <w:r>
      <w:rPr>
        <w:noProof/>
      </w:rPr>
      <w:drawing>
        <wp:inline distT="0" distB="0" distL="0" distR="0" wp14:anchorId="639C55AC" wp14:editId="3065CAFB">
          <wp:extent cx="1455420" cy="454819"/>
          <wp:effectExtent l="0" t="0" r="0" b="2540"/>
          <wp:docPr id="12" name="Image 11" descr="Une image contenant texte, Police, Graphique, logo&#10;&#10;Le contenu généré par l’IA peut être incorrect.">
            <a:extLst xmlns:a="http://schemas.openxmlformats.org/drawingml/2006/main">
              <a:ext uri="{FF2B5EF4-FFF2-40B4-BE49-F238E27FC236}">
                <a16:creationId xmlns:a16="http://schemas.microsoft.com/office/drawing/2014/main" id="{9DF01DC0-D22C-4FEB-09FF-610C89C50A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descr="Une image contenant texte, Police, Graphique, logo&#10;&#10;Le contenu généré par l’IA peut être incorrect.">
                    <a:extLst>
                      <a:ext uri="{FF2B5EF4-FFF2-40B4-BE49-F238E27FC236}">
                        <a16:creationId xmlns:a16="http://schemas.microsoft.com/office/drawing/2014/main" id="{9DF01DC0-D22C-4FEB-09FF-610C89C50AD0}"/>
                      </a:ext>
                    </a:extLst>
                  </pic:cNvPr>
                  <pic:cNvPicPr>
                    <a:picLocks noChangeAspect="1"/>
                  </pic:cNvPicPr>
                </pic:nvPicPr>
                <pic:blipFill>
                  <a:blip r:embed="rId1"/>
                  <a:stretch>
                    <a:fillRect/>
                  </a:stretch>
                </pic:blipFill>
                <pic:spPr>
                  <a:xfrm>
                    <a:off x="0" y="0"/>
                    <a:ext cx="1479864" cy="4624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45255626">
    <w:abstractNumId w:val="8"/>
  </w:num>
  <w:num w:numId="2" w16cid:durableId="4868213">
    <w:abstractNumId w:val="6"/>
  </w:num>
  <w:num w:numId="3" w16cid:durableId="922493241">
    <w:abstractNumId w:val="5"/>
  </w:num>
  <w:num w:numId="4" w16cid:durableId="1035227780">
    <w:abstractNumId w:val="4"/>
  </w:num>
  <w:num w:numId="5" w16cid:durableId="1882597901">
    <w:abstractNumId w:val="7"/>
  </w:num>
  <w:num w:numId="6" w16cid:durableId="1415858864">
    <w:abstractNumId w:val="3"/>
  </w:num>
  <w:num w:numId="7" w16cid:durableId="158276563">
    <w:abstractNumId w:val="2"/>
  </w:num>
  <w:num w:numId="8" w16cid:durableId="1795246054">
    <w:abstractNumId w:val="1"/>
  </w:num>
  <w:num w:numId="9" w16cid:durableId="996229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83C"/>
    <w:rsid w:val="0015074B"/>
    <w:rsid w:val="0029639D"/>
    <w:rsid w:val="00326F90"/>
    <w:rsid w:val="003E58FC"/>
    <w:rsid w:val="00422C4A"/>
    <w:rsid w:val="00491F30"/>
    <w:rsid w:val="0065612E"/>
    <w:rsid w:val="0078512B"/>
    <w:rsid w:val="007B1A42"/>
    <w:rsid w:val="00A10951"/>
    <w:rsid w:val="00AA1D8D"/>
    <w:rsid w:val="00AC3320"/>
    <w:rsid w:val="00B47730"/>
    <w:rsid w:val="00CB0664"/>
    <w:rsid w:val="00DC1FBE"/>
    <w:rsid w:val="00E54885"/>
    <w:rsid w:val="00EA51E7"/>
    <w:rsid w:val="00F310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52673"/>
  <w14:defaultImageDpi w14:val="300"/>
  <w15:docId w15:val="{330832E3-62DE-48D2-A2B6-56A605E97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DC1FBE"/>
    <w:rPr>
      <w:color w:val="0000FF" w:themeColor="hyperlink"/>
      <w:u w:val="single"/>
    </w:rPr>
  </w:style>
  <w:style w:type="character" w:styleId="Mentionnonrsolue">
    <w:name w:val="Unresolved Mention"/>
    <w:basedOn w:val="Policepardfaut"/>
    <w:uiPriority w:val="99"/>
    <w:semiHidden/>
    <w:unhideWhenUsed/>
    <w:rsid w:val="00DC1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didier.serteyn@revati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2761</Characters>
  <Application>Microsoft Office Word</Application>
  <DocSecurity>0</DocSecurity>
  <Lines>53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Sandersen Charlotte</cp:lastModifiedBy>
  <cp:revision>3</cp:revision>
  <dcterms:created xsi:type="dcterms:W3CDTF">2025-12-19T14:05:00Z</dcterms:created>
  <dcterms:modified xsi:type="dcterms:W3CDTF">2025-12-20T06:28:00Z</dcterms:modified>
  <cp:category/>
</cp:coreProperties>
</file>