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0d2c9f4937792dd1c109930d789e20bc77d1ed"/>
    <w:p>
      <w:pPr>
        <w:pStyle w:val="Heading1"/>
      </w:pPr>
      <w:r>
        <w:t xml:space="preserve">WildNexus WP01 — Architecture P0 gelee / passage WP02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2026-05-23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reference de transition M-01 -&gt; WP02</w:t>
      </w:r>
      <w:r>
        <w:br/>
      </w:r>
      <w:r>
        <w:rPr>
          <w:b/>
          <w:bCs/>
        </w:rPr>
        <w:t xml:space="preserve">Owner :</w:t>
      </w:r>
      <w:r>
        <w:t xml:space="preserve"> </w:t>
      </w:r>
      <w:r>
        <w:t xml:space="preserve">Dobby + Castor</w:t>
      </w:r>
      <w:r>
        <w:br/>
      </w:r>
      <w:r>
        <w:rPr>
          <w:b/>
          <w:bCs/>
        </w:rPr>
        <w:t xml:space="preserve">Equipe mobilisee :</w:t>
      </w:r>
      <w:r>
        <w:t xml:space="preserve"> </w:t>
      </w:r>
      <w:r>
        <w:t xml:space="preserve">Forge, Chouette, Bruno, Nova, Lynx, Hermine, Renard</w:t>
      </w:r>
    </w:p>
    <w:bookmarkStart w:id="9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Ce document consolide WP01 apres les arbitrages JCH du 2026-05-23. Il sert a eviter que WP02 reparte de notes dispersees.</w:t>
      </w:r>
    </w:p>
    <w:p>
      <w:pPr>
        <w:pStyle w:val="BodyText"/>
      </w:pPr>
      <w:r>
        <w:t xml:space="preserve">WP01 n’est pas un dossier d’achat. C’est le gel d’architecture qui autorise WP02 a travailler sur le hardware, le boitier, l’encombrement et la shortlist.</w:t>
      </w:r>
    </w:p>
    <w:bookmarkEnd w:id="9"/>
    <w:bookmarkStart w:id="10" w:name="decision-p0-gelee"/>
    <w:p>
      <w:pPr>
        <w:pStyle w:val="Heading2"/>
      </w:pPr>
      <w:r>
        <w:t xml:space="preserve">2. Decision P0 gelee</w:t>
      </w:r>
    </w:p>
    <w:p>
      <w:pPr>
        <w:pStyle w:val="FirstParagraph"/>
      </w:pPr>
      <w:r>
        <w:t xml:space="preserve">Le P0 est un</w:t>
      </w:r>
      <w:r>
        <w:t xml:space="preserve"> </w:t>
      </w:r>
      <w:r>
        <w:rPr>
          <w:b/>
          <w:bCs/>
        </w:rPr>
        <w:t xml:space="preserve">Satellite Lite autonome</w:t>
      </w:r>
      <w:r>
        <w:t xml:space="preserve">.</w:t>
      </w:r>
    </w:p>
    <w:p>
      <w:pPr>
        <w:pStyle w:val="BodyText"/>
      </w:pPr>
      <w:r>
        <w:t xml:space="preserve">Composition fonctionnelle :</w:t>
      </w:r>
    </w:p>
    <w:p>
      <w:pPr>
        <w:pStyle w:val="Compact"/>
        <w:numPr>
          <w:ilvl w:val="0"/>
          <w:numId w:val="1001"/>
        </w:numPr>
      </w:pPr>
      <w:r>
        <w:t xml:space="preserve">ESP32-S3 ;</w:t>
      </w:r>
    </w:p>
    <w:p>
      <w:pPr>
        <w:pStyle w:val="Compact"/>
        <w:numPr>
          <w:ilvl w:val="0"/>
          <w:numId w:val="1001"/>
        </w:numPr>
      </w:pPr>
      <w:r>
        <w:t xml:space="preserve">camera OV5640/IR + lentille M12 ;</w:t>
      </w:r>
    </w:p>
    <w:p>
      <w:pPr>
        <w:pStyle w:val="Compact"/>
        <w:numPr>
          <w:ilvl w:val="0"/>
          <w:numId w:val="1001"/>
        </w:numPr>
      </w:pPr>
      <w:r>
        <w:t xml:space="preserve">PIR ;</w:t>
      </w:r>
    </w:p>
    <w:p>
      <w:pPr>
        <w:pStyle w:val="Compact"/>
        <w:numPr>
          <w:ilvl w:val="0"/>
          <w:numId w:val="1001"/>
        </w:numPr>
      </w:pPr>
      <w:r>
        <w:t xml:space="preserve">micro mono pour clips audio courts locaux ;</w:t>
      </w:r>
    </w:p>
    <w:p>
      <w:pPr>
        <w:pStyle w:val="Compact"/>
        <w:numPr>
          <w:ilvl w:val="0"/>
          <w:numId w:val="1001"/>
        </w:numPr>
      </w:pPr>
      <w:r>
        <w:t xml:space="preserve">microSD industrielle ;</w:t>
      </w:r>
    </w:p>
    <w:p>
      <w:pPr>
        <w:pStyle w:val="Compact"/>
        <w:numPr>
          <w:ilvl w:val="0"/>
          <w:numId w:val="1001"/>
        </w:numPr>
      </w:pPr>
      <w:r>
        <w:t xml:space="preserve">LoRa P2P EU868 pour metadonnees/statuts/commandes courtes ;</w:t>
      </w:r>
    </w:p>
    <w:p>
      <w:pPr>
        <w:pStyle w:val="Compact"/>
        <w:numPr>
          <w:ilvl w:val="0"/>
          <w:numId w:val="1001"/>
        </w:numPr>
      </w:pPr>
      <w:r>
        <w:t xml:space="preserve">Wi-Fi local pour maintenance et extraction ;</w:t>
      </w:r>
    </w:p>
    <w:p>
      <w:pPr>
        <w:pStyle w:val="Compact"/>
        <w:numPr>
          <w:ilvl w:val="0"/>
          <w:numId w:val="1001"/>
        </w:numPr>
      </w:pPr>
      <w:r>
        <w:t xml:space="preserve">holder AA + buck faible Iq ;</w:t>
      </w:r>
    </w:p>
    <w:p>
      <w:pPr>
        <w:pStyle w:val="Compact"/>
        <w:numPr>
          <w:ilvl w:val="0"/>
          <w:numId w:val="1001"/>
        </w:numPr>
      </w:pPr>
      <w:r>
        <w:t xml:space="preserve">bloc capteurs reserve dans l’encombrement ;</w:t>
      </w:r>
    </w:p>
    <w:p>
      <w:pPr>
        <w:pStyle w:val="Compact"/>
        <w:numPr>
          <w:ilvl w:val="0"/>
          <w:numId w:val="1001"/>
        </w:numPr>
      </w:pPr>
      <w:r>
        <w:t xml:space="preserve">boitier IP67, vert, discret, calage support rond ;</w:t>
      </w:r>
    </w:p>
    <w:p>
      <w:pPr>
        <w:pStyle w:val="Compact"/>
        <w:numPr>
          <w:ilvl w:val="0"/>
          <w:numId w:val="1001"/>
        </w:numPr>
      </w:pPr>
      <w:r>
        <w:t xml:space="preserve">antenne LoRa interne ou camouflee en priorite.</w:t>
      </w:r>
    </w:p>
    <w:p>
      <w:pPr>
        <w:pStyle w:val="FirstParagraph"/>
      </w:pPr>
      <w:r>
        <w:t xml:space="preserve">Exclusions P0 :</w:t>
      </w:r>
    </w:p>
    <w:p>
      <w:pPr>
        <w:pStyle w:val="Compact"/>
        <w:numPr>
          <w:ilvl w:val="0"/>
          <w:numId w:val="1002"/>
        </w:numPr>
      </w:pPr>
      <w:r>
        <w:t xml:space="preserve">Raspberry Pi dans le satellite ;</w:t>
      </w:r>
    </w:p>
    <w:p>
      <w:pPr>
        <w:pStyle w:val="Compact"/>
        <w:numPr>
          <w:ilvl w:val="0"/>
          <w:numId w:val="1002"/>
        </w:numPr>
      </w:pPr>
      <w:r>
        <w:t xml:space="preserve">BirdNET embarque ;</w:t>
      </w:r>
    </w:p>
    <w:p>
      <w:pPr>
        <w:pStyle w:val="Compact"/>
        <w:numPr>
          <w:ilvl w:val="0"/>
          <w:numId w:val="1002"/>
        </w:numPr>
      </w:pPr>
      <w:r>
        <w:t xml:space="preserve">YOLO embarque lourd ;</w:t>
      </w:r>
    </w:p>
    <w:p>
      <w:pPr>
        <w:pStyle w:val="Compact"/>
        <w:numPr>
          <w:ilvl w:val="0"/>
          <w:numId w:val="1002"/>
        </w:numPr>
      </w:pPr>
      <w:r>
        <w:t xml:space="preserve">cloud obligatoire ;</w:t>
      </w:r>
    </w:p>
    <w:p>
      <w:pPr>
        <w:pStyle w:val="Compact"/>
        <w:numPr>
          <w:ilvl w:val="0"/>
          <w:numId w:val="1002"/>
        </w:numPr>
      </w:pPr>
      <w:r>
        <w:t xml:space="preserve">mesh LoRa ;</w:t>
      </w:r>
    </w:p>
    <w:p>
      <w:pPr>
        <w:pStyle w:val="Compact"/>
        <w:numPr>
          <w:ilvl w:val="0"/>
          <w:numId w:val="1002"/>
        </w:numPr>
      </w:pPr>
      <w:r>
        <w:t xml:space="preserve">flux raw continu ;</w:t>
      </w:r>
    </w:p>
    <w:p>
      <w:pPr>
        <w:pStyle w:val="Compact"/>
        <w:numPr>
          <w:ilvl w:val="0"/>
          <w:numId w:val="1002"/>
        </w:numPr>
      </w:pPr>
      <w:r>
        <w:t xml:space="preserve">LTE-M actif dans le satellite P0 ;</w:t>
      </w:r>
    </w:p>
    <w:p>
      <w:pPr>
        <w:pStyle w:val="Compact"/>
        <w:numPr>
          <w:ilvl w:val="0"/>
          <w:numId w:val="1002"/>
        </w:numPr>
      </w:pPr>
      <w:r>
        <w:t xml:space="preserve">boitier imprime 3D IP67 comme exigence P0.</w:t>
      </w:r>
    </w:p>
    <w:bookmarkEnd w:id="10"/>
    <w:bookmarkStart w:id="11" w:name="architecture-cible-preservee"/>
    <w:p>
      <w:pPr>
        <w:pStyle w:val="Heading2"/>
      </w:pPr>
      <w:r>
        <w:t xml:space="preserve">3. Architecture cible preservee</w:t>
      </w:r>
    </w:p>
    <w:p>
      <w:pPr>
        <w:pStyle w:val="FirstParagraph"/>
      </w:pPr>
      <w:r>
        <w:t xml:space="preserve">WildNexus est structure en trois niveaux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Lite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capter, stocker, survivre dehors, transmettre seulement alertes/metadonnees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Base/Master Nexus</w:t>
            </w:r>
          </w:p>
        </w:tc>
        <w:tc>
          <w:tcPr/>
          <w:p>
            <w:pPr>
              <w:pStyle w:val="Compact"/>
            </w:pPr>
            <w:r>
              <w:t xml:space="preserve">P1 parallele</w:t>
            </w:r>
          </w:p>
        </w:tc>
        <w:tc>
          <w:tcPr/>
          <w:p>
            <w:pPr>
              <w:pStyle w:val="Compact"/>
            </w:pPr>
            <w:r>
              <w:t xml:space="preserve">Raspberry Pi 5, SSD, BirdNET-Go, YOLO, indexation, orchestration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P1/P2</w:t>
            </w:r>
          </w:p>
        </w:tc>
        <w:tc>
          <w:tcPr/>
          <w:p>
            <w:pPr>
              <w:pStyle w:val="Compact"/>
            </w:pPr>
            <w:r>
              <w:t xml:space="preserve">archive selective, acces distant, partage controle</w:t>
            </w:r>
          </w:p>
        </w:tc>
      </w:tr>
    </w:tbl>
    <w:p>
      <w:pPr>
        <w:pStyle w:val="BodyText"/>
      </w:pPr>
      <w:r>
        <w:t xml:space="preserve">Decision cle : le Satellite Lite P0 doit rester utile sans Base/Master et sans cloud.</w:t>
      </w:r>
    </w:p>
    <w:bookmarkEnd w:id="11"/>
    <w:bookmarkStart w:id="12" w:name="adr-et-statut"/>
    <w:p>
      <w:pPr>
        <w:pStyle w:val="Heading2"/>
      </w:pPr>
      <w:r>
        <w:t xml:space="preserve">4. ADR et statut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Statut WP01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MCU ESP32-S3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camera OV5640/IR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LoRa P2P EU868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stockage local microSD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energie AA + buck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boitier IP67 / terrain</w:t>
            </w:r>
          </w:p>
        </w:tc>
        <w:tc>
          <w:tcPr/>
          <w:p>
            <w:pPr>
              <w:pStyle w:val="Compact"/>
            </w:pPr>
            <w:r>
              <w:t xml:space="preserve">propose, non bloquant WP02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detection evenementielle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interface capteurs extensible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architecture Satellite/Base/Cloud</w:t>
            </w:r>
          </w:p>
        </w:tc>
        <w:tc>
          <w:tcPr/>
          <w:p>
            <w:pPr>
              <w:pStyle w:val="Compact"/>
            </w:pPr>
            <w:r>
              <w:t xml:space="preserve">accepte</w:t>
            </w:r>
          </w:p>
        </w:tc>
      </w:tr>
    </w:tbl>
    <w:p>
      <w:pPr>
        <w:pStyle w:val="BodyText"/>
      </w:pPr>
      <w:r>
        <w:t xml:space="preserve">ADR-006 reste propose volontairement : le modele exact du boitier depend du choix hardware, de la batterie 4 AA vs 8 AA, de l’antenne LoRa et de l’encombrement capteurs.</w:t>
      </w:r>
    </w:p>
    <w:bookmarkEnd w:id="12"/>
    <w:bookmarkStart w:id="18" w:name="decisions-critiques-prises"/>
    <w:p>
      <w:pPr>
        <w:pStyle w:val="Heading2"/>
      </w:pPr>
      <w:r>
        <w:t xml:space="preserve">5. Decisions critiques prises</w:t>
      </w:r>
    </w:p>
    <w:bookmarkStart w:id="13" w:name="batterie"/>
    <w:p>
      <w:pPr>
        <w:pStyle w:val="Heading3"/>
      </w:pPr>
      <w:r>
        <w:t xml:space="preserve">5.1 Batterie</w:t>
      </w:r>
    </w:p>
    <w:p>
      <w:pPr>
        <w:pStyle w:val="FirstParagraph"/>
      </w:pPr>
      <w:r>
        <w:t xml:space="preserve">Reference actuelle : 8x AA 4S2P.</w:t>
      </w:r>
    </w:p>
    <w:p>
      <w:pPr>
        <w:pStyle w:val="BodyText"/>
      </w:pPr>
      <w:r>
        <w:t xml:space="preserve">Mais WP02/M-02 doit tester 4x AA comme variante compacte. Le modele autonomie</w:t>
      </w:r>
      <w:r>
        <w:t xml:space="preserve"> </w:t>
      </w:r>
      <w:r>
        <w:rPr>
          <w:rStyle w:val="VerbatimChar"/>
        </w:rPr>
        <w:t xml:space="preserve">WildNexus_P0_Autonomy_Model.xlsx</w:t>
      </w:r>
      <w:r>
        <w:t xml:space="preserve"> </w:t>
      </w:r>
      <w:r>
        <w:t xml:space="preserve">devient l’outil de comparaison theorique, puis les mesures banc trancheront.</w:t>
      </w:r>
    </w:p>
    <w:p>
      <w:pPr>
        <w:pStyle w:val="BodyText"/>
      </w:pPr>
      <w:r>
        <w:t xml:space="preserve">Regle :</w:t>
      </w:r>
    </w:p>
    <w:p>
      <w:pPr>
        <w:pStyle w:val="Compact"/>
        <w:numPr>
          <w:ilvl w:val="0"/>
          <w:numId w:val="1003"/>
        </w:numPr>
      </w:pPr>
      <w:r>
        <w:t xml:space="preserve">8 AA = enveloppe mecanique prudente ;</w:t>
      </w:r>
    </w:p>
    <w:p>
      <w:pPr>
        <w:pStyle w:val="Compact"/>
        <w:numPr>
          <w:ilvl w:val="0"/>
          <w:numId w:val="1003"/>
        </w:numPr>
      </w:pPr>
      <w:r>
        <w:t xml:space="preserve">4 AA = variante compacte a prouver ;</w:t>
      </w:r>
    </w:p>
    <w:p>
      <w:pPr>
        <w:pStyle w:val="Compact"/>
        <w:numPr>
          <w:ilvl w:val="0"/>
          <w:numId w:val="1003"/>
        </w:numPr>
      </w:pPr>
      <w:r>
        <w:t xml:space="preserve">pas de LiPo/LiFePO4/BMS/solaire en P0.</w:t>
      </w:r>
    </w:p>
    <w:bookmarkEnd w:id="13"/>
    <w:bookmarkStart w:id="14" w:name="micro"/>
    <w:p>
      <w:pPr>
        <w:pStyle w:val="Heading3"/>
      </w:pPr>
      <w:r>
        <w:t xml:space="preserve">5.2 Micro</w:t>
      </w:r>
    </w:p>
    <w:p>
      <w:pPr>
        <w:pStyle w:val="FirstParagraph"/>
      </w:pPr>
      <w:r>
        <w:t xml:space="preserve">Le micro mono est integre au P0 pour capture locale de clips courts. Il ne transforme pas P0 en station bioacoustique.</w:t>
      </w:r>
    </w:p>
    <w:p>
      <w:pPr>
        <w:pStyle w:val="BodyText"/>
      </w:pPr>
      <w:r>
        <w:t xml:space="preserve">BirdNET, reconnaissance espece et DSP avance restent P1 via Base/Master Nexus.</w:t>
      </w:r>
    </w:p>
    <w:bookmarkEnd w:id="14"/>
    <w:bookmarkStart w:id="15" w:name="capteurs"/>
    <w:p>
      <w:pPr>
        <w:pStyle w:val="Heading3"/>
      </w:pPr>
      <w:r>
        <w:t xml:space="preserve">5.3 Capteurs</w:t>
      </w:r>
    </w:p>
    <w:p>
      <w:pPr>
        <w:pStyle w:val="FirstParagraph"/>
      </w:pPr>
      <w:r>
        <w:t xml:space="preserve">Le P0 doit reserver l’encombrement et l’interface pour un petit bloc capteurs. Les capteurs type BME688/AS7341/GPS ne doivent pas forcer la complexite fonctionnelle du premier prototype, mais le boitier/PCB doivent les anticiper.</w:t>
      </w:r>
    </w:p>
    <w:bookmarkEnd w:id="15"/>
    <w:bookmarkStart w:id="16" w:name="boitier"/>
    <w:p>
      <w:pPr>
        <w:pStyle w:val="Heading3"/>
      </w:pPr>
      <w:r>
        <w:t xml:space="preserve">5.4 Boitier</w:t>
      </w:r>
    </w:p>
    <w:p>
      <w:pPr>
        <w:pStyle w:val="FirstParagraph"/>
      </w:pPr>
      <w:r>
        <w:t xml:space="preserve">P0 utilise probablement un boitier commerce IP67 pour aller vite. P1 pourra exploiter l’imprimante 3D JCH pour forme bio, skin camouflage, texture tronc/pierre et boitier plus organique.</w:t>
      </w:r>
    </w:p>
    <w:p>
      <w:pPr>
        <w:pStyle w:val="BodyText"/>
      </w:pPr>
      <w:r>
        <w:t xml:space="preserve">Le boitier P0 doit deja anticiper :</w:t>
      </w:r>
    </w:p>
    <w:p>
      <w:pPr>
        <w:pStyle w:val="Compact"/>
        <w:numPr>
          <w:ilvl w:val="0"/>
          <w:numId w:val="1004"/>
        </w:numPr>
      </w:pPr>
      <w:r>
        <w:t xml:space="preserve">couleur verte ;</w:t>
      </w:r>
    </w:p>
    <w:p>
      <w:pPr>
        <w:pStyle w:val="Compact"/>
        <w:numPr>
          <w:ilvl w:val="0"/>
          <w:numId w:val="1004"/>
        </w:numPr>
      </w:pPr>
      <w:r>
        <w:t xml:space="preserve">silhouette moins detectable qu’une camera de chasse classique ;</w:t>
      </w:r>
    </w:p>
    <w:p>
      <w:pPr>
        <w:pStyle w:val="Compact"/>
        <w:numPr>
          <w:ilvl w:val="0"/>
          <w:numId w:val="1004"/>
        </w:numPr>
      </w:pPr>
      <w:r>
        <w:t xml:space="preserve">calage sur supports ronds ;</w:t>
      </w:r>
    </w:p>
    <w:p>
      <w:pPr>
        <w:pStyle w:val="Compact"/>
        <w:numPr>
          <w:ilvl w:val="0"/>
          <w:numId w:val="1004"/>
        </w:numPr>
      </w:pPr>
      <w:r>
        <w:t xml:space="preserve">sangle discrete ;</w:t>
      </w:r>
    </w:p>
    <w:p>
      <w:pPr>
        <w:pStyle w:val="Compact"/>
        <w:numPr>
          <w:ilvl w:val="0"/>
          <w:numId w:val="1004"/>
        </w:numPr>
      </w:pPr>
      <w:r>
        <w:t xml:space="preserve">antenne LoRa interne ou camouflee ;</w:t>
      </w:r>
    </w:p>
    <w:p>
      <w:pPr>
        <w:pStyle w:val="Compact"/>
        <w:numPr>
          <w:ilvl w:val="0"/>
          <w:numId w:val="1004"/>
        </w:numPr>
      </w:pPr>
      <w:r>
        <w:t xml:space="preserve">reserve skin camouflage.</w:t>
      </w:r>
    </w:p>
    <w:bookmarkEnd w:id="16"/>
    <w:bookmarkStart w:id="17" w:name="raspberry-pi"/>
    <w:p>
      <w:pPr>
        <w:pStyle w:val="Heading3"/>
      </w:pPr>
      <w:r>
        <w:t xml:space="preserve">5.5 Raspberry Pi</w:t>
      </w:r>
    </w:p>
    <w:p>
      <w:pPr>
        <w:pStyle w:val="FirstParagraph"/>
      </w:pPr>
      <w:r>
        <w:t xml:space="preserve">Le Raspberry Pi 5 doit etre considere maintenant pour Base/Master Nexus P1. Il est exclu du satellite P0.</w:t>
      </w:r>
    </w:p>
    <w:bookmarkEnd w:id="17"/>
    <w:bookmarkEnd w:id="18"/>
    <w:bookmarkStart w:id="19" w:name="wp01-livrables-couverts"/>
    <w:p>
      <w:pPr>
        <w:pStyle w:val="Heading2"/>
      </w:pPr>
      <w:r>
        <w:t xml:space="preserve">6. WP01 — livrables couverts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Livrable WP01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D01.1 comparaison/concurrence</w:t>
            </w:r>
          </w:p>
        </w:tc>
        <w:tc>
          <w:tcPr/>
          <w:p>
            <w:pPr>
              <w:pStyle w:val="Compact"/>
            </w:pPr>
            <w:r>
              <w:t xml:space="preserve">partiel/historique</w:t>
            </w:r>
          </w:p>
        </w:tc>
        <w:tc>
          <w:tcPr/>
          <w:p>
            <w:pPr>
              <w:pStyle w:val="Compact"/>
            </w:pPr>
            <w:r>
              <w:t xml:space="preserve">notes marche et produits dans</w:t>
            </w:r>
            <w:r>
              <w:t xml:space="preserve"> </w:t>
            </w:r>
            <w:r>
              <w:rPr>
                <w:rStyle w:val="VerbatimChar"/>
              </w:rPr>
              <w:t xml:space="preserve">03_P0_ENGINEERING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D01.2 FTO / licence / usage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wildnexus-usage-policy-and-license-principles.md</w:t>
            </w:r>
            <w:r>
              <w:t xml:space="preserve"> </w:t>
            </w:r>
            <w:r>
              <w:t xml:space="preserve">+ Renard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D01.3 RF / standard radio</w:t>
            </w:r>
          </w:p>
        </w:tc>
        <w:tc>
          <w:tcPr/>
          <w:p>
            <w:pPr>
              <w:pStyle w:val="Compact"/>
            </w:pPr>
            <w:r>
              <w:t xml:space="preserve">accepte architecture</w:t>
            </w:r>
          </w:p>
        </w:tc>
        <w:tc>
          <w:tcPr/>
          <w:p>
            <w:pPr>
              <w:pStyle w:val="Compact"/>
            </w:pPr>
            <w:r>
              <w:t xml:space="preserve">ADR-003 ; mesures terrain restent WP05/M-02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D01.4 camera</w:t>
            </w:r>
          </w:p>
        </w:tc>
        <w:tc>
          <w:tcPr/>
          <w:p>
            <w:pPr>
              <w:pStyle w:val="Compact"/>
            </w:pPr>
            <w:r>
              <w:t xml:space="preserve">accepte architecture</w:t>
            </w:r>
          </w:p>
        </w:tc>
        <w:tc>
          <w:tcPr/>
          <w:p>
            <w:pPr>
              <w:pStyle w:val="Compact"/>
            </w:pPr>
            <w:r>
              <w:t xml:space="preserve">ADR-002 ; benchmark terrain reste 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D01.5 architecture P0 gelee</w:t>
            </w:r>
          </w:p>
        </w:tc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t xml:space="preserve">ce document + ADR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SUPPLY-01 registre composants</w:t>
            </w:r>
          </w:p>
        </w:tc>
        <w:tc>
          <w:tcPr/>
          <w:p>
            <w:pPr>
              <w:pStyle w:val="Compact"/>
            </w:pPr>
            <w:r>
              <w:t xml:space="preserve">actif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WILDNEXUS_SUPPLY_REGISTER.md</w:t>
            </w:r>
          </w:p>
        </w:tc>
      </w:tr>
    </w:tbl>
    <w:p>
      <w:pPr>
        <w:pStyle w:val="BodyText"/>
      </w:pPr>
      <w:r>
        <w:t xml:space="preserve">WP01 est donc suffisamment ferme pour autoriser WP02, avec deux reserves explicites :</w:t>
      </w:r>
    </w:p>
    <w:p>
      <w:pPr>
        <w:pStyle w:val="Compact"/>
        <w:numPr>
          <w:ilvl w:val="0"/>
          <w:numId w:val="1005"/>
        </w:numPr>
      </w:pPr>
      <w:r>
        <w:t xml:space="preserve">FTO/licence reste a traiter comme risque juridique, pas comme blocage hardware immediat.</w:t>
      </w:r>
    </w:p>
    <w:p>
      <w:pPr>
        <w:pStyle w:val="Compact"/>
        <w:numPr>
          <w:ilvl w:val="0"/>
          <w:numId w:val="1005"/>
        </w:numPr>
      </w:pPr>
      <w:r>
        <w:t xml:space="preserve">ADR-006 reste ouvert jusqu’a estimation dimensionnelle et choix boitier.</w:t>
      </w:r>
    </w:p>
    <w:bookmarkEnd w:id="19"/>
    <w:bookmarkStart w:id="20" w:name="anticipation-wp02"/>
    <w:p>
      <w:pPr>
        <w:pStyle w:val="Heading2"/>
      </w:pPr>
      <w:r>
        <w:t xml:space="preserve">7. Anticipation WP02</w:t>
      </w:r>
    </w:p>
    <w:p>
      <w:pPr>
        <w:pStyle w:val="FirstParagraph"/>
      </w:pPr>
      <w:r>
        <w:t xml:space="preserve">WP02 doit produire rapidement :</w:t>
      </w:r>
    </w:p>
    <w:p>
      <w:pPr>
        <w:pStyle w:val="Compact"/>
        <w:numPr>
          <w:ilvl w:val="0"/>
          <w:numId w:val="1006"/>
        </w:numPr>
      </w:pPr>
      <w:r>
        <w:t xml:space="preserve">shortlist achat v0.1 ;</w:t>
      </w:r>
    </w:p>
    <w:p>
      <w:pPr>
        <w:pStyle w:val="Compact"/>
        <w:numPr>
          <w:ilvl w:val="0"/>
          <w:numId w:val="1006"/>
        </w:numPr>
      </w:pPr>
      <w:r>
        <w:t xml:space="preserve">estimation encombrement v0.2 ;</w:t>
      </w:r>
    </w:p>
    <w:p>
      <w:pPr>
        <w:pStyle w:val="Compact"/>
        <w:numPr>
          <w:ilvl w:val="0"/>
          <w:numId w:val="1006"/>
        </w:numPr>
      </w:pPr>
      <w:r>
        <w:t xml:space="preserve">comparaison 4 AA vs 8 AA avec le modele autonomie ;</w:t>
      </w:r>
    </w:p>
    <w:p>
      <w:pPr>
        <w:pStyle w:val="Compact"/>
        <w:numPr>
          <w:ilvl w:val="0"/>
          <w:numId w:val="1006"/>
        </w:numPr>
      </w:pPr>
      <w:r>
        <w:t xml:space="preserve">choix de 1-2 boitiers candidats ;</w:t>
      </w:r>
    </w:p>
    <w:p>
      <w:pPr>
        <w:pStyle w:val="Compact"/>
        <w:numPr>
          <w:ilvl w:val="0"/>
          <w:numId w:val="1006"/>
        </w:numPr>
      </w:pPr>
      <w:r>
        <w:t xml:space="preserve">strategie antenne LoRa discrete ;</w:t>
      </w:r>
    </w:p>
    <w:p>
      <w:pPr>
        <w:pStyle w:val="Compact"/>
        <w:numPr>
          <w:ilvl w:val="0"/>
          <w:numId w:val="1006"/>
        </w:numPr>
      </w:pPr>
      <w:r>
        <w:t xml:space="preserve">architecture PCB v0.1 ;</w:t>
      </w:r>
    </w:p>
    <w:p>
      <w:pPr>
        <w:pStyle w:val="Compact"/>
        <w:numPr>
          <w:ilvl w:val="0"/>
          <w:numId w:val="1006"/>
        </w:numPr>
      </w:pPr>
      <w:r>
        <w:t xml:space="preserve">liste des mesures M-02 au PPK2.</w:t>
      </w:r>
    </w:p>
    <w:p>
      <w:pPr>
        <w:pStyle w:val="FirstParagraph"/>
      </w:pPr>
      <w:r>
        <w:t xml:space="preserve">Deux options a suivre en parallele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But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banc rapide</w:t>
            </w:r>
          </w:p>
        </w:tc>
        <w:tc>
          <w:tcPr/>
          <w:p>
            <w:pPr>
              <w:pStyle w:val="Compact"/>
            </w:pPr>
            <w:r>
              <w:t xml:space="preserve">mesurer vite</w:t>
            </w:r>
          </w:p>
        </w:tc>
        <w:tc>
          <w:tcPr/>
          <w:p>
            <w:pPr>
              <w:pStyle w:val="Compact"/>
            </w:pPr>
            <w:r>
              <w:t xml:space="preserve">DevKit ESP32-S3, module camera, LoRa dev/breakout, PIR, micro, microSD, buck, batteries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proto terrain compact</w:t>
            </w:r>
          </w:p>
        </w:tc>
        <w:tc>
          <w:tcPr/>
          <w:p>
            <w:pPr>
              <w:pStyle w:val="Compact"/>
            </w:pPr>
            <w:r>
              <w:t xml:space="preserve">converger boitier</w:t>
            </w:r>
          </w:p>
        </w:tc>
        <w:tc>
          <w:tcPr/>
          <w:p>
            <w:pPr>
              <w:pStyle w:val="Compact"/>
            </w:pPr>
            <w:r>
              <w:t xml:space="preserve">composants proches PCB final, holder AA, boitier IP67, antenne discrete, fenetres camera/PIR/micro</w:t>
            </w:r>
          </w:p>
        </w:tc>
      </w:tr>
    </w:tbl>
    <w:bookmarkEnd w:id="20"/>
    <w:bookmarkStart w:id="21" w:name="anticipation-wp03"/>
    <w:p>
      <w:pPr>
        <w:pStyle w:val="Heading2"/>
      </w:pPr>
      <w:r>
        <w:t xml:space="preserve">8. Anticipation WP03</w:t>
      </w:r>
    </w:p>
    <w:p>
      <w:pPr>
        <w:pStyle w:val="FirstParagraph"/>
      </w:pPr>
      <w:r>
        <w:t xml:space="preserve">WP03 doit demarrer sans attendre le PCB final sur dev board :</w:t>
      </w:r>
    </w:p>
    <w:p>
      <w:pPr>
        <w:pStyle w:val="Compact"/>
        <w:numPr>
          <w:ilvl w:val="0"/>
          <w:numId w:val="1007"/>
        </w:numPr>
      </w:pPr>
      <w:r>
        <w:t xml:space="preserve">machine d’etats sleep -&gt; wake -&gt; capture -&gt; stockage -&gt; LoRa -&gt; sleep ;</w:t>
      </w:r>
    </w:p>
    <w:p>
      <w:pPr>
        <w:pStyle w:val="Compact"/>
        <w:numPr>
          <w:ilvl w:val="0"/>
          <w:numId w:val="1007"/>
        </w:numPr>
      </w:pPr>
      <w:r>
        <w:t xml:space="preserve">power gating camera/microSD/IR/LoRa ;</w:t>
      </w:r>
    </w:p>
    <w:p>
      <w:pPr>
        <w:pStyle w:val="Compact"/>
        <w:numPr>
          <w:ilvl w:val="0"/>
          <w:numId w:val="1007"/>
        </w:numPr>
      </w:pPr>
      <w:r>
        <w:t xml:space="preserve">gestion undervoltage ;</w:t>
      </w:r>
    </w:p>
    <w:p>
      <w:pPr>
        <w:pStyle w:val="Compact"/>
        <w:numPr>
          <w:ilvl w:val="0"/>
          <w:numId w:val="1007"/>
        </w:numPr>
      </w:pPr>
      <w:r>
        <w:t xml:space="preserve">logs energie par evenement ;</w:t>
      </w:r>
    </w:p>
    <w:p>
      <w:pPr>
        <w:pStyle w:val="Compact"/>
        <w:numPr>
          <w:ilvl w:val="0"/>
          <w:numId w:val="1007"/>
        </w:numPr>
      </w:pPr>
      <w:r>
        <w:t xml:space="preserve">configuration Wi-Fi locale minimale ;</w:t>
      </w:r>
    </w:p>
    <w:p>
      <w:pPr>
        <w:pStyle w:val="Compact"/>
        <w:numPr>
          <w:ilvl w:val="0"/>
          <w:numId w:val="1007"/>
        </w:numPr>
      </w:pPr>
      <w:r>
        <w:t xml:space="preserve">format metadata extensible.</w:t>
      </w:r>
    </w:p>
    <w:p>
      <w:pPr>
        <w:pStyle w:val="FirstParagraph"/>
      </w:pPr>
      <w:r>
        <w:t xml:space="preserve">WP03 ne doit pas demarrer BirdNET/YOLO embarque.</w:t>
      </w:r>
    </w:p>
    <w:bookmarkEnd w:id="21"/>
    <w:bookmarkStart w:id="22" w:name="anticipation-wp04"/>
    <w:p>
      <w:pPr>
        <w:pStyle w:val="Heading2"/>
      </w:pPr>
      <w:r>
        <w:t xml:space="preserve">9. Anticipation WP04</w:t>
      </w:r>
    </w:p>
    <w:p>
      <w:pPr>
        <w:pStyle w:val="FirstParagraph"/>
      </w:pPr>
      <w:r>
        <w:t xml:space="preserve">WP04 se limite pour P0 a :</w:t>
      </w:r>
    </w:p>
    <w:p>
      <w:pPr>
        <w:pStyle w:val="Compact"/>
        <w:numPr>
          <w:ilvl w:val="0"/>
          <w:numId w:val="1008"/>
        </w:numPr>
      </w:pPr>
      <w:r>
        <w:t xml:space="preserve">prefiltrage animal/non-animal ;</w:t>
      </w:r>
    </w:p>
    <w:p>
      <w:pPr>
        <w:pStyle w:val="Compact"/>
        <w:numPr>
          <w:ilvl w:val="0"/>
          <w:numId w:val="1008"/>
        </w:numPr>
      </w:pPr>
      <w:r>
        <w:t xml:space="preserve">seuils simples ;</w:t>
      </w:r>
    </w:p>
    <w:p>
      <w:pPr>
        <w:pStyle w:val="Compact"/>
        <w:numPr>
          <w:ilvl w:val="0"/>
          <w:numId w:val="1008"/>
        </w:numPr>
      </w:pPr>
      <w:r>
        <w:t xml:space="preserve">preparation dataset a partir des captures P0 ;</w:t>
      </w:r>
    </w:p>
    <w:p>
      <w:pPr>
        <w:pStyle w:val="Compact"/>
        <w:numPr>
          <w:ilvl w:val="0"/>
          <w:numId w:val="1008"/>
        </w:numPr>
      </w:pPr>
      <w:r>
        <w:t xml:space="preserve">comparaison offline future via Base/Master.</w:t>
      </w:r>
    </w:p>
    <w:p>
      <w:pPr>
        <w:pStyle w:val="FirstParagraph"/>
      </w:pPr>
      <w:r>
        <w:t xml:space="preserve">Pas de reconnaissance espece fine dans le satellite P0.</w:t>
      </w:r>
    </w:p>
    <w:bookmarkEnd w:id="22"/>
    <w:bookmarkStart w:id="23" w:name="passage-recommande"/>
    <w:p>
      <w:pPr>
        <w:pStyle w:val="Heading2"/>
      </w:pPr>
      <w:r>
        <w:t xml:space="preserve">10. Passage recommande</w:t>
      </w:r>
    </w:p>
    <w:p>
      <w:pPr>
        <w:pStyle w:val="FirstParagraph"/>
      </w:pPr>
      <w:r>
        <w:t xml:space="preserve">Decision Dobby/equipe :</w:t>
      </w:r>
    </w:p>
    <w:p>
      <w:pPr>
        <w:pStyle w:val="BodyText"/>
      </w:pPr>
      <w:r>
        <w:rPr>
          <w:b/>
          <w:bCs/>
        </w:rPr>
        <w:t xml:space="preserve">WP01 peut etre considere comme suffisamment gelee pour lancer WP02/WP03/WP04 en parallele controle.</w:t>
      </w:r>
    </w:p>
    <w:p>
      <w:pPr>
        <w:pStyle w:val="BodyText"/>
      </w:pPr>
      <w:r>
        <w:t xml:space="preserve">Condition de discipline :</w:t>
      </w:r>
    </w:p>
    <w:p>
      <w:pPr>
        <w:pStyle w:val="Compact"/>
        <w:numPr>
          <w:ilvl w:val="0"/>
          <w:numId w:val="1009"/>
        </w:numPr>
      </w:pPr>
      <w:r>
        <w:t xml:space="preserve">aucune nouvelle fonction P0 sans ADR ou decision JCH ;</w:t>
      </w:r>
    </w:p>
    <w:p>
      <w:pPr>
        <w:pStyle w:val="Compact"/>
        <w:numPr>
          <w:ilvl w:val="0"/>
          <w:numId w:val="1009"/>
        </w:numPr>
      </w:pPr>
      <w:r>
        <w:t xml:space="preserve">tout ajout doit passer par le modele autonomie et l’encombrement ;</w:t>
      </w:r>
    </w:p>
    <w:p>
      <w:pPr>
        <w:pStyle w:val="Compact"/>
        <w:numPr>
          <w:ilvl w:val="0"/>
          <w:numId w:val="1009"/>
        </w:numPr>
      </w:pPr>
      <w:r>
        <w:t xml:space="preserve">ADR-006 ne sera acceptee qu’apres shortlist hardware et estimation dimensionnelle.</w:t>
      </w:r>
    </w:p>
    <w:bookmarkEnd w:id="23"/>
    <w:bookmarkStart w:id="24" w:name="prochaine-action"/>
    <w:p>
      <w:pPr>
        <w:pStyle w:val="Heading2"/>
      </w:pPr>
      <w:r>
        <w:t xml:space="preserve">11. Prochaine action</w:t>
      </w:r>
    </w:p>
    <w:p>
      <w:pPr>
        <w:pStyle w:val="FirstParagraph"/>
      </w:pPr>
      <w:r>
        <w:t xml:space="preserve">Produire</w:t>
      </w:r>
      <w:r>
        <w:t xml:space="preserve"> </w:t>
      </w:r>
      <w:r>
        <w:rPr>
          <w:rStyle w:val="VerbatimChar"/>
        </w:rPr>
        <w:t xml:space="preserve">WP02_shortlist_achat_P0_v0.1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composants exacts ;</w:t>
      </w:r>
    </w:p>
    <w:p>
      <w:pPr>
        <w:pStyle w:val="Compact"/>
        <w:numPr>
          <w:ilvl w:val="0"/>
          <w:numId w:val="1010"/>
        </w:numPr>
      </w:pPr>
      <w:r>
        <w:t xml:space="preserve">fournisseur primaire et alternative ;</w:t>
      </w:r>
    </w:p>
    <w:p>
      <w:pPr>
        <w:pStyle w:val="Compact"/>
        <w:numPr>
          <w:ilvl w:val="0"/>
          <w:numId w:val="1010"/>
        </w:numPr>
      </w:pPr>
      <w:r>
        <w:t xml:space="preserve">prix livre Belgique ;</w:t>
      </w:r>
    </w:p>
    <w:p>
      <w:pPr>
        <w:pStyle w:val="Compact"/>
        <w:numPr>
          <w:ilvl w:val="0"/>
          <w:numId w:val="1010"/>
        </w:numPr>
      </w:pPr>
      <w:r>
        <w:t xml:space="preserve">delai ;</w:t>
      </w:r>
    </w:p>
    <w:p>
      <w:pPr>
        <w:pStyle w:val="Compact"/>
        <w:numPr>
          <w:ilvl w:val="0"/>
          <w:numId w:val="1010"/>
        </w:numPr>
      </w:pPr>
      <w:r>
        <w:t xml:space="preserve">risque supply ;</w:t>
      </w:r>
    </w:p>
    <w:p>
      <w:pPr>
        <w:pStyle w:val="Compact"/>
        <w:numPr>
          <w:ilvl w:val="0"/>
          <w:numId w:val="1010"/>
        </w:numPr>
      </w:pPr>
      <w:r>
        <w:t xml:space="preserve">impact encombrement ;</w:t>
      </w:r>
    </w:p>
    <w:p>
      <w:pPr>
        <w:pStyle w:val="Compact"/>
        <w:numPr>
          <w:ilvl w:val="0"/>
          <w:numId w:val="1010"/>
        </w:numPr>
      </w:pPr>
      <w:r>
        <w:t xml:space="preserve">indication banc rapide vs proto terrain.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2026-05-24T09:54:29Z</dcterms:created>
  <dcterms:modified xsi:type="dcterms:W3CDTF">2026-05-24T09:54:29Z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