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vetalyx-srl"/>
    <w:p>
      <w:pPr>
        <w:pStyle w:val="Heading1"/>
      </w:pPr>
      <w:r>
        <w:t xml:space="preserve">VETALYX SRL</w:t>
      </w:r>
    </w:p>
    <w:bookmarkStart w:id="9" w:name="X516fbeaf19a66ddcc178752c94143f9e0cf10c5"/>
    <w:p>
      <w:pPr>
        <w:pStyle w:val="Heading2"/>
      </w:pPr>
      <w:r>
        <w:t xml:space="preserve">Statuts — Societe a Responsabilite Limitee de droit belge</w:t>
      </w:r>
    </w:p>
    <w:bookmarkEnd w:id="9"/>
    <w:bookmarkStart w:id="10" w:name="X47813d84e91150d121e02e9adbaf2d90b04d84e"/>
    <w:p>
      <w:pPr>
        <w:pStyle w:val="Heading2"/>
      </w:pPr>
      <w:r>
        <w:t xml:space="preserve">Code des societes et des associations (CSA)</w:t>
      </w:r>
    </w:p>
    <w:p>
      <w:pPr>
        <w:pStyle w:val="FirstParagraph"/>
      </w:pPr>
      <w:r>
        <w:rPr>
          <w:b/>
          <w:bCs/>
        </w:rPr>
        <w:t xml:space="preserve">Version :</w:t>
      </w:r>
      <w:r>
        <w:t xml:space="preserve"> </w:t>
      </w:r>
      <w:r>
        <w:t xml:space="preserve">v2 — Projet enrichi | Droit belge</w:t>
      </w:r>
      <w:r>
        <w:t xml:space="preserve"> </w:t>
      </w:r>
      <w:r>
        <w:rPr>
          <w:b/>
          <w:bCs/>
        </w:rPr>
        <w:t xml:space="preserve">Date :</w:t>
      </w:r>
      <w:r>
        <w:t xml:space="preserve"> </w:t>
      </w:r>
      <w:r>
        <w:t xml:space="preserve">31 mai 2026</w:t>
      </w:r>
      <w:r>
        <w:t xml:space="preserve"> </w:t>
      </w:r>
      <w:r>
        <w:rPr>
          <w:b/>
          <w:bCs/>
        </w:rPr>
        <w:t xml:space="preserve">Redige par :</w:t>
      </w:r>
      <w:r>
        <w:t xml:space="preserve"> </w:t>
      </w:r>
      <w:r>
        <w:t xml:space="preserve">[[Renard]] — Conseil juridique VETALYX / PKA</w:t>
      </w:r>
      <w:r>
        <w:t xml:space="preserve"> </w:t>
      </w:r>
      <w:r>
        <w:rPr>
          <w:b/>
          <w:bCs/>
        </w:rPr>
        <w:t xml:space="preserve">Annexe 1 du Pacte d’Actionnaires Fondateurs</w:t>
      </w:r>
    </w:p>
    <w:p>
      <w:r>
        <w:pict>
          <v:rect style="width:0;height:1.5pt" o:hralign="center" o:hrstd="t" o:hr="t"/>
        </w:pict>
      </w:r>
    </w:p>
    <w:bookmarkEnd w:id="10"/>
    <w:bookmarkStart w:id="17" w:name="X3962a8a834928502f9e1d42d742344007245ea6"/>
    <w:p>
      <w:pPr>
        <w:pStyle w:val="Heading2"/>
      </w:pPr>
      <w:r>
        <w:t xml:space="preserve">TITRE I — FORME, DENOMINATION, SIEGE, DUREE, OBJET</w:t>
      </w:r>
    </w:p>
    <w:bookmarkStart w:id="11" w:name="article-1-forme"/>
    <w:p>
      <w:pPr>
        <w:pStyle w:val="Heading3"/>
      </w:pPr>
      <w:r>
        <w:t xml:space="preserve">Article 1 — Forme</w:t>
      </w:r>
    </w:p>
    <w:p>
      <w:pPr>
        <w:pStyle w:val="FirstParagraph"/>
      </w:pPr>
      <w:r>
        <w:t xml:space="preserve">La societe est constituee sous la forme d’une societe a responsabilite limitee de droit belge, regie par le Code des societes et des associations (CSA).</w:t>
      </w:r>
    </w:p>
    <w:bookmarkEnd w:id="11"/>
    <w:bookmarkStart w:id="12" w:name="article-2-denomination"/>
    <w:p>
      <w:pPr>
        <w:pStyle w:val="Heading3"/>
      </w:pPr>
      <w:r>
        <w:t xml:space="preserve">Article 2 — Denomination</w:t>
      </w:r>
    </w:p>
    <w:p>
      <w:pPr>
        <w:pStyle w:val="FirstParagraph"/>
      </w:pPr>
      <w:r>
        <w:t xml:space="preserve">La societe est denommee «</w:t>
      </w:r>
      <w:r>
        <w:t xml:space="preserve"> </w:t>
      </w:r>
      <w:r>
        <w:rPr>
          <w:b/>
          <w:bCs/>
        </w:rPr>
        <w:t xml:space="preserve">VETALYX</w:t>
      </w:r>
      <w:r>
        <w:t xml:space="preserve"> </w:t>
      </w:r>
      <w:r>
        <w:t xml:space="preserve">». Dans tous les actes, factures, annonces, publications et autres documents emis par la societe, la denomination sociale doit etre precedee ou suivie de la mention « SRL » ainsi que de l’indication du siege social et du numero d’entreprise a la BCE.</w:t>
      </w:r>
    </w:p>
    <w:bookmarkEnd w:id="12"/>
    <w:bookmarkStart w:id="13" w:name="article-3-siege-social"/>
    <w:p>
      <w:pPr>
        <w:pStyle w:val="Heading3"/>
      </w:pPr>
      <w:r>
        <w:t xml:space="preserve">Article 3 — Siege social</w:t>
      </w:r>
    </w:p>
    <w:p>
      <w:pPr>
        <w:pStyle w:val="FirstParagraph"/>
      </w:pPr>
      <w:r>
        <w:t xml:space="preserve">Le siege social est etabli a [ADRESSE COMPLETE, BELGIQUE]. Il peut etre transfere en tout autre lieu du Royaume par decision du conseil d’administration, sans modification des presents statuts.</w:t>
      </w:r>
    </w:p>
    <w:bookmarkEnd w:id="13"/>
    <w:bookmarkStart w:id="14" w:name="article-4-duree"/>
    <w:p>
      <w:pPr>
        <w:pStyle w:val="Heading3"/>
      </w:pPr>
      <w:r>
        <w:t xml:space="preserve">Article 4 — Duree</w:t>
      </w:r>
    </w:p>
    <w:p>
      <w:pPr>
        <w:pStyle w:val="FirstParagraph"/>
      </w:pPr>
      <w:r>
        <w:t xml:space="preserve">La societe est constituee pour une duree</w:t>
      </w:r>
      <w:r>
        <w:t xml:space="preserve"> </w:t>
      </w:r>
      <w:r>
        <w:rPr>
          <w:b/>
          <w:bCs/>
        </w:rPr>
        <w:t xml:space="preserve">illimitee</w:t>
      </w:r>
      <w:r>
        <w:t xml:space="preserve">. La dissolution peut etre prononcee a tout moment par decision de l’assemblee generale extraordinaire.</w:t>
      </w:r>
    </w:p>
    <w:bookmarkEnd w:id="14"/>
    <w:bookmarkStart w:id="15" w:name="article-5-objet-social"/>
    <w:p>
      <w:pPr>
        <w:pStyle w:val="Heading3"/>
      </w:pPr>
      <w:r>
        <w:t xml:space="preserve">Article 5 — Objet social</w:t>
      </w:r>
    </w:p>
    <w:p>
      <w:pPr>
        <w:pStyle w:val="FirstParagraph"/>
      </w:pPr>
      <w:r>
        <w:t xml:space="preserve">La societe a pour objet, en Belgique et a l’etranger, pour son compte propre ou pour le compte de tiers :</w:t>
      </w:r>
    </w:p>
    <w:p>
      <w:pPr>
        <w:pStyle w:val="BodyText"/>
      </w:pPr>
      <w:r>
        <w:rPr>
          <w:b/>
          <w:bCs/>
        </w:rPr>
        <w:t xml:space="preserve">Activites principales :</w:t>
      </w:r>
      <w:r>
        <w:t xml:space="preserve"> </w:t>
      </w:r>
      <w:r>
        <w:t xml:space="preserve">1. Recherche, developpement, fabrication, distribution et commercialisation de tous produits, materiels, consommables, reactifs et instruments destines au</w:t>
      </w:r>
      <w:r>
        <w:t xml:space="preserve"> </w:t>
      </w:r>
      <w:r>
        <w:rPr>
          <w:b/>
          <w:bCs/>
        </w:rPr>
        <w:t xml:space="preserve">diagnostic veterinaire</w:t>
      </w:r>
      <w:r>
        <w:t xml:space="preserve">, notamment les tests rapides de detection d’allergies chez les animaux de compagnie, d’elevage et les equides.</w:t>
      </w:r>
      <w:r>
        <w:t xml:space="preserve"> </w:t>
      </w:r>
      <w:r>
        <w:t xml:space="preserve">2. Recherche, developpement, formulation, distribution et commercialisation de</w:t>
      </w:r>
      <w:r>
        <w:t xml:space="preserve"> </w:t>
      </w:r>
      <w:r>
        <w:rPr>
          <w:b/>
          <w:bCs/>
        </w:rPr>
        <w:t xml:space="preserve">complements alimentaires</w:t>
      </w:r>
      <w:r>
        <w:t xml:space="preserve"> </w:t>
      </w:r>
      <w:r>
        <w:t xml:space="preserve">destines aux animaux, regimes dietetiques veterinaires, nutraceutiques.</w:t>
      </w:r>
      <w:r>
        <w:t xml:space="preserve"> </w:t>
      </w:r>
      <w:r>
        <w:t xml:space="preserve">3. Recherche, developpement, importation, distribution et commercialisation de</w:t>
      </w:r>
      <w:r>
        <w:t xml:space="preserve"> </w:t>
      </w:r>
      <w:r>
        <w:rPr>
          <w:b/>
          <w:bCs/>
        </w:rPr>
        <w:t xml:space="preserve">medicaments a usage veterinaire</w:t>
      </w:r>
      <w:r>
        <w:t xml:space="preserve">, dispositifs medicaux veterinaires et produits de sante animale.</w:t>
      </w:r>
      <w:r>
        <w:t xml:space="preserve"> </w:t>
      </w:r>
      <w:r>
        <w:t xml:space="preserve">4. Prestation de</w:t>
      </w:r>
      <w:r>
        <w:t xml:space="preserve"> </w:t>
      </w:r>
      <w:r>
        <w:rPr>
          <w:b/>
          <w:bCs/>
        </w:rPr>
        <w:t xml:space="preserve">services veterinaires</w:t>
      </w:r>
      <w:r>
        <w:t xml:space="preserve"> </w:t>
      </w:r>
      <w:r>
        <w:t xml:space="preserve">: conseil, formation, audit, expertise, recherche clinique, depistage, telemedecine.</w:t>
      </w:r>
      <w:r>
        <w:t xml:space="preserve"> </w:t>
      </w:r>
      <w:r>
        <w:t xml:space="preserve">5.</w:t>
      </w:r>
      <w:r>
        <w:t xml:space="preserve"> </w:t>
      </w:r>
      <w:r>
        <w:rPr>
          <w:b/>
          <w:bCs/>
        </w:rPr>
        <w:t xml:space="preserve">Representation reglementaire</w:t>
      </w:r>
      <w:r>
        <w:t xml:space="preserve"> </w:t>
      </w:r>
      <w:r>
        <w:t xml:space="preserve">de fabricants etrangers sur les marches europeens (mandat REP, enregistrements, pharmacovigilance).</w:t>
      </w:r>
      <w:r>
        <w:t xml:space="preserve"> </w:t>
      </w:r>
      <w:r>
        <w:t xml:space="preserve">6. Conclusion de</w:t>
      </w:r>
      <w:r>
        <w:t xml:space="preserve"> </w:t>
      </w:r>
      <w:r>
        <w:rPr>
          <w:b/>
          <w:bCs/>
        </w:rPr>
        <w:t xml:space="preserve">partenariats strategiques</w:t>
      </w:r>
      <w:r>
        <w:t xml:space="preserve"> </w:t>
      </w:r>
      <w:r>
        <w:t xml:space="preserve">: distribution exclusive, licence, franchise, co-entreprises.</w:t>
      </w:r>
    </w:p>
    <w:p>
      <w:pPr>
        <w:pStyle w:val="BodyText"/>
      </w:pPr>
      <w:r>
        <w:rPr>
          <w:b/>
          <w:bCs/>
        </w:rPr>
        <w:t xml:space="preserve">Activites connexes :</w:t>
      </w:r>
      <w:r>
        <w:t xml:space="preserve"> </w:t>
      </w:r>
      <w:r>
        <w:t xml:space="preserve">7.</w:t>
      </w:r>
      <w:r>
        <w:t xml:space="preserve"> </w:t>
      </w:r>
      <w:r>
        <w:rPr>
          <w:b/>
          <w:bCs/>
        </w:rPr>
        <w:t xml:space="preserve">Investissement immobilier</w:t>
      </w:r>
      <w:r>
        <w:t xml:space="preserve"> </w:t>
      </w:r>
      <w:r>
        <w:t xml:space="preserve">: acquisition, detention, gestion, location et cession de biens immobiliers.</w:t>
      </w:r>
      <w:r>
        <w:t xml:space="preserve"> </w:t>
      </w:r>
      <w:r>
        <w:t xml:space="preserve">8.</w:t>
      </w:r>
      <w:r>
        <w:t xml:space="preserve"> </w:t>
      </w:r>
      <w:r>
        <w:rPr>
          <w:b/>
          <w:bCs/>
        </w:rPr>
        <w:t xml:space="preserve">Prises de participations</w:t>
      </w:r>
      <w:r>
        <w:t xml:space="preserve"> </w:t>
      </w:r>
      <w:r>
        <w:t xml:space="preserve">dans toutes societes belges ou etrangeres.</w:t>
      </w:r>
      <w:r>
        <w:t xml:space="preserve"> </w:t>
      </w:r>
      <w:r>
        <w:t xml:space="preserve">9.</w:t>
      </w:r>
      <w:r>
        <w:t xml:space="preserve"> </w:t>
      </w:r>
      <w:r>
        <w:rPr>
          <w:b/>
          <w:bCs/>
        </w:rPr>
        <w:t xml:space="preserve">Gestion de filiales</w:t>
      </w:r>
      <w:r>
        <w:t xml:space="preserve"> </w:t>
      </w:r>
      <w:r>
        <w:t xml:space="preserve">et prestations de services administratifs, financiers, commerciaux et techniques.</w:t>
      </w:r>
      <w:r>
        <w:t xml:space="preserve"> </w:t>
      </w:r>
      <w:r>
        <w:t xml:space="preserve">10. Octroi de</w:t>
      </w:r>
      <w:r>
        <w:t xml:space="preserve"> </w:t>
      </w:r>
      <w:r>
        <w:rPr>
          <w:b/>
          <w:bCs/>
        </w:rPr>
        <w:t xml:space="preserve">garanties et surete</w:t>
      </w:r>
      <w:r>
        <w:t xml:space="preserve"> </w:t>
      </w:r>
      <w:r>
        <w:t xml:space="preserve">pour des societes liees.</w:t>
      </w:r>
      <w:r>
        <w:t xml:space="preserve"> </w:t>
      </w:r>
      <w:r>
        <w:t xml:space="preserve">11.</w:t>
      </w:r>
      <w:r>
        <w:t xml:space="preserve"> </w:t>
      </w:r>
      <w:r>
        <w:rPr>
          <w:b/>
          <w:bCs/>
        </w:rPr>
        <w:t xml:space="preserve">Conseil, etude, recherche et formation</w:t>
      </w:r>
      <w:r>
        <w:t xml:space="preserve"> </w:t>
      </w:r>
      <w:r>
        <w:t xml:space="preserve">dans les domaines lies a l’objet social.</w:t>
      </w:r>
      <w:r>
        <w:t xml:space="preserve"> </w:t>
      </w:r>
      <w:r>
        <w:t xml:space="preserve">12.</w:t>
      </w:r>
      <w:r>
        <w:t xml:space="preserve"> </w:t>
      </w:r>
      <w:r>
        <w:rPr>
          <w:b/>
          <w:bCs/>
        </w:rPr>
        <w:t xml:space="preserve">Clause balai</w:t>
      </w:r>
      <w:r>
        <w:t xml:space="preserve"> </w:t>
      </w:r>
      <w:r>
        <w:t xml:space="preserve">: toutes operations se rattachant directement ou indirectement a l’objet social.</w:t>
      </w:r>
    </w:p>
    <w:bookmarkEnd w:id="15"/>
    <w:bookmarkStart w:id="16" w:name="article-6-filiale-francaise"/>
    <w:p>
      <w:pPr>
        <w:pStyle w:val="Heading3"/>
      </w:pPr>
      <w:r>
        <w:t xml:space="preserve">Article 6 — Filiale francaise</w:t>
      </w:r>
    </w:p>
    <w:p>
      <w:pPr>
        <w:pStyle w:val="FirstParagraph"/>
      </w:pPr>
      <w:r>
        <w:t xml:space="preserve">Creation prevue d’une</w:t>
      </w:r>
      <w:r>
        <w:t xml:space="preserve"> </w:t>
      </w:r>
      <w:r>
        <w:rPr>
          <w:b/>
          <w:bCs/>
        </w:rPr>
        <w:t xml:space="preserve">filiale de droit francais</w:t>
      </w:r>
      <w:r>
        <w:t xml:space="preserve">. Forme, denomination, siege et objet determines par AGE convoquee par le CA en temps utile.</w:t>
      </w:r>
    </w:p>
    <w:p>
      <w:r>
        <w:pict>
          <v:rect style="width:0;height:1.5pt" o:hralign="center" o:hrstd="t" o:hr="t"/>
        </w:pict>
      </w:r>
    </w:p>
    <w:bookmarkEnd w:id="16"/>
    <w:bookmarkEnd w:id="17"/>
    <w:bookmarkStart w:id="21" w:name="titre-ii-apports-capital-parts-sociales"/>
    <w:p>
      <w:pPr>
        <w:pStyle w:val="Heading2"/>
      </w:pPr>
      <w:r>
        <w:t xml:space="preserve">TITRE II — APPORTS, CAPITAL, PARTS SOCIALES</w:t>
      </w:r>
    </w:p>
    <w:bookmarkStart w:id="18" w:name="article-7-apports"/>
    <w:p>
      <w:pPr>
        <w:pStyle w:val="Heading3"/>
      </w:pPr>
      <w:r>
        <w:t xml:space="preserve">Article 7 — Apports</w:t>
      </w:r>
    </w:p>
    <w:p>
      <w:pPr>
        <w:pStyle w:val="FirstParagraph"/>
      </w:pPr>
      <w:r>
        <w:t xml:space="preserve">Les fondateurs apportent a la societe les sommes suivantes, integralement liberees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Apport en especes</w:t>
            </w:r>
          </w:p>
        </w:tc>
        <w:tc>
          <w:tcPr/>
          <w:p>
            <w:pPr>
              <w:pStyle w:val="Compact"/>
            </w:pPr>
            <w:r>
              <w:t xml:space="preserve">Parts attribuees</w:t>
            </w:r>
          </w:p>
        </w:tc>
      </w:tr>
      <w:tr>
        <w:tc>
          <w:tcPr/>
          <w:p>
            <w:pPr>
              <w:pStyle w:val="Compact"/>
            </w:pPr>
            <w:r>
              <w:t xml:space="preserve">Alain BOSSELOIR</w:t>
            </w:r>
          </w:p>
        </w:tc>
        <w:tc>
          <w:tcPr/>
          <w:p>
            <w:pPr>
              <w:pStyle w:val="Compact"/>
            </w:pPr>
            <w:r>
              <w:t xml:space="preserve">1 000 EUR</w:t>
            </w:r>
          </w:p>
        </w:tc>
        <w:tc>
          <w:tcPr/>
          <w:p>
            <w:pPr>
              <w:pStyle w:val="Compact"/>
            </w:pPr>
            <w:r>
              <w:t xml:space="preserve">1 000 parts</w:t>
            </w:r>
          </w:p>
        </w:tc>
      </w:tr>
      <w:tr>
        <w:tc>
          <w:tcPr/>
          <w:p>
            <w:pPr>
              <w:pStyle w:val="Compact"/>
            </w:pPr>
            <w:r>
              <w:t xml:space="preserve">Jean-Claude HAVAUX</w:t>
            </w:r>
          </w:p>
        </w:tc>
        <w:tc>
          <w:tcPr/>
          <w:p>
            <w:pPr>
              <w:pStyle w:val="Compact"/>
            </w:pPr>
            <w:r>
              <w:t xml:space="preserve">1 000 EUR</w:t>
            </w:r>
          </w:p>
        </w:tc>
        <w:tc>
          <w:tcPr/>
          <w:p>
            <w:pPr>
              <w:pStyle w:val="Compact"/>
            </w:pPr>
            <w:r>
              <w:t xml:space="preserve">1 000 parts</w:t>
            </w:r>
          </w:p>
        </w:tc>
      </w:tr>
      <w:tr>
        <w:tc>
          <w:tcPr/>
          <w:p>
            <w:pPr>
              <w:pStyle w:val="Compact"/>
            </w:pPr>
            <w:r>
              <w:t xml:space="preserve">Peiwen QI</w:t>
            </w:r>
          </w:p>
        </w:tc>
        <w:tc>
          <w:tcPr/>
          <w:p>
            <w:pPr>
              <w:pStyle w:val="Compact"/>
            </w:pPr>
            <w:r>
              <w:t xml:space="preserve">1 000 EUR</w:t>
            </w:r>
          </w:p>
        </w:tc>
        <w:tc>
          <w:tcPr/>
          <w:p>
            <w:pPr>
              <w:pStyle w:val="Compact"/>
            </w:pPr>
            <w:r>
              <w:t xml:space="preserve">1 000 parts</w:t>
            </w:r>
          </w:p>
        </w:tc>
      </w:tr>
      <w:tr>
        <w:tc>
          <w:tcPr/>
          <w:p>
            <w:pPr>
              <w:pStyle w:val="Compact"/>
            </w:pPr>
            <w:r>
              <w:t xml:space="preserve">Jacques NOURY</w:t>
            </w:r>
          </w:p>
        </w:tc>
        <w:tc>
          <w:tcPr/>
          <w:p>
            <w:pPr>
              <w:pStyle w:val="Compact"/>
            </w:pPr>
            <w:r>
              <w:t xml:space="preserve">1 000 EUR</w:t>
            </w:r>
          </w:p>
        </w:tc>
        <w:tc>
          <w:tcPr/>
          <w:p>
            <w:pPr>
              <w:pStyle w:val="Compact"/>
            </w:pPr>
            <w:r>
              <w:t xml:space="preserve">1 000 parts</w:t>
            </w:r>
          </w:p>
        </w:tc>
      </w:tr>
      <w:tr>
        <w:tc>
          <w:tcPr/>
          <w:p>
            <w:pPr>
              <w:pStyle w:val="Compact"/>
            </w:pPr>
            <w:r>
              <w:rPr>
                <w:b/>
                <w:bCs/>
              </w:rPr>
              <w:t xml:space="preserve">Total</w:t>
            </w:r>
          </w:p>
        </w:tc>
        <w:tc>
          <w:tcPr/>
          <w:p>
            <w:pPr>
              <w:pStyle w:val="Compact"/>
            </w:pPr>
            <w:r>
              <w:rPr>
                <w:b/>
                <w:bCs/>
              </w:rPr>
              <w:t xml:space="preserve">4 000 EUR</w:t>
            </w:r>
          </w:p>
        </w:tc>
        <w:tc>
          <w:tcPr/>
          <w:p>
            <w:pPr>
              <w:pStyle w:val="Compact"/>
            </w:pPr>
            <w:r>
              <w:rPr>
                <w:b/>
                <w:bCs/>
              </w:rPr>
              <w:t xml:space="preserve">4 000 parts</w:t>
            </w:r>
          </w:p>
        </w:tc>
      </w:tr>
    </w:tbl>
    <w:p>
      <w:pPr>
        <w:pStyle w:val="BodyText"/>
      </w:pPr>
      <w:r>
        <w:t xml:space="preserve">Ces sommes ont ete deposees au credit d’un compte ouvert au nom de la societe en formation a la banque [X].</w:t>
      </w:r>
    </w:p>
    <w:bookmarkEnd w:id="18"/>
    <w:bookmarkStart w:id="19" w:name="article-8-capital-social"/>
    <w:p>
      <w:pPr>
        <w:pStyle w:val="Heading3"/>
      </w:pPr>
      <w:r>
        <w:t xml:space="preserve">Article 8 — Capital social</w:t>
      </w:r>
    </w:p>
    <w:p>
      <w:pPr>
        <w:pStyle w:val="FirstParagraph"/>
      </w:pPr>
      <w:r>
        <w:t xml:space="preserve">Le capital social est fixe a</w:t>
      </w:r>
      <w:r>
        <w:t xml:space="preserve"> </w:t>
      </w:r>
      <w:r>
        <w:rPr>
          <w:b/>
          <w:bCs/>
        </w:rPr>
        <w:t xml:space="preserve">4 000 EUR</w:t>
      </w:r>
      <w:r>
        <w:t xml:space="preserve">, represente par</w:t>
      </w:r>
      <w:r>
        <w:t xml:space="preserve"> </w:t>
      </w:r>
      <w:r>
        <w:rPr>
          <w:b/>
          <w:bCs/>
        </w:rPr>
        <w:t xml:space="preserve">4 000 parts sociales</w:t>
      </w:r>
      <w:r>
        <w:t xml:space="preserve"> </w:t>
      </w:r>
      <w:r>
        <w:t xml:space="preserve">sans designation de valeur nominale. Le capital peut etre augmente ou reduit par decision de l’assemblee generale extraordinaire conformement au CSA.</w:t>
      </w:r>
    </w:p>
    <w:bookmarkEnd w:id="19"/>
    <w:bookmarkStart w:id="20" w:name="X85b14172ac830886bc5d91083c79d16213cd233"/>
    <w:p>
      <w:pPr>
        <w:pStyle w:val="Heading3"/>
      </w:pPr>
      <w:r>
        <w:t xml:space="preserve">Article 9 — Parts sociales — Droits et obligations</w:t>
      </w:r>
    </w:p>
    <w:p>
      <w:pPr>
        <w:pStyle w:val="FirstParagraph"/>
      </w:pPr>
      <w:r>
        <w:t xml:space="preserve">Chaque part donne droit a une part proportionnelle dans l’actif social, les benefices et une voix dans les assemblees. Les parts sont indivisibles a l’egard de la societe. Les coproprietaires indivis sont tenus de se faire representer par un mandataire unique. En cas d’usufruit, le droit de vote appartient au nu-proprietaire pour toutes les decisions, sauf pour l’affectation des resultats ou il appartient a l’usufruitier.</w:t>
      </w:r>
    </w:p>
    <w:p>
      <w:r>
        <w:pict>
          <v:rect style="width:0;height:1.5pt" o:hralign="center" o:hrstd="t" o:hr="t"/>
        </w:pict>
      </w:r>
    </w:p>
    <w:bookmarkEnd w:id="20"/>
    <w:bookmarkEnd w:id="21"/>
    <w:bookmarkStart w:id="26" w:name="Xfe865be4583f22cafdd4eebc561996405a1dbf4"/>
    <w:p>
      <w:pPr>
        <w:pStyle w:val="Heading2"/>
      </w:pPr>
      <w:r>
        <w:t xml:space="preserve">TITRE III — CESSION ET TRANSMISSION DES PARTS</w:t>
      </w:r>
    </w:p>
    <w:bookmarkStart w:id="22" w:name="article-10-cession-entre-associes"/>
    <w:p>
      <w:pPr>
        <w:pStyle w:val="Heading3"/>
      </w:pPr>
      <w:r>
        <w:t xml:space="preserve">Article 10 — Cession entre associes</w:t>
      </w:r>
    </w:p>
    <w:p>
      <w:pPr>
        <w:pStyle w:val="FirstParagraph"/>
      </w:pPr>
      <w:r>
        <w:t xml:space="preserve">Les parts sont librement cessibles entre associes, sous reserve des dispositions du Pacte d’Actionnaires.</w:t>
      </w:r>
    </w:p>
    <w:bookmarkEnd w:id="22"/>
    <w:bookmarkStart w:id="23" w:name="Xc32b7c1b33e56383967d4ea17d594b859e7e056"/>
    <w:p>
      <w:pPr>
        <w:pStyle w:val="Heading3"/>
      </w:pPr>
      <w:r>
        <w:t xml:space="preserve">Article 11 — Cession a des tiers ou a un conjoint</w:t>
      </w:r>
    </w:p>
    <w:p>
      <w:pPr>
        <w:pStyle w:val="FirstParagraph"/>
      </w:pPr>
      <w:r>
        <w:t xml:space="preserve">Toute cession a un tiers, un conjoint, ascendant ou descendant d’un associe est soumise a</w:t>
      </w:r>
      <w:r>
        <w:t xml:space="preserve"> </w:t>
      </w:r>
      <w:r>
        <w:rPr>
          <w:b/>
          <w:bCs/>
        </w:rPr>
        <w:t xml:space="preserve">agrement prealable</w:t>
      </w:r>
      <w:r>
        <w:t xml:space="preserve"> </w:t>
      </w:r>
      <w:r>
        <w:t xml:space="preserve">de l’assemblee generale. La demande est notifiee par lettre recommandee indiquant l’identite du cessionnaire, le nombre de parts, le prix et les conditions.</w:t>
      </w:r>
    </w:p>
    <w:p>
      <w:pPr>
        <w:pStyle w:val="BodyText"/>
      </w:pPr>
      <w:r>
        <w:t xml:space="preserve">L’assemblee statue dans un delai de</w:t>
      </w:r>
      <w:r>
        <w:t xml:space="preserve"> </w:t>
      </w:r>
      <w:r>
        <w:rPr>
          <w:b/>
          <w:bCs/>
        </w:rPr>
        <w:t xml:space="preserve">30 jours</w:t>
      </w:r>
      <w:r>
        <w:t xml:space="preserve">. Decision a la majorite representant au moins</w:t>
      </w:r>
      <w:r>
        <w:t xml:space="preserve"> </w:t>
      </w:r>
      <w:r>
        <w:rPr>
          <w:b/>
          <w:bCs/>
        </w:rPr>
        <w:t xml:space="preserve">75 %</w:t>
      </w:r>
      <w:r>
        <w:t xml:space="preserve"> </w:t>
      </w:r>
      <w:r>
        <w:t xml:space="preserve">du capital. Le cedant ne prend pas part au vote. En cas de refus, les associes restants rachetent dans un delai de</w:t>
      </w:r>
      <w:r>
        <w:t xml:space="preserve"> </w:t>
      </w:r>
      <w:r>
        <w:rPr>
          <w:b/>
          <w:bCs/>
        </w:rPr>
        <w:t xml:space="preserve">3 mois</w:t>
      </w:r>
      <w:r>
        <w:t xml:space="preserve">, a defaut l’agrement est repute accorde.</w:t>
      </w:r>
    </w:p>
    <w:bookmarkEnd w:id="23"/>
    <w:bookmarkStart w:id="24" w:name="article-12-deces-incapacite-divorce"/>
    <w:p>
      <w:pPr>
        <w:pStyle w:val="Heading3"/>
      </w:pPr>
      <w:r>
        <w:t xml:space="preserve">Article 12 — Deces, incapacite, divorce</w:t>
      </w:r>
    </w:p>
    <w:p>
      <w:pPr>
        <w:pStyle w:val="FirstParagraph"/>
      </w:pPr>
      <w:r>
        <w:t xml:space="preserve">En cas de deces, la societe continue avec les associes survivants et les heritiers, sous reserve d’agrement. En cas de refus, les heritiers conservent les droits pecuniaires mais sans droit de vote jusqu’au rachat conforme au Pacte.</w:t>
      </w:r>
    </w:p>
    <w:p>
      <w:pPr>
        <w:pStyle w:val="BodyText"/>
      </w:pPr>
      <w:r>
        <w:t xml:space="preserve">En cas de divorce ou liquidation de regime matrimonial, les parts attribuees au conjoint sont soumises a agrement dans les memes conditions.</w:t>
      </w:r>
    </w:p>
    <w:bookmarkEnd w:id="24"/>
    <w:bookmarkStart w:id="25" w:name="article-13-opposabilite-de-la-cession"/>
    <w:p>
      <w:pPr>
        <w:pStyle w:val="Heading3"/>
      </w:pPr>
      <w:r>
        <w:t xml:space="preserve">Article 13 — Opposabilite de la cession</w:t>
      </w:r>
    </w:p>
    <w:p>
      <w:pPr>
        <w:pStyle w:val="FirstParagraph"/>
      </w:pPr>
      <w:r>
        <w:t xml:space="preserve">La cession est opposable a la societe apres notification par lettre recommandee et inscription dans le</w:t>
      </w:r>
      <w:r>
        <w:t xml:space="preserve"> </w:t>
      </w:r>
      <w:r>
        <w:rPr>
          <w:b/>
          <w:bCs/>
        </w:rPr>
        <w:t xml:space="preserve">registre des parts sociales</w:t>
      </w:r>
      <w:r>
        <w:t xml:space="preserve"> </w:t>
      </w:r>
      <w:r>
        <w:t xml:space="preserve">tenu au siege social.</w:t>
      </w:r>
    </w:p>
    <w:p>
      <w:r>
        <w:pict>
          <v:rect style="width:0;height:1.5pt" o:hralign="center" o:hrstd="t" o:hr="t"/>
        </w:pict>
      </w:r>
    </w:p>
    <w:bookmarkEnd w:id="25"/>
    <w:bookmarkEnd w:id="26"/>
    <w:bookmarkStart w:id="32" w:name="titre-iv-administration"/>
    <w:p>
      <w:pPr>
        <w:pStyle w:val="Heading2"/>
      </w:pPr>
      <w:r>
        <w:t xml:space="preserve">TITRE IV — ADMINISTRATION</w:t>
      </w:r>
    </w:p>
    <w:bookmarkStart w:id="27" w:name="article-14-conseil-dadministration"/>
    <w:p>
      <w:pPr>
        <w:pStyle w:val="Heading3"/>
      </w:pPr>
      <w:r>
        <w:t xml:space="preserve">Article 14 — Conseil d’administration</w:t>
      </w:r>
    </w:p>
    <w:p>
      <w:pPr>
        <w:pStyle w:val="FirstParagraph"/>
      </w:pPr>
      <w:r>
        <w:t xml:space="preserve">La societe est administree par un conseil d’administration d’un ou plusieurs administrateurs, nommes par l’assemblee generale. En cas de pluralite, ils constituent un college elisant un president.</w:t>
      </w:r>
    </w:p>
    <w:bookmarkEnd w:id="27"/>
    <w:bookmarkStart w:id="28" w:name="article-15-pouvoirs"/>
    <w:p>
      <w:pPr>
        <w:pStyle w:val="Heading3"/>
      </w:pPr>
      <w:r>
        <w:t xml:space="preserve">Article 15 — Pouvoirs</w:t>
      </w:r>
    </w:p>
    <w:p>
      <w:pPr>
        <w:pStyle w:val="FirstParagraph"/>
      </w:pPr>
      <w:r>
        <w:t xml:space="preserve">Le conseil dispose de tous les pouvoirs necessaires a la realisation de l’objet social, sauf ceux reserves par la loi ou les statuts a l’assemblee generale. La societe est engagee par les actes d’un administrateur agissant seul, meme au-dela de l’objet social, sauf connaissance du depassement par le tiers.</w:t>
      </w:r>
    </w:p>
    <w:bookmarkEnd w:id="28"/>
    <w:bookmarkStart w:id="29" w:name="article-16-gestion-journaliere"/>
    <w:p>
      <w:pPr>
        <w:pStyle w:val="Heading3"/>
      </w:pPr>
      <w:r>
        <w:t xml:space="preserve">Article 16 — Gestion journaliere</w:t>
      </w:r>
    </w:p>
    <w:p>
      <w:pPr>
        <w:pStyle w:val="FirstParagraph"/>
      </w:pPr>
      <w:r>
        <w:t xml:space="preserve">Le conseil peut deleguer la gestion journaliere a un ou plusieurs administrateurs ou mandataires.</w:t>
      </w:r>
    </w:p>
    <w:bookmarkEnd w:id="29"/>
    <w:bookmarkStart w:id="30" w:name="article-17-remuneration"/>
    <w:p>
      <w:pPr>
        <w:pStyle w:val="Heading3"/>
      </w:pPr>
      <w:r>
        <w:t xml:space="preserve">Article 17 — Remuneration</w:t>
      </w:r>
    </w:p>
    <w:p>
      <w:pPr>
        <w:pStyle w:val="FirstParagraph"/>
      </w:pPr>
      <w:r>
        <w:t xml:space="preserve">La remuneration des administrateurs est fixee par l’assemblee generale.</w:t>
      </w:r>
    </w:p>
    <w:bookmarkEnd w:id="30"/>
    <w:bookmarkStart w:id="31" w:name="article-18-conventions-reglementees"/>
    <w:p>
      <w:pPr>
        <w:pStyle w:val="Heading3"/>
      </w:pPr>
      <w:r>
        <w:t xml:space="preserve">Article 18 — Conventions reglementees</w:t>
      </w:r>
    </w:p>
    <w:p>
      <w:pPr>
        <w:pStyle w:val="FirstParagraph"/>
      </w:pPr>
      <w:r>
        <w:t xml:space="preserve">Toute convention entre la societe et un administrateur ayant un interet direct ou indirect est soumise a autorisation prealable du conseil, l’administrateur concerne ne prenant pas part au vote. Ces conventions sont portees a la connaissance de l’assemblee generale dans le rapport de gestion.</w:t>
      </w:r>
    </w:p>
    <w:p>
      <w:r>
        <w:pict>
          <v:rect style="width:0;height:1.5pt" o:hralign="center" o:hrstd="t" o:hr="t"/>
        </w:pict>
      </w:r>
    </w:p>
    <w:bookmarkEnd w:id="31"/>
    <w:bookmarkEnd w:id="32"/>
    <w:bookmarkStart w:id="34" w:name="titre-v-controle"/>
    <w:p>
      <w:pPr>
        <w:pStyle w:val="Heading2"/>
      </w:pPr>
      <w:r>
        <w:t xml:space="preserve">TITRE V — CONTROLE</w:t>
      </w:r>
    </w:p>
    <w:bookmarkStart w:id="33" w:name="article-19-reviseur-dentreprises"/>
    <w:p>
      <w:pPr>
        <w:pStyle w:val="Heading3"/>
      </w:pPr>
      <w:r>
        <w:t xml:space="preserve">Article 19 — Reviseur d’entreprises</w:t>
      </w:r>
    </w:p>
    <w:p>
      <w:pPr>
        <w:pStyle w:val="FirstParagraph"/>
      </w:pPr>
      <w:r>
        <w:t xml:space="preserve">La societe peut nommer un reviseur d’entreprises conformement au CSA. La nomination est obligatoire des lors que les seuils legaux sont depasses. Mandat de 3 ans renouvelable.</w:t>
      </w:r>
    </w:p>
    <w:p>
      <w:r>
        <w:pict>
          <v:rect style="width:0;height:1.5pt" o:hralign="center" o:hrstd="t" o:hr="t"/>
        </w:pict>
      </w:r>
    </w:p>
    <w:bookmarkEnd w:id="33"/>
    <w:bookmarkEnd w:id="34"/>
    <w:bookmarkStart w:id="38" w:name="titre-vi-assemblees-generales"/>
    <w:p>
      <w:pPr>
        <w:pStyle w:val="Heading2"/>
      </w:pPr>
      <w:r>
        <w:t xml:space="preserve">TITRE VI — ASSEMBLEES GENERALES</w:t>
      </w:r>
    </w:p>
    <w:bookmarkStart w:id="35" w:name="article-20-assemblee-generale-ordinaire"/>
    <w:p>
      <w:pPr>
        <w:pStyle w:val="Heading3"/>
      </w:pPr>
      <w:r>
        <w:t xml:space="preserve">Article 20 — Assemblee generale ordinaire</w:t>
      </w:r>
    </w:p>
    <w:p>
      <w:pPr>
        <w:pStyle w:val="FirstParagraph"/>
      </w:pPr>
      <w:r>
        <w:t xml:space="preserve">Reunion annuelle dans les</w:t>
      </w:r>
      <w:r>
        <w:t xml:space="preserve"> </w:t>
      </w:r>
      <w:r>
        <w:rPr>
          <w:b/>
          <w:bCs/>
        </w:rPr>
        <w:t xml:space="preserve">6 mois</w:t>
      </w:r>
      <w:r>
        <w:t xml:space="preserve"> </w:t>
      </w:r>
      <w:r>
        <w:t xml:space="preserve">suivant la cloture de l’exercice. Convocation</w:t>
      </w:r>
      <w:r>
        <w:t xml:space="preserve"> </w:t>
      </w:r>
      <w:r>
        <w:rPr>
          <w:b/>
          <w:bCs/>
        </w:rPr>
        <w:t xml:space="preserve">15 jours</w:t>
      </w:r>
      <w:r>
        <w:t xml:space="preserve"> </w:t>
      </w:r>
      <w:r>
        <w:t xml:space="preserve">avant. Chaque associe peut se faire representer. Decisions a la</w:t>
      </w:r>
      <w:r>
        <w:t xml:space="preserve"> </w:t>
      </w:r>
      <w:r>
        <w:rPr>
          <w:b/>
          <w:bCs/>
        </w:rPr>
        <w:t xml:space="preserve">majorite simple</w:t>
      </w:r>
      <w:r>
        <w:t xml:space="preserve">.</w:t>
      </w:r>
    </w:p>
    <w:bookmarkEnd w:id="35"/>
    <w:bookmarkStart w:id="36" w:name="X27e7aa0b86c8c3b609c14cc2b702b97fb74c47a"/>
    <w:p>
      <w:pPr>
        <w:pStyle w:val="Heading3"/>
      </w:pPr>
      <w:r>
        <w:t xml:space="preserve">Article 21 — Assemblee generale extraordinaire</w:t>
      </w:r>
    </w:p>
    <w:p>
      <w:pPr>
        <w:pStyle w:val="FirstParagraph"/>
      </w:pPr>
      <w:r>
        <w:t xml:space="preserve">Statue sur les modifications statuts, capital, dissolution. Quorum de presence :</w:t>
      </w:r>
      <w:r>
        <w:t xml:space="preserve"> </w:t>
      </w:r>
      <w:r>
        <w:rPr>
          <w:b/>
          <w:bCs/>
        </w:rPr>
        <w:t xml:space="preserve">50 %</w:t>
      </w:r>
      <w:r>
        <w:t xml:space="preserve"> </w:t>
      </w:r>
      <w:r>
        <w:t xml:space="preserve">du capital. Decisions a la</w:t>
      </w:r>
      <w:r>
        <w:t xml:space="preserve"> </w:t>
      </w:r>
      <w:r>
        <w:rPr>
          <w:b/>
          <w:bCs/>
        </w:rPr>
        <w:t xml:space="preserve">majorite des 3/4</w:t>
      </w:r>
      <w:r>
        <w:t xml:space="preserve">, sauf decisions enumerees au Pacte (unanimite).</w:t>
      </w:r>
    </w:p>
    <w:bookmarkEnd w:id="36"/>
    <w:bookmarkStart w:id="37" w:name="article-22-proces-verbaux"/>
    <w:p>
      <w:pPr>
        <w:pStyle w:val="Heading3"/>
      </w:pPr>
      <w:r>
        <w:t xml:space="preserve">Article 22 — Proces-verbaux</w:t>
      </w:r>
    </w:p>
    <w:p>
      <w:pPr>
        <w:pStyle w:val="FirstParagraph"/>
      </w:pPr>
      <w:r>
        <w:t xml:space="preserve">Signes par le president et un associe, conserves au siege social dans un registre des assemblees.</w:t>
      </w:r>
    </w:p>
    <w:p>
      <w:r>
        <w:pict>
          <v:rect style="width:0;height:1.5pt" o:hralign="center" o:hrstd="t" o:hr="t"/>
        </w:pict>
      </w:r>
    </w:p>
    <w:bookmarkEnd w:id="37"/>
    <w:bookmarkEnd w:id="38"/>
    <w:bookmarkStart w:id="42" w:name="titre-vii-exercice-comptes-affectation"/>
    <w:p>
      <w:pPr>
        <w:pStyle w:val="Heading2"/>
      </w:pPr>
      <w:r>
        <w:t xml:space="preserve">TITRE VII — EXERCICE, COMPTES, AFFECTATION</w:t>
      </w:r>
    </w:p>
    <w:bookmarkStart w:id="39" w:name="article-23-exercice-social"/>
    <w:p>
      <w:pPr>
        <w:pStyle w:val="Heading3"/>
      </w:pPr>
      <w:r>
        <w:t xml:space="preserve">Article 23 — Exercice social</w:t>
      </w:r>
    </w:p>
    <w:p>
      <w:pPr>
        <w:pStyle w:val="FirstParagraph"/>
      </w:pPr>
      <w:r>
        <w:t xml:space="preserve">Du 1er janvier au 31 decembre. Premier exercice : constitution au 31/12 de l’annee suivante.</w:t>
      </w:r>
    </w:p>
    <w:bookmarkEnd w:id="39"/>
    <w:bookmarkStart w:id="40" w:name="article-24-comptes-annuels"/>
    <w:p>
      <w:pPr>
        <w:pStyle w:val="Heading3"/>
      </w:pPr>
      <w:r>
        <w:t xml:space="preserve">Article 24 — Comptes annuels</w:t>
      </w:r>
    </w:p>
    <w:p>
      <w:pPr>
        <w:pStyle w:val="FirstParagraph"/>
      </w:pPr>
      <w:r>
        <w:t xml:space="preserve">Conseil d’administration etablit inventaire, comptes annuels et rapport de gestion conformement au CSA. Adresses aux associes avec la convocation.</w:t>
      </w:r>
    </w:p>
    <w:bookmarkEnd w:id="40"/>
    <w:bookmarkStart w:id="41" w:name="article-25-affectation-des-resultats"/>
    <w:p>
      <w:pPr>
        <w:pStyle w:val="Heading3"/>
      </w:pPr>
      <w:r>
        <w:t xml:space="preserve">Article 25 — Affectation des resultats</w:t>
      </w:r>
    </w:p>
    <w:p>
      <w:pPr>
        <w:pStyle w:val="FirstParagraph"/>
      </w:pPr>
      <w:r>
        <w:t xml:space="preserve">Prelevement :</w:t>
      </w:r>
      <w:r>
        <w:t xml:space="preserve"> </w:t>
      </w:r>
      <w:r>
        <w:rPr>
          <w:b/>
          <w:bCs/>
        </w:rPr>
        <w:t xml:space="preserve">5 %</w:t>
      </w:r>
      <w:r>
        <w:t xml:space="preserve"> </w:t>
      </w:r>
      <w:r>
        <w:t xml:space="preserve">du benefice net en reserve legale jusqu’a</w:t>
      </w:r>
      <w:r>
        <w:t xml:space="preserve"> </w:t>
      </w:r>
      <w:r>
        <w:rPr>
          <w:b/>
          <w:bCs/>
        </w:rPr>
        <w:t xml:space="preserve">10 %</w:t>
      </w:r>
      <w:r>
        <w:t xml:space="preserve"> </w:t>
      </w:r>
      <w:r>
        <w:t xml:space="preserve">du capital social. Le solde est affecte par l’assemblee sur proposition du conseil. Aucune distribution si l’actif net devient inferieur au capital augmente des reserves indisponibles.</w:t>
      </w:r>
    </w:p>
    <w:p>
      <w:r>
        <w:pict>
          <v:rect style="width:0;height:1.5pt" o:hralign="center" o:hrstd="t" o:hr="t"/>
        </w:pict>
      </w:r>
    </w:p>
    <w:bookmarkEnd w:id="41"/>
    <w:bookmarkEnd w:id="42"/>
    <w:bookmarkStart w:id="45" w:name="titre-viii-dissolution-et-liquidation"/>
    <w:p>
      <w:pPr>
        <w:pStyle w:val="Heading2"/>
      </w:pPr>
      <w:r>
        <w:t xml:space="preserve">TITRE VIII — DISSOLUTION ET LIQUIDATION</w:t>
      </w:r>
    </w:p>
    <w:bookmarkStart w:id="43" w:name="article-26-dissolution"/>
    <w:p>
      <w:pPr>
        <w:pStyle w:val="Heading3"/>
      </w:pPr>
      <w:r>
        <w:t xml:space="preserve">Article 26 — Dissolution</w:t>
      </w:r>
    </w:p>
    <w:p>
      <w:pPr>
        <w:pStyle w:val="FirstParagraph"/>
      </w:pPr>
      <w:r>
        <w:t xml:space="preserve">Prononcee par l’assemblee generale extraordinaire. Liquidateur(s) designe(s), pouvoirs et remuneration fixes.</w:t>
      </w:r>
    </w:p>
    <w:bookmarkEnd w:id="43"/>
    <w:bookmarkStart w:id="44" w:name="article-27-liquidation"/>
    <w:p>
      <w:pPr>
        <w:pStyle w:val="Heading3"/>
      </w:pPr>
      <w:r>
        <w:t xml:space="preserve">Article 27 — Liquidation</w:t>
      </w:r>
    </w:p>
    <w:p>
      <w:pPr>
        <w:pStyle w:val="FirstParagraph"/>
      </w:pPr>
      <w:r>
        <w:t xml:space="preserve">Apres apurement des dettes, l’actif net est reparti proportionnellement aux parts.</w:t>
      </w:r>
    </w:p>
    <w:p>
      <w:r>
        <w:pict>
          <v:rect style="width:0;height:1.5pt" o:hralign="center" o:hrstd="t" o:hr="t"/>
        </w:pict>
      </w:r>
    </w:p>
    <w:bookmarkEnd w:id="44"/>
    <w:bookmarkEnd w:id="45"/>
    <w:bookmarkStart w:id="47" w:name="titre-ix-contestations"/>
    <w:p>
      <w:pPr>
        <w:pStyle w:val="Heading2"/>
      </w:pPr>
      <w:r>
        <w:t xml:space="preserve">TITRE IX — CONTESTATIONS</w:t>
      </w:r>
    </w:p>
    <w:bookmarkStart w:id="46" w:name="article-28-reglement-des-contestations"/>
    <w:p>
      <w:pPr>
        <w:pStyle w:val="Heading3"/>
      </w:pPr>
      <w:r>
        <w:t xml:space="preserve">Article 28 — Reglement des contestations</w:t>
      </w:r>
    </w:p>
    <w:p>
      <w:pPr>
        <w:pStyle w:val="FirstParagraph"/>
      </w:pPr>
      <w:r>
        <w:t xml:space="preserve">Tout differend est soumis a la procedure de resolution du Pacte d’Actionnaires. A defaut, competence exclusive des tribunaux de l’entreprise belges.</w:t>
      </w:r>
    </w:p>
    <w:p>
      <w:r>
        <w:pict>
          <v:rect style="width:0;height:1.5pt" o:hralign="center" o:hrstd="t" o:hr="t"/>
        </w:pict>
      </w:r>
    </w:p>
    <w:bookmarkEnd w:id="46"/>
    <w:bookmarkEnd w:id="47"/>
    <w:bookmarkStart w:id="51" w:name="X718a962c21b41d94d5c0e1e72b33da028292336"/>
    <w:p>
      <w:pPr>
        <w:pStyle w:val="Heading2"/>
      </w:pPr>
      <w:r>
        <w:t xml:space="preserve">TITRE X — ENGAGEMENTS PREALABLES, IMMATRICULATION</w:t>
      </w:r>
    </w:p>
    <w:bookmarkStart w:id="48" w:name="article-29-engagements-prealables"/>
    <w:p>
      <w:pPr>
        <w:pStyle w:val="Heading3"/>
      </w:pPr>
      <w:r>
        <w:t xml:space="preserve">Article 29 — Engagements prealables</w:t>
      </w:r>
    </w:p>
    <w:p>
      <w:pPr>
        <w:pStyle w:val="FirstParagraph"/>
      </w:pPr>
      <w:r>
        <w:t xml:space="preserve">Les actes accomplis pour le compte de la societe en formation sont enumeres dans un etat annexe. L’immatriculation emportera reprise de plein droit de ces actes. Mandat est donne a [NOM] pour conclure les actes necessaires avant immatriculation.</w:t>
      </w:r>
    </w:p>
    <w:bookmarkEnd w:id="48"/>
    <w:bookmarkStart w:id="49" w:name="article-30-immatriculation-et-publicite"/>
    <w:p>
      <w:pPr>
        <w:pStyle w:val="Heading3"/>
      </w:pPr>
      <w:r>
        <w:t xml:space="preserve">Article 30 — Immatriculation et publicite</w:t>
      </w:r>
    </w:p>
    <w:p>
      <w:pPr>
        <w:pStyle w:val="FirstParagraph"/>
      </w:pPr>
      <w:r>
        <w:t xml:space="preserve">La personnalite morale n’est acquise qu’a l’immatriculation a la BCE. Les soussignes deposent les documents requis au greffe du Tribunal de l’Entreprise. Le conseil d’administration est charge des formalites de publicite au Moniteur belge.</w:t>
      </w:r>
    </w:p>
    <w:bookmarkEnd w:id="49"/>
    <w:bookmarkStart w:id="50" w:name="article-31-frais-de-constitution"/>
    <w:p>
      <w:pPr>
        <w:pStyle w:val="Heading3"/>
      </w:pPr>
      <w:r>
        <w:t xml:space="preserve">Article 31 — Frais de constitution</w:t>
      </w:r>
    </w:p>
    <w:p>
      <w:pPr>
        <w:pStyle w:val="FirstParagraph"/>
      </w:pPr>
      <w:r>
        <w:t xml:space="preserve">Les frais, droits et honoraires incombent a la societe et sont amortis sur 5 ans maximum.</w:t>
      </w:r>
    </w:p>
    <w:p>
      <w:r>
        <w:pict>
          <v:rect style="width:0;height:1.5pt" o:hralign="center" o:hrstd="t" o:hr="t"/>
        </w:pict>
      </w:r>
    </w:p>
    <w:bookmarkEnd w:id="50"/>
    <w:bookmarkEnd w:id="51"/>
    <w:bookmarkStart w:id="54" w:name="titre-xi-dispositions-finales"/>
    <w:p>
      <w:pPr>
        <w:pStyle w:val="Heading2"/>
      </w:pPr>
      <w:r>
        <w:t xml:space="preserve">TITRE XI — DISPOSITIONS FINALES</w:t>
      </w:r>
    </w:p>
    <w:bookmarkStart w:id="52" w:name="article-32-droit-applicable"/>
    <w:p>
      <w:pPr>
        <w:pStyle w:val="Heading3"/>
      </w:pPr>
      <w:r>
        <w:t xml:space="preserve">Article 32 — Droit applicable</w:t>
      </w:r>
    </w:p>
    <w:p>
      <w:pPr>
        <w:pStyle w:val="FirstParagraph"/>
      </w:pPr>
      <w:r>
        <w:t xml:space="preserve">Les statuts sont regis par le droit belge (CSA). En cas de contradiction avec le Pacte d’Actionnaires, celui-ci prevaut entre les associes.</w:t>
      </w:r>
    </w:p>
    <w:bookmarkEnd w:id="52"/>
    <w:bookmarkStart w:id="53" w:name="article-33-dispositions-transitoires"/>
    <w:p>
      <w:pPr>
        <w:pStyle w:val="Heading3"/>
      </w:pPr>
      <w:r>
        <w:t xml:space="preserve">Article 33 — Dispositions transitoires</w:t>
      </w:r>
    </w:p>
    <w:p>
      <w:pPr>
        <w:pStyle w:val="FirstParagraph"/>
      </w:pPr>
      <w:r>
        <w:t xml:space="preserve">Premiers administrateurs :</w:t>
      </w:r>
      <w:r>
        <w:t xml:space="preserve"> </w:t>
      </w:r>
      <w:r>
        <w:t xml:space="preserve">[1. NOM, Prenom, domicilie a…]</w:t>
      </w:r>
      <w:r>
        <w:t xml:space="preserve"> </w:t>
      </w:r>
      <w:r>
        <w:t xml:space="preserve">[2. NOM, Prenom, domicilie a…]</w:t>
      </w:r>
      <w:r>
        <w:t xml:space="preserve"> </w:t>
      </w:r>
      <w:r>
        <w:t xml:space="preserve">[3. NOM, Prenom, domicilie a…]</w:t>
      </w:r>
      <w:r>
        <w:t xml:space="preserve"> </w:t>
      </w:r>
      <w:r>
        <w:t xml:space="preserve">[4. NOM, Prenom, domicilie a…]</w:t>
      </w:r>
    </w:p>
    <w:p>
      <w:r>
        <w:pict>
          <v:rect style="width:0;height:1.5pt" o:hralign="center" o:hrstd="t" o:hr="t"/>
        </w:pict>
      </w:r>
    </w:p>
    <w:bookmarkEnd w:id="53"/>
    <w:bookmarkEnd w:id="54"/>
    <w:bookmarkStart w:id="55" w:name="signatures"/>
    <w:p>
      <w:pPr>
        <w:pStyle w:val="Heading2"/>
      </w:pPr>
      <w:r>
        <w:t xml:space="preserve">SIGNATURES</w:t>
      </w:r>
    </w:p>
    <w:p>
      <w:pPr>
        <w:pStyle w:val="FirstParagraph"/>
      </w:pPr>
      <w:r>
        <w:t xml:space="preserve">Fait en quatre exemplaires. Mention « Lu et approuve » precedant chaque signature.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Fondateur</w:t>
            </w:r>
          </w:p>
        </w:tc>
        <w:tc>
          <w:tcPr/>
          <w:p>
            <w:pPr>
              <w:pStyle w:val="Compact"/>
            </w:pPr>
            <w:r>
              <w:t xml:space="preserve">Signature</w:t>
            </w:r>
          </w:p>
        </w:tc>
      </w:tr>
      <w:tr>
        <w:tc>
          <w:tcPr/>
          <w:p>
            <w:pPr>
              <w:pStyle w:val="Compact"/>
            </w:pPr>
            <w:r>
              <w:t xml:space="preserve">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bl>
    <w:p>
      <w:r>
        <w:pict>
          <v:rect style="width:0;height:1.5pt" o:hralign="center" o:hrstd="t" o:hr="t"/>
        </w:pict>
      </w:r>
    </w:p>
    <w:bookmarkEnd w:id="55"/>
    <w:bookmarkStart w:id="56" w:name="annexes"/>
    <w:p>
      <w:pPr>
        <w:pStyle w:val="Heading2"/>
      </w:pPr>
      <w:r>
        <w:t xml:space="preserve">ANNEXES</w:t>
      </w:r>
    </w:p>
    <w:p>
      <w:pPr>
        <w:pStyle w:val="Compact"/>
        <w:numPr>
          <w:ilvl w:val="0"/>
          <w:numId w:val="1001"/>
        </w:numPr>
      </w:pPr>
      <w:r>
        <w:rPr>
          <w:b/>
          <w:bCs/>
        </w:rPr>
        <w:t xml:space="preserve">Annexe I :</w:t>
      </w:r>
      <w:r>
        <w:t xml:space="preserve"> </w:t>
      </w:r>
      <w:r>
        <w:t xml:space="preserve">Etat des engagements pris avant la signature des statuts —</w:t>
      </w:r>
      <w:r>
        <w:t xml:space="preserve"> </w:t>
      </w:r>
      <w:r>
        <w:rPr>
          <w:i/>
          <w:iCs/>
        </w:rPr>
        <w:t xml:space="preserve">a completer</w:t>
      </w:r>
    </w:p>
    <w:p>
      <w:pPr>
        <w:pStyle w:val="Compact"/>
        <w:numPr>
          <w:ilvl w:val="0"/>
          <w:numId w:val="1001"/>
        </w:numPr>
      </w:pPr>
      <w:r>
        <w:rPr>
          <w:b/>
          <w:bCs/>
        </w:rPr>
        <w:t xml:space="preserve">Annexe II :</w:t>
      </w:r>
      <w:r>
        <w:t xml:space="preserve"> </w:t>
      </w:r>
      <w:r>
        <w:t xml:space="preserve">Etat des engagements a prendre avant immatriculation —</w:t>
      </w:r>
      <w:r>
        <w:t xml:space="preserve"> </w:t>
      </w:r>
      <w:r>
        <w:rPr>
          <w:i/>
          <w:iCs/>
        </w:rPr>
        <w:t xml:space="preserve">a completer</w:t>
      </w:r>
    </w:p>
    <w:p>
      <w:r>
        <w:pict>
          <v:rect style="width:0;height:1.5pt" o:hralign="center" o:hrstd="t" o:hr="t"/>
        </w:pict>
      </w:r>
    </w:p>
    <w:p>
      <w:pPr>
        <w:pStyle w:val="BlockText"/>
      </w:pPr>
      <w:r>
        <w:rPr>
          <w:b/>
          <w:bCs/>
        </w:rPr>
        <w:t xml:space="preserve">Note [[Renard]] — Champs restants avant finalisation</w:t>
      </w:r>
      <w:r>
        <w:t xml:space="preserve"> </w:t>
      </w:r>
      <w:r>
        <w:t xml:space="preserve">- Art. 3 : Adresse complete du siege social</w:t>
      </w:r>
      <w:r>
        <w:t xml:space="preserve"> </w:t>
      </w:r>
      <w:r>
        <w:t xml:space="preserve">- Art. 7 : Banque de depot et certificat</w:t>
      </w:r>
      <w:r>
        <w:t xml:space="preserve"> </w:t>
      </w:r>
      <w:r>
        <w:t xml:space="preserve">- Art. 29 : Liste des actes accomplis en formation</w:t>
      </w:r>
      <w:r>
        <w:t xml:space="preserve"> </w:t>
      </w:r>
      <w:r>
        <w:t xml:space="preserve">- Art. 33 : Identite et adresses des premiers administrateurs</w:t>
      </w:r>
      <w:r>
        <w:t xml:space="preserve"> </w:t>
      </w:r>
      <w:r>
        <w:t xml:space="preserve">- Signatures : Lieu et date</w:t>
      </w:r>
      <w:r>
        <w:t xml:space="preserve"> </w:t>
      </w:r>
      <w:r>
        <w:t xml:space="preserve">- Annexes I et II a completer</w:t>
      </w:r>
      <w:r>
        <w:t xml:space="preserve"> </w:t>
      </w:r>
      <w:r>
        <w:t xml:space="preserve">- Depot au greffe du Tribunal de l’Entreprise + Moniteur belge</w:t>
      </w:r>
      <w:r>
        <w:t xml:space="preserve"> </w:t>
      </w:r>
      <w:r>
        <w:t xml:space="preserve">- Plan financier a etablir conformement au CSA</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2026-05-31T12:40:09Z</dcterms:created>
  <dcterms:modified xsi:type="dcterms:W3CDTF">2026-05-31T12:40:09Z</dcterms:modified>
</cp:coreProperties>
</file>

<file path=docProps/custom.xml><?xml version="1.0" encoding="utf-8"?>
<Properties xmlns="http://schemas.openxmlformats.org/officeDocument/2006/custom-properties" xmlns:vt="http://schemas.openxmlformats.org/officeDocument/2006/docPropsVTypes"/>
</file>