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6F68A" w14:textId="77777777" w:rsidR="0099062D" w:rsidRPr="00E132B7" w:rsidRDefault="00000000">
      <w:pPr>
        <w:pStyle w:val="Heading1"/>
        <w:rPr>
          <w:lang w:val="fr-BE"/>
        </w:rPr>
      </w:pPr>
      <w:bookmarkStart w:id="0" w:name="X16bf6624f812fbd736fb3241be1c6ea68a48736"/>
      <w:r w:rsidRPr="00E132B7">
        <w:rPr>
          <w:lang w:val="fr-BE"/>
        </w:rPr>
        <w:t>Réponse aux révisions — Contrat-cadre &amp; Statuts VETALYX</w:t>
      </w:r>
    </w:p>
    <w:p w14:paraId="5E5CDA5B" w14:textId="31998096" w:rsidR="0099062D" w:rsidRPr="00E132B7" w:rsidRDefault="00000000">
      <w:pPr>
        <w:pStyle w:val="BlockText"/>
        <w:rPr>
          <w:lang w:val="fr-BE"/>
        </w:rPr>
      </w:pPr>
      <w:r w:rsidRPr="00E132B7">
        <w:rPr>
          <w:b/>
          <w:bCs/>
          <w:lang w:val="fr-BE"/>
        </w:rPr>
        <w:t>Statut :</w:t>
      </w:r>
      <w:r w:rsidRPr="00E132B7">
        <w:rPr>
          <w:lang w:val="fr-BE"/>
        </w:rPr>
        <w:t xml:space="preserve"> BROUILLON v2 (nettoyé) — </w:t>
      </w:r>
      <w:r w:rsidR="00E132B7" w:rsidRPr="00E132B7">
        <w:rPr>
          <w:lang w:val="fr-BE"/>
        </w:rPr>
        <w:t>val</w:t>
      </w:r>
      <w:r w:rsidR="00E132B7">
        <w:rPr>
          <w:lang w:val="fr-BE"/>
        </w:rPr>
        <w:t>idé</w:t>
      </w:r>
      <w:r w:rsidRPr="00E132B7">
        <w:rPr>
          <w:lang w:val="fr-BE"/>
        </w:rPr>
        <w:t xml:space="preserve"> avec Alain Bosseloir. </w:t>
      </w:r>
      <w:r w:rsidRPr="00E132B7">
        <w:rPr>
          <w:b/>
          <w:bCs/>
          <w:lang w:val="fr-BE"/>
        </w:rPr>
        <w:t>Date :</w:t>
      </w:r>
      <w:r w:rsidRPr="00E132B7">
        <w:rPr>
          <w:lang w:val="fr-BE"/>
        </w:rPr>
        <w:t xml:space="preserve"> 2026-09-25 </w:t>
      </w:r>
      <w:r w:rsidRPr="00E132B7">
        <w:rPr>
          <w:b/>
          <w:bCs/>
          <w:lang w:val="fr-BE"/>
        </w:rPr>
        <w:t>Objet :</w:t>
      </w:r>
      <w:r w:rsidRPr="00E132B7">
        <w:rPr>
          <w:lang w:val="fr-BE"/>
        </w:rPr>
        <w:t xml:space="preserve"> Réponse point par point aux révisions du partenaire chinois (Diaho / Zheda Dixun). </w:t>
      </w:r>
    </w:p>
    <w:p w14:paraId="2B31C72D" w14:textId="77777777" w:rsidR="0099062D" w:rsidRDefault="00CD3835">
      <w:r>
        <w:rPr>
          <w:noProof/>
        </w:rPr>
      </w:r>
      <w:r>
        <w:pict w14:anchorId="0B113F0A">
          <v:rect id="Horizontal Line 1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B2D554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b/>
          <w:bCs/>
          <w:lang w:val="fr-BE"/>
        </w:rPr>
        <w:t>Objet : Réponse à vos révisions — Contrat-cadre et Statuts VETALYX</w:t>
      </w:r>
    </w:p>
    <w:p w14:paraId="7AAEB208" w14:textId="77777777" w:rsidR="0099062D" w:rsidRPr="00E132B7" w:rsidRDefault="00000000">
      <w:pPr>
        <w:pStyle w:val="BodyText"/>
        <w:rPr>
          <w:lang w:val="fr-BE"/>
        </w:rPr>
      </w:pPr>
      <w:r w:rsidRPr="00E132B7">
        <w:rPr>
          <w:lang w:val="fr-BE"/>
        </w:rPr>
        <w:t>Chers partenaires,</w:t>
      </w:r>
    </w:p>
    <w:p w14:paraId="1AF0D7CB" w14:textId="77777777" w:rsidR="0099062D" w:rsidRPr="00E132B7" w:rsidRDefault="00000000">
      <w:pPr>
        <w:pStyle w:val="BodyText"/>
        <w:rPr>
          <w:lang w:val="fr-BE"/>
        </w:rPr>
      </w:pPr>
      <w:r w:rsidRPr="00E132B7">
        <w:rPr>
          <w:lang w:val="fr-BE"/>
        </w:rPr>
        <w:t>Nous vous remercions pour le retour de vos révisions, que nous avons examinées avec la plus grande attention. Vous trouverez ci-dessous nos réactions, point par point, ainsi que quelques demandes de clarification. Les références d’articles ci-dessous renvoient à votre version révisée du contrat.</w:t>
      </w:r>
    </w:p>
    <w:p w14:paraId="24933607" w14:textId="77777777" w:rsidR="0099062D" w:rsidRPr="00E132B7" w:rsidRDefault="00000000">
      <w:pPr>
        <w:pStyle w:val="Heading3"/>
        <w:rPr>
          <w:lang w:val="fr-BE"/>
        </w:rPr>
      </w:pPr>
      <w:bookmarkStart w:id="1" w:name="Xfc81a66511e6d40e43b4fd077545b1a0962c3e2"/>
      <w:r w:rsidRPr="00E132B7">
        <w:rPr>
          <w:lang w:val="fr-BE"/>
        </w:rPr>
        <w:t>Préalable — Langue de travail et langue officielle</w:t>
      </w:r>
    </w:p>
    <w:p w14:paraId="3E8C759F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Pour la sécurité juridique de nos échanges, nous proposons que </w:t>
      </w:r>
      <w:r w:rsidRPr="00E132B7">
        <w:rPr>
          <w:b/>
          <w:bCs/>
          <w:lang w:val="fr-BE"/>
        </w:rPr>
        <w:t>l’anglais soit la langue officielle du contrat-cadre et de ses annexes</w:t>
      </w:r>
      <w:r w:rsidRPr="00E132B7">
        <w:rPr>
          <w:lang w:val="fr-BE"/>
        </w:rPr>
        <w:t xml:space="preserve">. Le français et le chinois, assistés par la traduction automatique, resteront des </w:t>
      </w:r>
      <w:r w:rsidRPr="00E132B7">
        <w:rPr>
          <w:b/>
          <w:bCs/>
          <w:lang w:val="fr-BE"/>
        </w:rPr>
        <w:t>outils de travail</w:t>
      </w:r>
      <w:r w:rsidRPr="00E132B7">
        <w:rPr>
          <w:lang w:val="fr-BE"/>
        </w:rPr>
        <w:t xml:space="preserve"> destinés à faciliter la compréhension de chacun.</w:t>
      </w:r>
    </w:p>
    <w:p w14:paraId="2D892EC1" w14:textId="77777777" w:rsidR="0099062D" w:rsidRPr="00E132B7" w:rsidRDefault="00000000">
      <w:pPr>
        <w:pStyle w:val="BodyText"/>
        <w:rPr>
          <w:lang w:val="fr-BE"/>
        </w:rPr>
      </w:pPr>
      <w:r w:rsidRPr="00E132B7">
        <w:rPr>
          <w:lang w:val="fr-BE"/>
        </w:rPr>
        <w:t xml:space="preserve">Pour les </w:t>
      </w:r>
      <w:r w:rsidRPr="00E132B7">
        <w:rPr>
          <w:b/>
          <w:bCs/>
          <w:lang w:val="fr-BE"/>
        </w:rPr>
        <w:t>statuts</w:t>
      </w:r>
      <w:r w:rsidRPr="00E132B7">
        <w:rPr>
          <w:lang w:val="fr-BE"/>
        </w:rPr>
        <w:t xml:space="preserve">, en revanche, la langue est imposée par le droit belge : ils seront rédigés et déposés au notaire </w:t>
      </w:r>
      <w:r w:rsidRPr="00E132B7">
        <w:rPr>
          <w:b/>
          <w:bCs/>
          <w:lang w:val="fr-BE"/>
        </w:rPr>
        <w:t>en français</w:t>
      </w:r>
      <w:r w:rsidRPr="00E132B7">
        <w:rPr>
          <w:lang w:val="fr-BE"/>
        </w:rPr>
        <w:t xml:space="preserve"> . L’anglais et le chinois n’y seront que des traductions de travail, sans valeur officielle.</w:t>
      </w:r>
    </w:p>
    <w:p w14:paraId="02D35B5D" w14:textId="77777777" w:rsidR="0099062D" w:rsidRDefault="00CD3835">
      <w:r>
        <w:rPr>
          <w:noProof/>
        </w:rPr>
      </w:r>
      <w:r>
        <w:pict w14:anchorId="01B58F73">
          <v:rect id="Horizontal Line 2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64A993" w14:textId="77777777" w:rsidR="0099062D" w:rsidRPr="00E132B7" w:rsidRDefault="00000000">
      <w:pPr>
        <w:pStyle w:val="Heading2"/>
        <w:rPr>
          <w:lang w:val="fr-BE"/>
        </w:rPr>
      </w:pPr>
      <w:bookmarkStart w:id="2" w:name="document-1-les-statuts"/>
      <w:bookmarkEnd w:id="1"/>
      <w:r w:rsidRPr="00E132B7">
        <w:rPr>
          <w:lang w:val="fr-BE"/>
        </w:rPr>
        <w:t>Document 1 — Les statuts</w:t>
      </w:r>
    </w:p>
    <w:p w14:paraId="0DCA1505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Nous constatons avec satisfaction que le texte fourni a suscité peu de remarques. Votre demande de modification relative à </w:t>
      </w:r>
      <w:r w:rsidRPr="00E132B7">
        <w:rPr>
          <w:b/>
          <w:bCs/>
          <w:lang w:val="fr-BE"/>
        </w:rPr>
        <w:t>l’autorisation des dépenses</w:t>
      </w:r>
      <w:r w:rsidRPr="00E132B7">
        <w:rPr>
          <w:lang w:val="fr-BE"/>
        </w:rPr>
        <w:t xml:space="preserve"> nous paraît fondée et nous l’acceptons.</w:t>
      </w:r>
    </w:p>
    <w:p w14:paraId="1C951629" w14:textId="77777777" w:rsidR="0099062D" w:rsidRDefault="00CD3835">
      <w:r>
        <w:rPr>
          <w:noProof/>
        </w:rPr>
      </w:r>
      <w:r>
        <w:pict w14:anchorId="1A697428">
          <v:rect id="Horizontal Line 3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7FF633" w14:textId="77777777" w:rsidR="0099062D" w:rsidRPr="00E132B7" w:rsidRDefault="00000000">
      <w:pPr>
        <w:pStyle w:val="Heading2"/>
        <w:rPr>
          <w:lang w:val="fr-BE"/>
        </w:rPr>
      </w:pPr>
      <w:bookmarkStart w:id="3" w:name="document-2-contrat-cadre-commercial"/>
      <w:bookmarkEnd w:id="2"/>
      <w:r w:rsidRPr="00E132B7">
        <w:rPr>
          <w:lang w:val="fr-BE"/>
        </w:rPr>
        <w:t>Document 2 — Contrat-cadre commercial</w:t>
      </w:r>
    </w:p>
    <w:p w14:paraId="2E14BD46" w14:textId="77777777" w:rsidR="0099062D" w:rsidRPr="00E132B7" w:rsidRDefault="00000000">
      <w:pPr>
        <w:pStyle w:val="Heading3"/>
        <w:rPr>
          <w:lang w:val="fr-BE"/>
        </w:rPr>
      </w:pPr>
      <w:bookmarkStart w:id="4" w:name="langue-de-référence-article-40"/>
      <w:r w:rsidRPr="00E132B7">
        <w:rPr>
          <w:lang w:val="fr-BE"/>
        </w:rPr>
        <w:t>1. Langue de référence (article 40)</w:t>
      </w:r>
    </w:p>
    <w:p w14:paraId="6CADE97D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La clause relative à la langue sera adaptée conformément au préalable ci-dessus : </w:t>
      </w:r>
      <w:r w:rsidRPr="00E132B7">
        <w:rPr>
          <w:b/>
          <w:bCs/>
          <w:lang w:val="fr-BE"/>
        </w:rPr>
        <w:t>l’anglais devient la langue officielle du contrat</w:t>
      </w:r>
      <w:r w:rsidRPr="00E132B7">
        <w:rPr>
          <w:lang w:val="fr-BE"/>
        </w:rPr>
        <w:t>, le français et le chinois servant de versions de travail. c’est une proposition destinée à éviter les sources d’incompréhension</w:t>
      </w:r>
    </w:p>
    <w:p w14:paraId="66E3500D" w14:textId="77777777" w:rsidR="0099062D" w:rsidRPr="00E132B7" w:rsidRDefault="00000000">
      <w:pPr>
        <w:pStyle w:val="Heading3"/>
        <w:rPr>
          <w:lang w:val="fr-BE"/>
        </w:rPr>
      </w:pPr>
      <w:bookmarkStart w:id="5" w:name="X41f179124f4b2480a951cea450922d60cc902b4"/>
      <w:bookmarkEnd w:id="4"/>
      <w:r w:rsidRPr="00E132B7">
        <w:rPr>
          <w:lang w:val="fr-BE"/>
        </w:rPr>
        <w:lastRenderedPageBreak/>
        <w:t>2. Droit applicable et règlement des litiges (article 38)</w:t>
      </w:r>
    </w:p>
    <w:p w14:paraId="3982F54A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La société étant constituée en Belgique, le </w:t>
      </w:r>
      <w:r w:rsidRPr="00E132B7">
        <w:rPr>
          <w:b/>
          <w:bCs/>
          <w:lang w:val="fr-BE"/>
        </w:rPr>
        <w:t>droit belge est applicable en première instance</w:t>
      </w:r>
      <w:r w:rsidRPr="00E132B7">
        <w:rPr>
          <w:lang w:val="fr-BE"/>
        </w:rPr>
        <w:t>. Un droit applicable à Singapour ou à Hong Kong, combiné à Bruxelles, serait ingérable dans la conduite de nos opérations et n’est pas souhaitable pour nous .</w:t>
      </w:r>
    </w:p>
    <w:p w14:paraId="7008E74E" w14:textId="77777777" w:rsidR="0099062D" w:rsidRPr="00E132B7" w:rsidRDefault="00000000">
      <w:pPr>
        <w:pStyle w:val="BodyText"/>
        <w:rPr>
          <w:lang w:val="fr-BE"/>
        </w:rPr>
      </w:pPr>
      <w:r w:rsidRPr="00E132B7">
        <w:rPr>
          <w:lang w:val="fr-BE"/>
        </w:rPr>
        <w:t xml:space="preserve">En revanche, pour les différends qui nécessiteraient une </w:t>
      </w:r>
      <w:r w:rsidRPr="00E132B7">
        <w:rPr>
          <w:b/>
          <w:bCs/>
          <w:lang w:val="fr-BE"/>
        </w:rPr>
        <w:t>médiation ou un arbitrage</w:t>
      </w:r>
      <w:r w:rsidRPr="00E132B7">
        <w:rPr>
          <w:lang w:val="fr-BE"/>
        </w:rPr>
        <w:t xml:space="preserve">, nous acceptons volontiers un </w:t>
      </w:r>
      <w:r w:rsidRPr="00E132B7">
        <w:rPr>
          <w:b/>
          <w:bCs/>
          <w:lang w:val="fr-BE"/>
        </w:rPr>
        <w:t>siège en Suisse</w:t>
      </w:r>
      <w:r w:rsidRPr="00E132B7">
        <w:rPr>
          <w:lang w:val="fr-BE"/>
        </w:rPr>
        <w:t xml:space="preserve"> (par exemple Genève).</w:t>
      </w:r>
    </w:p>
    <w:p w14:paraId="209E89DB" w14:textId="77777777" w:rsidR="0099062D" w:rsidRPr="00E132B7" w:rsidRDefault="00000000">
      <w:pPr>
        <w:pStyle w:val="Heading3"/>
        <w:rPr>
          <w:lang w:val="fr-BE"/>
        </w:rPr>
      </w:pPr>
      <w:bookmarkStart w:id="6" w:name="Xb84cb57378d7250c95080fdc813898b1aed3c52"/>
      <w:bookmarkEnd w:id="5"/>
      <w:r w:rsidRPr="00E132B7">
        <w:rPr>
          <w:lang w:val="fr-BE"/>
        </w:rPr>
        <w:t>3. Conditions de fourniture — stabilité des prix (article 14)</w:t>
      </w:r>
    </w:p>
    <w:p w14:paraId="7D1B6D66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Nous souhaitons garantir la stabilité des prix de notre partenariat dans la durée. Nous proposons de définir ensemble un </w:t>
      </w:r>
      <w:r w:rsidRPr="00E132B7">
        <w:rPr>
          <w:b/>
          <w:bCs/>
          <w:lang w:val="fr-BE"/>
        </w:rPr>
        <w:t>mécanisme d’encadrement de l’évolution des prix de transfert</w:t>
      </w:r>
      <w:r w:rsidRPr="00E132B7">
        <w:rPr>
          <w:lang w:val="fr-BE"/>
        </w:rPr>
        <w:t xml:space="preserve"> (période de revue, indexation, principe de pleine concurrence). Pourriez-vous nous indiquer comment vous envisagez d’éviter des </w:t>
      </w:r>
      <w:r w:rsidRPr="00E132B7">
        <w:rPr>
          <w:b/>
          <w:bCs/>
          <w:lang w:val="fr-BE"/>
        </w:rPr>
        <w:t>fluctuations de prix sans discussion préalable</w:t>
      </w:r>
      <w:r w:rsidRPr="00E132B7">
        <w:rPr>
          <w:lang w:val="fr-BE"/>
        </w:rPr>
        <w:t xml:space="preserve">, afin que nous identifiions une </w:t>
      </w:r>
      <w:r w:rsidRPr="00E132B7">
        <w:rPr>
          <w:b/>
          <w:bCs/>
          <w:lang w:val="fr-BE"/>
        </w:rPr>
        <w:t>piste commune</w:t>
      </w:r>
      <w:r w:rsidRPr="00E132B7">
        <w:rPr>
          <w:lang w:val="fr-BE"/>
        </w:rPr>
        <w:t xml:space="preserve"> ?</w:t>
      </w:r>
    </w:p>
    <w:p w14:paraId="2040CFE7" w14:textId="77777777" w:rsidR="0099062D" w:rsidRPr="00E132B7" w:rsidRDefault="00000000">
      <w:pPr>
        <w:pStyle w:val="Heading3"/>
        <w:rPr>
          <w:lang w:val="fr-BE"/>
        </w:rPr>
      </w:pPr>
      <w:bookmarkStart w:id="7" w:name="Xdc8a0d66aa54c52c244fe7ee92419183367b126"/>
      <w:bookmarkEnd w:id="6"/>
      <w:r w:rsidRPr="00E132B7">
        <w:rPr>
          <w:lang w:val="fr-BE"/>
        </w:rPr>
        <w:t>4. Définition des sociétés liées (articles 24 et 26, Annexe 10)</w:t>
      </w:r>
    </w:p>
    <w:p w14:paraId="71748F55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Les liens entre </w:t>
      </w:r>
      <w:r w:rsidRPr="00E132B7">
        <w:rPr>
          <w:b/>
          <w:bCs/>
          <w:lang w:val="fr-BE"/>
        </w:rPr>
        <w:t>Zheda Dixun</w:t>
      </w:r>
      <w:r w:rsidRPr="00E132B7">
        <w:rPr>
          <w:lang w:val="fr-BE"/>
        </w:rPr>
        <w:t xml:space="preserve"> et </w:t>
      </w:r>
      <w:r w:rsidRPr="00E132B7">
        <w:rPr>
          <w:b/>
          <w:bCs/>
          <w:lang w:val="fr-BE"/>
        </w:rPr>
        <w:t>Diaho</w:t>
      </w:r>
      <w:r w:rsidRPr="00E132B7">
        <w:rPr>
          <w:lang w:val="fr-BE"/>
        </w:rPr>
        <w:t xml:space="preserve">, clairement requis et énoncés dans le contrat, nous semblent judicieux. Nous souhaitons toutefois préciser ensemble la </w:t>
      </w:r>
      <w:r w:rsidRPr="00E132B7">
        <w:rPr>
          <w:b/>
          <w:bCs/>
          <w:lang w:val="fr-BE"/>
        </w:rPr>
        <w:t>définition des sociétés liées</w:t>
      </w:r>
      <w:r w:rsidRPr="00E132B7">
        <w:rPr>
          <w:lang w:val="fr-BE"/>
        </w:rPr>
        <w:t xml:space="preserve"> et leurs </w:t>
      </w:r>
      <w:r w:rsidRPr="00E132B7">
        <w:rPr>
          <w:b/>
          <w:bCs/>
          <w:lang w:val="fr-BE"/>
        </w:rPr>
        <w:t>garanties réciproques</w:t>
      </w:r>
      <w:r w:rsidRPr="00E132B7">
        <w:rPr>
          <w:lang w:val="fr-BE"/>
        </w:rPr>
        <w:t>, notamment au regard de l’annexe 10 (confidentialité renforcée et non-contournement).</w:t>
      </w:r>
    </w:p>
    <w:p w14:paraId="1FAB957C" w14:textId="77777777" w:rsidR="0099062D" w:rsidRPr="00E132B7" w:rsidRDefault="00000000">
      <w:pPr>
        <w:pStyle w:val="Heading3"/>
        <w:rPr>
          <w:lang w:val="fr-BE"/>
        </w:rPr>
      </w:pPr>
      <w:bookmarkStart w:id="8" w:name="Xc99bd07fcc75d93e415cb593256cef43f4761cf"/>
      <w:bookmarkEnd w:id="7"/>
      <w:r w:rsidRPr="00E132B7">
        <w:rPr>
          <w:lang w:val="fr-BE"/>
        </w:rPr>
        <w:t>5. Autorité de Vetalyx (en lien avec les articles 24 et 26)</w:t>
      </w:r>
    </w:p>
    <w:p w14:paraId="14927537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Par ailleurs, nous tenons à nous assurer que </w:t>
      </w:r>
      <w:r w:rsidRPr="00E132B7">
        <w:rPr>
          <w:b/>
          <w:bCs/>
          <w:lang w:val="fr-BE"/>
        </w:rPr>
        <w:t>Vetalyx conserve toute autorité</w:t>
      </w:r>
      <w:r w:rsidRPr="00E132B7">
        <w:rPr>
          <w:lang w:val="fr-BE"/>
        </w:rPr>
        <w:t xml:space="preserve"> pour conclure des </w:t>
      </w:r>
      <w:r w:rsidRPr="00E132B7">
        <w:rPr>
          <w:b/>
          <w:bCs/>
          <w:lang w:val="fr-BE"/>
        </w:rPr>
        <w:t>partenariats commerciaux stratégiques avec des sociétés non chinoises</w:t>
      </w:r>
      <w:r w:rsidRPr="00E132B7">
        <w:rPr>
          <w:lang w:val="fr-BE"/>
        </w:rPr>
        <w:t xml:space="preserve">, cette décision relevant, pour rappel, du </w:t>
      </w:r>
      <w:r w:rsidRPr="00E132B7">
        <w:rPr>
          <w:b/>
          <w:bCs/>
          <w:lang w:val="fr-BE"/>
        </w:rPr>
        <w:t>conseil d’administration</w:t>
      </w:r>
      <w:r w:rsidRPr="00E132B7">
        <w:rPr>
          <w:lang w:val="fr-BE"/>
        </w:rPr>
        <w:t>.</w:t>
      </w:r>
    </w:p>
    <w:p w14:paraId="51A7772D" w14:textId="77777777" w:rsidR="0099062D" w:rsidRPr="00E132B7" w:rsidRDefault="00000000">
      <w:pPr>
        <w:pStyle w:val="Heading3"/>
        <w:rPr>
          <w:lang w:val="fr-BE"/>
        </w:rPr>
      </w:pPr>
      <w:bookmarkStart w:id="9" w:name="signature-de-zheda-dixun"/>
      <w:bookmarkEnd w:id="8"/>
      <w:r w:rsidRPr="00E132B7">
        <w:rPr>
          <w:lang w:val="fr-BE"/>
        </w:rPr>
        <w:t>6. Signature de Zheda Dixun</w:t>
      </w:r>
    </w:p>
    <w:p w14:paraId="2093DC08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Zheda Dixun étant </w:t>
      </w:r>
      <w:r w:rsidRPr="00E132B7">
        <w:rPr>
          <w:b/>
          <w:bCs/>
          <w:lang w:val="fr-BE"/>
        </w:rPr>
        <w:t>nommément cité</w:t>
      </w:r>
      <w:r w:rsidRPr="00E132B7">
        <w:rPr>
          <w:lang w:val="fr-BE"/>
        </w:rPr>
        <w:t xml:space="preserve"> dans le contrat et </w:t>
      </w:r>
      <w:r w:rsidRPr="00E132B7">
        <w:rPr>
          <w:b/>
          <w:bCs/>
          <w:lang w:val="fr-BE"/>
        </w:rPr>
        <w:t>actionnaire de Diaho</w:t>
      </w:r>
      <w:r w:rsidRPr="00E132B7">
        <w:rPr>
          <w:lang w:val="fr-BE"/>
        </w:rPr>
        <w:t xml:space="preserve">, ne serait-il pas judicieux que Dixun signe également le contrat, </w:t>
      </w:r>
      <w:r w:rsidRPr="00E132B7">
        <w:rPr>
          <w:b/>
          <w:bCs/>
          <w:lang w:val="fr-BE"/>
        </w:rPr>
        <w:t>pour prise de connaissance</w:t>
      </w:r>
      <w:r w:rsidRPr="00E132B7">
        <w:rPr>
          <w:lang w:val="fr-BE"/>
        </w:rPr>
        <w:t xml:space="preserve"> ? Cette adaptation clarifierait vis-à-vis des tiers le </w:t>
      </w:r>
      <w:r w:rsidRPr="00E132B7">
        <w:rPr>
          <w:b/>
          <w:bCs/>
          <w:lang w:val="fr-BE"/>
        </w:rPr>
        <w:t>rôle respectif de Diaho et de Dixun</w:t>
      </w:r>
      <w:r w:rsidRPr="00E132B7">
        <w:rPr>
          <w:lang w:val="fr-BE"/>
        </w:rPr>
        <w:t xml:space="preserve">, ainsi que leurs </w:t>
      </w:r>
      <w:r w:rsidRPr="00E132B7">
        <w:rPr>
          <w:b/>
          <w:bCs/>
          <w:lang w:val="fr-BE"/>
        </w:rPr>
        <w:t>garanties réciproques</w:t>
      </w:r>
      <w:r w:rsidRPr="00E132B7">
        <w:rPr>
          <w:lang w:val="fr-BE"/>
        </w:rPr>
        <w:t>.</w:t>
      </w:r>
    </w:p>
    <w:p w14:paraId="636CDAD9" w14:textId="77777777" w:rsidR="0099062D" w:rsidRPr="00E132B7" w:rsidRDefault="00000000">
      <w:pPr>
        <w:pStyle w:val="Heading3"/>
        <w:rPr>
          <w:lang w:val="fr-BE"/>
        </w:rPr>
      </w:pPr>
      <w:bookmarkStart w:id="10" w:name="nom-chinois-de-votre-société"/>
      <w:bookmarkEnd w:id="9"/>
      <w:r w:rsidRPr="00E132B7">
        <w:rPr>
          <w:lang w:val="fr-BE"/>
        </w:rPr>
        <w:t>7. Nom chinois de votre société</w:t>
      </w:r>
    </w:p>
    <w:p w14:paraId="62149CA8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 xml:space="preserve">Nous avons relevé l’emploi de « </w:t>
      </w:r>
      <w:r>
        <w:rPr>
          <w:rFonts w:hint="eastAsia"/>
          <w:b/>
          <w:bCs/>
        </w:rPr>
        <w:t>迪鸿</w:t>
      </w:r>
      <w:r w:rsidRPr="00E132B7">
        <w:rPr>
          <w:lang w:val="fr-BE"/>
        </w:rPr>
        <w:t xml:space="preserve"> » à un endroit et de « </w:t>
      </w:r>
      <w:r>
        <w:rPr>
          <w:rFonts w:hint="eastAsia"/>
          <w:b/>
          <w:bCs/>
        </w:rPr>
        <w:t>迪亚霍</w:t>
      </w:r>
      <w:r w:rsidRPr="00E132B7">
        <w:rPr>
          <w:lang w:val="fr-BE"/>
        </w:rPr>
        <w:t xml:space="preserve"> » ailleurs. Pourriez-vous nous confirmer le </w:t>
      </w:r>
      <w:r w:rsidRPr="00E132B7">
        <w:rPr>
          <w:b/>
          <w:bCs/>
          <w:lang w:val="fr-BE"/>
        </w:rPr>
        <w:t>nom chinois officiel</w:t>
      </w:r>
      <w:r w:rsidRPr="00E132B7">
        <w:rPr>
          <w:lang w:val="fr-BE"/>
        </w:rPr>
        <w:t xml:space="preserve"> de votre société ?</w:t>
      </w:r>
    </w:p>
    <w:p w14:paraId="4BCAD377" w14:textId="77777777" w:rsidR="0099062D" w:rsidRDefault="00CD3835">
      <w:r>
        <w:rPr>
          <w:noProof/>
        </w:rPr>
      </w:r>
      <w:r>
        <w:pict w14:anchorId="64A8F3B4">
          <v:rect id="Horizontal Line 4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1F4E6D" w14:textId="77777777" w:rsidR="0099062D" w:rsidRPr="00E132B7" w:rsidRDefault="00000000">
      <w:pPr>
        <w:pStyle w:val="FirstParagraph"/>
        <w:rPr>
          <w:lang w:val="fr-BE"/>
        </w:rPr>
      </w:pPr>
      <w:r w:rsidRPr="00E132B7">
        <w:rPr>
          <w:lang w:val="fr-BE"/>
        </w:rPr>
        <w:t>En dehors de ces points, les autres remarques et modifications reçues ne posent pas de question et ne sont pas bloquantes ; nous proposons de les préciser lors de la prochaine phase de discussion.</w:t>
      </w:r>
    </w:p>
    <w:p w14:paraId="2F108F67" w14:textId="77777777" w:rsidR="0099062D" w:rsidRPr="00E132B7" w:rsidRDefault="00000000">
      <w:pPr>
        <w:pStyle w:val="BodyText"/>
        <w:rPr>
          <w:lang w:val="fr-BE"/>
        </w:rPr>
      </w:pPr>
      <w:r w:rsidRPr="00E132B7">
        <w:rPr>
          <w:lang w:val="fr-BE"/>
        </w:rPr>
        <w:lastRenderedPageBreak/>
        <w:t>Nous vous remercions pour vos précisions et restons à votre disposition.</w:t>
      </w:r>
    </w:p>
    <w:p w14:paraId="295A3A29" w14:textId="77777777" w:rsidR="0099062D" w:rsidRPr="00E132B7" w:rsidRDefault="00000000">
      <w:pPr>
        <w:pStyle w:val="BodyText"/>
        <w:rPr>
          <w:lang w:val="fr-BE"/>
        </w:rPr>
      </w:pPr>
      <w:r w:rsidRPr="00E132B7">
        <w:rPr>
          <w:lang w:val="fr-BE"/>
        </w:rPr>
        <w:t>Bien cordialement,</w:t>
      </w:r>
    </w:p>
    <w:p w14:paraId="05760546" w14:textId="77777777" w:rsidR="0099062D" w:rsidRPr="00E132B7" w:rsidRDefault="00000000">
      <w:pPr>
        <w:pStyle w:val="BodyText"/>
        <w:rPr>
          <w:lang w:val="fr-BE"/>
        </w:rPr>
      </w:pPr>
      <w:r w:rsidRPr="00E132B7">
        <w:rPr>
          <w:lang w:val="fr-BE"/>
        </w:rPr>
        <w:t>Alain Bosseloir, Jean-Claude Havaux, Jacques Noury, Peiwen Qi</w:t>
      </w:r>
      <w:bookmarkEnd w:id="0"/>
      <w:bookmarkEnd w:id="3"/>
      <w:bookmarkEnd w:id="10"/>
    </w:p>
    <w:sectPr w:rsidR="0099062D" w:rsidRPr="00E132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942DE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68269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062D"/>
    <w:rsid w:val="0099062D"/>
    <w:rsid w:val="00A275F0"/>
    <w:rsid w:val="00CD3835"/>
    <w:rsid w:val="00E1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37D42B51"/>
  <w15:docId w15:val="{4E3D7310-1BDF-3A48-AC0C-1CA694BC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653</Words>
  <Characters>3621</Characters>
  <Application>Microsoft Office Word</Application>
  <DocSecurity>0</DocSecurity>
  <Lines>69</Lines>
  <Paragraphs>35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Jean Claude havaux</cp:lastModifiedBy>
  <cp:revision>2</cp:revision>
  <dcterms:created xsi:type="dcterms:W3CDTF">2026-09-27T20:48:00Z</dcterms:created>
  <dcterms:modified xsi:type="dcterms:W3CDTF">2026-09-27T20:49:00Z</dcterms:modified>
</cp:coreProperties>
</file>