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18b2bfb86e5cf01daaa94eb9927315f9895b96"/>
    <w:p>
      <w:pPr>
        <w:pStyle w:val="Heading1"/>
      </w:pPr>
      <w:r>
        <w:t xml:space="preserve">Note — Influence de l’ISC sur l’adaptation des statuts VETALYX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2026-10-05 |</w:t>
      </w:r>
      <w:r>
        <w:t xml:space="preserve"> </w:t>
      </w:r>
      <w:r>
        <w:rPr>
          <w:b/>
          <w:bCs/>
        </w:rPr>
        <w:t xml:space="preserve">Orchestré par :</w:t>
      </w:r>
      <w:r>
        <w:t xml:space="preserve"> </w:t>
      </w:r>
      <w:r>
        <w:t xml:space="preserve">Dobby 🦉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traçabilité des adaptations apportées aux statuts pour minimiser l’exposition au filtrage belge des investissements étrangers (ISC).</w:t>
      </w:r>
    </w:p>
    <w:p>
      <w:r>
        <w:pict>
          <v:rect style="width:0;height:1.5pt" o:hralign="center" o:hrstd="t" o:hr="t"/>
        </w:pict>
      </w:r>
    </w:p>
    <w:bookmarkStart w:id="9" w:name="rappel-le-mécanisme-isc"/>
    <w:p>
      <w:pPr>
        <w:pStyle w:val="Heading2"/>
      </w:pPr>
      <w:r>
        <w:t xml:space="preserve">1. Rappel — le mécanisme ISC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ISC</w:t>
      </w:r>
      <w:r>
        <w:t xml:space="preserve"> </w:t>
      </w:r>
      <w:r>
        <w:t xml:space="preserve">(comité de filtrage interfédéral des investissements étrangers directs, instauré par l’accord de coopération du 30 novembre 2022) examine les prises de participation d’investisseurs étrangers dans les</w:t>
      </w:r>
      <w:r>
        <w:t xml:space="preserve"> </w:t>
      </w:r>
      <w:r>
        <w:rPr>
          <w:b/>
          <w:bCs/>
        </w:rPr>
        <w:t xml:space="preserve">secteurs sensibles</w:t>
      </w:r>
      <w:r>
        <w:t xml:space="preserve"> </w:t>
      </w:r>
      <w:r>
        <w:t xml:space="preserve">: santé, biotechnologies, pharmacie, infrastructures critiques, médias, etc.</w:t>
      </w:r>
    </w:p>
    <w:p>
      <w:pPr>
        <w:pStyle w:val="BodyText"/>
      </w:pPr>
      <w:r>
        <w:t xml:space="preserve">L’entrée de</w:t>
      </w:r>
      <w:r>
        <w:t xml:space="preserve"> </w:t>
      </w:r>
      <w:r>
        <w:rPr>
          <w:b/>
          <w:bCs/>
        </w:rPr>
        <w:t xml:space="preserve">DIAHO (Chine) à 40 %</w:t>
      </w:r>
      <w:r>
        <w:t xml:space="preserve"> </w:t>
      </w:r>
      <w:r>
        <w:t xml:space="preserve">dans VETALYX (diagnostic vétérinaire — un domaine proche de la santé/biotech) est potentiellement visée par ce mécanisme.</w:t>
      </w:r>
    </w:p>
    <w:bookmarkEnd w:id="9"/>
    <w:bookmarkStart w:id="10" w:name="le-déclencheur-de-risque"/>
    <w:p>
      <w:pPr>
        <w:pStyle w:val="Heading2"/>
      </w:pPr>
      <w:r>
        <w:t xml:space="preserve">2. Le déclencheur de risque</w:t>
      </w:r>
    </w:p>
    <w:p>
      <w:pPr>
        <w:pStyle w:val="FirstParagraph"/>
      </w:pPr>
      <w:r>
        <w:t xml:space="preserve">Le risque ISC est</w:t>
      </w:r>
      <w:r>
        <w:t xml:space="preserve"> </w:t>
      </w:r>
      <w:r>
        <w:rPr>
          <w:b/>
          <w:bCs/>
        </w:rPr>
        <w:t xml:space="preserve">faible en soi</w:t>
      </w:r>
      <w:r>
        <w:t xml:space="preserve"> </w:t>
      </w:r>
      <w:r>
        <w:t xml:space="preserve">(société à 10 000 € de capital, activité non critique),</w:t>
      </w:r>
      <w:r>
        <w:t xml:space="preserve"> </w:t>
      </w:r>
      <w:r>
        <w:rPr>
          <w:b/>
          <w:bCs/>
        </w:rPr>
        <w:t xml:space="preserve">mais il augmente</w:t>
      </w:r>
      <w:r>
        <w:t xml:space="preserve"> </w:t>
      </w:r>
      <w:r>
        <w:t xml:space="preserve">si DIAHO obtient des</w:t>
      </w:r>
      <w:r>
        <w:t xml:space="preserve"> </w:t>
      </w:r>
      <w:r>
        <w:rPr>
          <w:b/>
          <w:bCs/>
        </w:rPr>
        <w:t xml:space="preserve">droits spéciaux inscrits directement dans les statuts</w:t>
      </w:r>
      <w:r>
        <w:t xml:space="preserve"> </w:t>
      </w:r>
      <w:r>
        <w:t xml:space="preserve">(droit de veto, siège réservé au conseil) — car « 40 % + droits spéciaux = influence significative plus claire », ce qui rend le filtrage plus susceptible de s’appliquer.</w:t>
      </w:r>
    </w:p>
    <w:bookmarkEnd w:id="10"/>
    <w:bookmarkStart w:id="11" w:name="X8ade9f2fc80a3c46b708916ba2558f39e75c603"/>
    <w:p>
      <w:pPr>
        <w:pStyle w:val="Heading2"/>
      </w:pPr>
      <w:r>
        <w:t xml:space="preserve">3. Adaptations apportées aux statuts (et leur raison)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Adaptation</w:t>
            </w:r>
          </w:p>
        </w:tc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t xml:space="preserve">Raison liée à l’ISC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Véto DIAHO</w:t>
            </w:r>
            <w:r>
              <w:t xml:space="preserve"> </w:t>
            </w:r>
            <w:r>
              <w:rPr>
                <w:b/>
                <w:bCs/>
              </w:rPr>
              <w:t xml:space="preserve">retiré des statuts</w:t>
            </w:r>
            <w:r>
              <w:t xml:space="preserve">, conservé au Pacte</w:t>
            </w:r>
          </w:p>
        </w:tc>
        <w:tc>
          <w:tcPr/>
          <w:p>
            <w:pPr>
              <w:pStyle w:val="Compact"/>
            </w:pPr>
            <w:r>
              <w:t xml:space="preserve">(ex-Art. 21)</w:t>
            </w:r>
          </w:p>
        </w:tc>
        <w:tc>
          <w:tcPr/>
          <w:p>
            <w:pPr>
              <w:pStyle w:val="Compact"/>
            </w:pPr>
            <w:r>
              <w:t xml:space="preserve">Ne pas révéler de droits spéciaux dans le document publié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à majorité</w:t>
            </w:r>
            <w:r>
              <w:t xml:space="preserve"> </w:t>
            </w:r>
            <w:r>
              <w:rPr>
                <w:b/>
                <w:bCs/>
              </w:rPr>
              <w:t xml:space="preserve">3/4 standard</w:t>
            </w:r>
            <w:r>
              <w:t xml:space="preserve"> </w:t>
            </w:r>
            <w:r>
              <w:t xml:space="preserve">(sans renvoi au Pacte)</w:t>
            </w:r>
          </w:p>
        </w:tc>
        <w:tc>
          <w:tcPr/>
          <w:p>
            <w:pPr>
              <w:pStyle w:val="Compact"/>
            </w:pPr>
            <w:r>
              <w:t xml:space="preserve">Art. 21</w:t>
            </w:r>
          </w:p>
        </w:tc>
        <w:tc>
          <w:tcPr/>
          <w:p>
            <w:pPr>
              <w:pStyle w:val="Compact"/>
            </w:pPr>
            <w:r>
              <w:t xml:space="preserve">Supprimer l’ancrage statutaire du véto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Aucune mention de</w:t>
            </w:r>
            <w:r>
              <w:t xml:space="preserve"> </w:t>
            </w:r>
            <w:r>
              <w:rPr>
                <w:b/>
                <w:bCs/>
              </w:rPr>
              <w:t xml:space="preserve">siège réservé DIAHO</w:t>
            </w:r>
            <w:r>
              <w:t xml:space="preserve"> </w:t>
            </w:r>
            <w:r>
              <w:t xml:space="preserve">au conseil</w:t>
            </w:r>
          </w:p>
        </w:tc>
        <w:tc>
          <w:tcPr/>
          <w:p>
            <w:pPr>
              <w:pStyle w:val="Compact"/>
            </w:pPr>
            <w:r>
              <w:t xml:space="preserve">Art. 14, 33</w:t>
            </w:r>
          </w:p>
        </w:tc>
        <w:tc>
          <w:tcPr/>
          <w:p>
            <w:pPr>
              <w:pStyle w:val="Compact"/>
            </w:pPr>
            <w:r>
              <w:t xml:space="preserve">Le conseil reste standard (administrateurs nommés par l’AG)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Aucune majorité « incluant le vote de DIAHO 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 de droits spéciaux visibles dans les statuts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Dépenses en</w:t>
            </w:r>
            <w:r>
              <w:t xml:space="preserve"> </w:t>
            </w:r>
            <w:r>
              <w:rPr>
                <w:b/>
                <w:bCs/>
              </w:rPr>
              <w:t xml:space="preserve">2 étages</w:t>
            </w:r>
            <w:r>
              <w:t xml:space="preserve"> </w:t>
            </w:r>
            <w:r>
              <w:t xml:space="preserve">(10 000 € / 2 admins, 30 000 € / conseil)</w:t>
            </w:r>
          </w:p>
        </w:tc>
        <w:tc>
          <w:tcPr/>
          <w:p>
            <w:pPr>
              <w:pStyle w:val="Compact"/>
            </w:pPr>
            <w:r>
              <w:t xml:space="preserve">Art. 15</w:t>
            </w:r>
          </w:p>
        </w:tc>
        <w:tc>
          <w:tcPr/>
          <w:p>
            <w:pPr>
              <w:pStyle w:val="Compact"/>
            </w:pPr>
            <w:r>
              <w:t xml:space="preserve">Règle de gestion standard, neutre pour l’ISC</w:t>
            </w:r>
          </w:p>
        </w:tc>
      </w:tr>
    </w:tbl>
    <w:bookmarkEnd w:id="11"/>
    <w:bookmarkStart w:id="12" w:name="conséquence-assumée"/>
    <w:p>
      <w:pPr>
        <w:pStyle w:val="Heading2"/>
      </w:pPr>
      <w:r>
        <w:t xml:space="preserve">4. Conséquence assumée</w:t>
      </w:r>
    </w:p>
    <w:p>
      <w:pPr>
        <w:pStyle w:val="FirstParagraph"/>
      </w:pPr>
      <w:r>
        <w:t xml:space="preserve">Le véto DIAHO n’étant plus dans les statuts, il devient</w:t>
      </w:r>
      <w:r>
        <w:t xml:space="preserve"> </w:t>
      </w:r>
      <w:r>
        <w:rPr>
          <w:b/>
          <w:bCs/>
        </w:rPr>
        <w:t xml:space="preserve">inopposable aux tiers</w:t>
      </w:r>
      <w:r>
        <w:t xml:space="preserve"> </w:t>
      </w:r>
      <w:r>
        <w:t xml:space="preserve">(il ne lie que les associés, via le Pacte d’actionnaires). C’est le compromis assumé :</w:t>
      </w:r>
      <w:r>
        <w:t xml:space="preserve"> </w:t>
      </w:r>
      <w:r>
        <w:rPr>
          <w:b/>
          <w:bCs/>
        </w:rPr>
        <w:t xml:space="preserve">discrétion ISC &gt; opposabilité du véto</w:t>
      </w:r>
      <w:r>
        <w:t xml:space="preserve">. À documenter avec le notaire, avec notification volontaire possible en cas de doute (délais : phase 1 = 30 j, phase 2 = +28 j).</w:t>
      </w:r>
    </w:p>
    <w:bookmarkEnd w:id="12"/>
    <w:bookmarkStart w:id="13" w:name="documents-concernés"/>
    <w:p>
      <w:pPr>
        <w:pStyle w:val="Heading2"/>
      </w:pPr>
      <w:r>
        <w:t xml:space="preserve">5. Documents concernés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Statuts FR v2 (ISC-clean)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legal/statuts-srl-vetalyx-FR-v2.md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Pacte v2 (véto DIAHO)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legal/pacte-actionnaires-vetalyx-v2.md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explicative DIAHO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legal/2026-10-05_note-explicative-ISC-DIAHO-FR.md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 interne de traçabilité — Dobby 🦉, 2026-10-05. Ne fait pas partie des documents signés.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2026-10-05T18:20:38Z</dcterms:created>
  <dcterms:modified xsi:type="dcterms:W3CDTF">2026-10-05T18:20:38Z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