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17 avr. 2026, 10_23_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color w:val="C17F3A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/>
    <w:p>
      <w:r>
        <w:rPr>
          <w:b/>
          <w:color w:val="0D0B09"/>
          <w:sz w:val="52"/>
        </w:rPr>
        <w:t>MEDFLUID NAST</w:t>
      </w:r>
    </w:p>
    <w:p>
      <w:pPr>
        <w:spacing w:after="40"/>
      </w:pPr>
      <w:r>
        <w:rPr>
          <w:color w:val="C17F3A"/>
          <w:sz w:val="24"/>
        </w:rPr>
        <w:t>Test de susceptibilité antibiotique vétérinaire in-house</w:t>
      </w:r>
    </w:p>
    <w:p>
      <w:r>
        <w:rPr>
          <w:color w:val="888888"/>
          <w:sz w:val="18"/>
        </w:rPr>
        <w:t>Analyse fournisseur potentiel — Juin 2026 — Document confidentiel</w:t>
      </w:r>
    </w:p>
    <w:p>
      <w:pPr>
        <w:spacing w:after="160"/>
      </w:pPr>
      <w:r>
        <w:rPr>
          <w:color w:val="C17F3A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280"/>
      </w:pPr>
      <w:r>
        <w:rPr>
          <w:color w:val="0D0B09"/>
          <w:sz w:val="20"/>
        </w:rPr>
        <w:t>MedFluid (Taïwan, 2019) a développé NAST, le premier test de susceptibilité antibiotique (AST) vétérinaire in-house au monde — un résultat en 6-32h contre 7 jours pour le laboratoire central. La technologie microfluidique brevetée (11 brevets) couvre 15 antibiotiques avec 96% de sensibilité et 97% de spécificité.</w:t>
      </w:r>
    </w:p>
    <w:p/>
    <w:p>
      <w:pPr>
        <w:pBdr>
          <w:bottom w:val="single" w:sz="6" w:space="4" w:color="C17F3A"/>
        </w:pBdr>
        <w:spacing w:after="160"/>
      </w:pPr>
      <w:r>
        <w:rPr>
          <w:b/>
          <w:color w:val="C17F3A"/>
          <w:sz w:val="22"/>
        </w:rPr>
        <w:t>CHIFFRES CLÉS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236"/>
            <w:shd w:fill="F8F5F0" w:val="clear"/>
          </w:tcPr>
          <w:p>
            <w:pPr>
              <w:spacing w:before="40" w:after="40"/>
            </w:pPr>
            <w:r>
              <w:rPr>
                <w:b/>
                <w:color w:val="0D0B09"/>
                <w:sz w:val="18"/>
              </w:rPr>
              <w:t>3 000+ kits vendus / 100+ analyseurs déployés</w:t>
            </w:r>
          </w:p>
        </w:tc>
        <w:tc>
          <w:tcPr>
            <w:tcW w:type="dxa" w:w="3969"/>
            <w:shd w:fill="F8F5F0" w:val="clear"/>
          </w:tcPr>
          <w:p>
            <w:pPr>
              <w:spacing w:before="40" w:after="40"/>
            </w:pPr>
            <w:r>
              <w:rPr>
                <w:color w:val="555555"/>
                <w:sz w:val="17"/>
              </w:rPr>
              <w:t>Depuis Q1 2025 — cliniques vétérinaires</w:t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>
              <w:rPr>
                <w:b/>
                <w:color w:val="0D0B09"/>
                <w:sz w:val="18"/>
              </w:rPr>
              <w:t>7 distributeurs exclusifs signés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color w:val="555555"/>
                <w:sz w:val="17"/>
              </w:rPr>
              <w:t>Corée, Allemagne, Turquie, Malaysia, Philippines, Indonésie, Thaïlande</w:t>
            </w:r>
          </w:p>
        </w:tc>
      </w:tr>
      <w:tr>
        <w:tc>
          <w:tcPr>
            <w:tcW w:type="dxa" w:w="6236"/>
            <w:shd w:fill="F8F5F0" w:val="clear"/>
          </w:tcPr>
          <w:p>
            <w:pPr>
              <w:spacing w:before="40" w:after="40"/>
            </w:pPr>
            <w:r>
              <w:rPr>
                <w:b/>
                <w:color w:val="0D0B09"/>
                <w:sz w:val="18"/>
              </w:rPr>
              <w:t>7 pays en commandes</w:t>
            </w:r>
          </w:p>
        </w:tc>
        <w:tc>
          <w:tcPr>
            <w:tcW w:type="dxa" w:w="3969"/>
            <w:shd w:fill="F8F5F0" w:val="clear"/>
          </w:tcPr>
          <w:p>
            <w:pPr>
              <w:spacing w:before="40" w:after="40"/>
            </w:pPr>
            <w:r>
              <w:rPr>
                <w:color w:val="555555"/>
                <w:sz w:val="17"/>
              </w:rPr>
              <w:t>Italie, Espagne, Bulgarie, Roumanie, Pologne, Uruguay, Arabie Saoudite</w:t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>
              <w:rPr>
                <w:b/>
                <w:color w:val="0D0B09"/>
                <w:sz w:val="18"/>
              </w:rPr>
              <w:t>6-8 employés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color w:val="555555"/>
                <w:sz w:val="17"/>
              </w:rPr>
              <w:t>Seed SparkLabs Taiwan (~&lt; $1M) — micro-startup</w:t>
            </w:r>
          </w:p>
        </w:tc>
      </w:tr>
      <w:tr>
        <w:tc>
          <w:tcPr>
            <w:tcW w:type="dxa" w:w="6236"/>
            <w:shd w:fill="F8F5F0" w:val="clear"/>
          </w:tcPr>
          <w:p>
            <w:pPr>
              <w:spacing w:before="40" w:after="40"/>
            </w:pPr>
            <w:r>
              <w:rPr>
                <w:b/>
                <w:color w:val="0D0B09"/>
                <w:sz w:val="18"/>
              </w:rPr>
              <w:t>Marché EU AST véto : $492 M en 2033</w:t>
            </w:r>
          </w:p>
        </w:tc>
        <w:tc>
          <w:tcPr>
            <w:tcW w:type="dxa" w:w="3969"/>
            <w:shd w:fill="F8F5F0" w:val="clear"/>
          </w:tcPr>
          <w:p>
            <w:pPr>
              <w:spacing w:before="40" w:after="40"/>
            </w:pPr>
            <w:r>
              <w:rPr>
                <w:color w:val="555555"/>
                <w:sz w:val="17"/>
              </w:rPr>
              <w:t>CAGR 8% — plans AMR + réglementation EU 2019/6</w:t>
            </w:r>
          </w:p>
        </w:tc>
      </w:tr>
      <w:tr>
        <w:tc>
          <w:tcPr>
            <w:tcW w:type="dxa" w:w="6236"/>
          </w:tcPr>
          <w:p>
            <w:pPr>
              <w:spacing w:before="40" w:after="40"/>
            </w:pPr>
            <w:r>
              <w:rPr>
                <w:b/>
                <w:color w:val="0D0B09"/>
                <w:sz w:val="18"/>
              </w:rPr>
              <w:t>Barrière réglementaire basse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>
              <w:rPr>
                <w:color w:val="555555"/>
                <w:sz w:val="17"/>
              </w:rPr>
              <w:t>Pas de marquage CE (hors IVDR/MDR) — réglementation nationale</w:t>
            </w:r>
          </w:p>
        </w:tc>
      </w:tr>
    </w:tbl>
    <w:p/>
    <w:p>
      <w:pPr>
        <w:pBdr>
          <w:bottom w:val="single" w:sz="6" w:space="4" w:color="C17F3A"/>
        </w:pBdr>
        <w:spacing w:after="160"/>
      </w:pPr>
      <w:r>
        <w:rPr>
          <w:b/>
          <w:color w:val="C17F3A"/>
          <w:sz w:val="22"/>
        </w:rPr>
        <w:t>AVANTAGES POUR VETALYX</w:t>
      </w:r>
    </w:p>
    <w:p>
      <w:pPr>
        <w:spacing w:after="120"/>
      </w:pPr>
      <w:r>
        <w:rPr>
          <w:b/>
          <w:color w:val="C17F3A"/>
          <w:sz w:val="20"/>
        </w:rPr>
        <w:t xml:space="preserve">1. </w:t>
      </w:r>
      <w:r>
        <w:rPr>
          <w:b/>
          <w:color w:val="0D0B09"/>
          <w:sz w:val="20"/>
        </w:rPr>
        <w:t xml:space="preserve">Complémentarité clinique — </w:t>
      </w:r>
      <w:r>
        <w:rPr>
          <w:color w:val="444444"/>
          <w:sz w:val="18"/>
        </w:rPr>
        <w:t>Même client cible (généraliste véto) que les tests d'allergie IgE. Allergies et infections sont souvent comorbides en dermatologie vétérinaire.</w:t>
      </w:r>
    </w:p>
    <w:p>
      <w:pPr>
        <w:spacing w:after="120"/>
      </w:pPr>
      <w:r>
        <w:rPr>
          <w:b/>
          <w:color w:val="C17F3A"/>
          <w:sz w:val="20"/>
        </w:rPr>
        <w:t xml:space="preserve">2. </w:t>
      </w:r>
      <w:r>
        <w:rPr>
          <w:b/>
          <w:color w:val="0D0B09"/>
          <w:sz w:val="20"/>
        </w:rPr>
        <w:t xml:space="preserve">Barrière réglementaire basse — </w:t>
      </w:r>
      <w:r>
        <w:rPr>
          <w:color w:val="444444"/>
          <w:sz w:val="18"/>
        </w:rPr>
        <w:t>Diagnostics vétérinaires hors IVDR/MDR. Réglementation nationale par pays, partiellement documentée par Vetalyx.</w:t>
      </w:r>
    </w:p>
    <w:p>
      <w:pPr>
        <w:spacing w:after="120"/>
      </w:pPr>
      <w:r>
        <w:rPr>
          <w:b/>
          <w:color w:val="C17F3A"/>
          <w:sz w:val="20"/>
        </w:rPr>
        <w:t xml:space="preserve">3. </w:t>
      </w:r>
      <w:r>
        <w:rPr>
          <w:b/>
          <w:color w:val="0D0B09"/>
          <w:sz w:val="20"/>
        </w:rPr>
        <w:t xml:space="preserve">Produit mature, pas un MVP — </w:t>
      </w:r>
      <w:r>
        <w:rPr>
          <w:color w:val="444444"/>
          <w:sz w:val="18"/>
        </w:rPr>
        <w:t>Industrialisé, distribué dans 14 marchés, performances cliniques validées (sens. 96%, spéc. 97%).</w:t>
      </w:r>
    </w:p>
    <w:p/>
    <w:p>
      <w:pPr>
        <w:pBdr>
          <w:bottom w:val="single" w:sz="6" w:space="4" w:color="C17F3A"/>
        </w:pBdr>
        <w:spacing w:after="160"/>
      </w:pPr>
      <w:r>
        <w:rPr>
          <w:b/>
          <w:color w:val="C17F3A"/>
          <w:sz w:val="22"/>
        </w:rPr>
        <w:t>RISQUES</w:t>
      </w:r>
    </w:p>
    <w:p>
      <w:pPr>
        <w:spacing w:after="80"/>
      </w:pPr>
      <w:r>
        <w:rPr>
          <w:color w:val="C17F3A"/>
          <w:sz w:val="18"/>
        </w:rPr>
        <w:t xml:space="preserve">▸ </w:t>
      </w:r>
      <w:r>
        <w:rPr>
          <w:color w:val="0D0B09"/>
          <w:sz w:val="18"/>
        </w:rPr>
        <w:t>Vetalyx en pré-lancement — double ligne produit = dispersion des ressources</w:t>
      </w:r>
    </w:p>
    <w:p>
      <w:pPr>
        <w:spacing w:after="80"/>
      </w:pPr>
      <w:r>
        <w:rPr>
          <w:color w:val="C17F3A"/>
          <w:sz w:val="18"/>
        </w:rPr>
        <w:t xml:space="preserve">▸ </w:t>
      </w:r>
      <w:r>
        <w:rPr>
          <w:color w:val="0D0B09"/>
          <w:sz w:val="18"/>
        </w:rPr>
        <w:t>MedFluid est une micro-structure (6-8 employés) — risque supply chain et support technique</w:t>
      </w:r>
    </w:p>
    <w:p>
      <w:pPr>
        <w:spacing w:after="80"/>
      </w:pPr>
      <w:r>
        <w:rPr>
          <w:color w:val="C17F3A"/>
          <w:sz w:val="18"/>
        </w:rPr>
        <w:t xml:space="preserve">▸ </w:t>
      </w:r>
      <w:r>
        <w:rPr>
          <w:color w:val="0D0B09"/>
          <w:sz w:val="18"/>
        </w:rPr>
        <w:t>Concurrent Bioguard (miniAST, également taïwanais) plus établi, labo ISO/IEC 17025</w:t>
      </w:r>
    </w:p>
    <w:p>
      <w:pPr>
        <w:spacing w:after="80"/>
      </w:pPr>
      <w:r>
        <w:rPr>
          <w:color w:val="C17F3A"/>
          <w:sz w:val="18"/>
        </w:rPr>
        <w:t xml:space="preserve">▸ </w:t>
      </w:r>
      <w:r>
        <w:rPr>
          <w:color w:val="0D0B09"/>
          <w:sz w:val="18"/>
        </w:rPr>
        <w:t>Risque géopolitique Taïwan — stabilité du statut à évaluer pour 2026-2031</w:t>
      </w:r>
    </w:p>
    <w:p/>
    <w:p>
      <w:pPr>
        <w:spacing w:before="80"/>
        <w:shd w:fill="E8E2DA" w:val="clear"/>
      </w:pPr>
      <w:r>
        <w:rPr>
          <w:b/>
          <w:color w:val="C17F3A"/>
          <w:sz w:val="18"/>
        </w:rPr>
        <w:t xml:space="preserve">POSITIONNEMENT VETALYX : </w:t>
      </w:r>
      <w:r>
        <w:rPr>
          <w:color w:val="0D0B09"/>
          <w:sz w:val="18"/>
        </w:rPr>
        <w:t>Hub européen full-stack pour diagnostics asiatiques — pas un simple distributeur. Clearance réglementaire, packaging/IFU localisés, contrôle qualité, stockage, SAV multilingue, assemblage final ou production locale si nécessaire.</w:t>
      </w:r>
    </w:p>
    <w:p>
      <w:pPr>
        <w:spacing w:before="40" w:after="160"/>
        <w:shd w:fill="E8E2DA" w:val="clear"/>
      </w:pPr>
      <w:r>
        <w:rPr>
          <w:b/>
          <w:color w:val="C17F3A"/>
          <w:sz w:val="20"/>
        </w:rPr>
        <w:t xml:space="preserve">VERDICT : 🟡 PIPELINE — T2 2027. </w:t>
      </w:r>
      <w:r>
        <w:rPr>
          <w:color w:val="0D0B09"/>
          <w:sz w:val="18"/>
        </w:rPr>
        <w:t>Opportunité réelle mais pas avant le scale-up allergologie (Phase 2). Premier contact maintenant pour sécuriser l'exclusivité territoriale avant Bioguard.</w:t>
      </w:r>
    </w:p>
    <w:p/>
    <w:p>
      <w:pPr>
        <w:jc w:val="center"/>
      </w:pPr>
      <w:r>
        <w:rPr>
          <w:color w:val="E8E2DA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color w:val="999999"/>
          <w:sz w:val="15"/>
        </w:rPr>
        <w:t>JCHYTECH / VETALYX  —  Document confidentiel  —  Juin 2026</w:t>
      </w:r>
    </w:p>
    <w:p>
      <w:pPr>
        <w:jc w:val="center"/>
      </w:pPr>
      <w:r>
        <w:rPr>
          <w:color w:val="AAAAAA"/>
          <w:sz w:val="14"/>
        </w:rPr>
        <w:t>Analyse complète : 2026-06-09_dobby_analyse-medfluid-nast-vetalyx.md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