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0B0A8" w14:textId="77777777" w:rsidR="007661B4" w:rsidRDefault="00000000">
      <w:pPr>
        <w:spacing w:after="40"/>
      </w:pPr>
      <w:r>
        <w:rPr>
          <w:b/>
          <w:color w:val="1A2E4A"/>
          <w:sz w:val="44"/>
        </w:rPr>
        <w:t>DIM3 — ASSET OVERVIEW</w:t>
      </w:r>
    </w:p>
    <w:p w14:paraId="5925E93B" w14:textId="77777777" w:rsidR="007661B4" w:rsidRDefault="00000000">
      <w:pPr>
        <w:spacing w:after="40"/>
      </w:pPr>
      <w:r>
        <w:rPr>
          <w:color w:val="007A8A"/>
        </w:rPr>
        <w:t>Clinical Nutrition Intelligence Platform  |  ICU Patient Database  |  Digital Health Products</w:t>
      </w:r>
    </w:p>
    <w:p w14:paraId="1E717239" w14:textId="77777777" w:rsidR="007661B4" w:rsidRDefault="00000000">
      <w:pPr>
        <w:spacing w:after="40"/>
        <w:rPr>
          <w:i/>
          <w:color w:val="444444"/>
          <w:sz w:val="18"/>
        </w:rPr>
      </w:pPr>
      <w:r>
        <w:rPr>
          <w:i/>
          <w:color w:val="444444"/>
          <w:sz w:val="18"/>
        </w:rPr>
        <w:t xml:space="preserve">Confidential — First Contact </w:t>
      </w:r>
      <w:proofErr w:type="gramStart"/>
      <w:r>
        <w:rPr>
          <w:i/>
          <w:color w:val="444444"/>
          <w:sz w:val="18"/>
        </w:rPr>
        <w:t>Brief  |</w:t>
      </w:r>
      <w:proofErr w:type="gramEnd"/>
      <w:r>
        <w:rPr>
          <w:i/>
          <w:color w:val="444444"/>
          <w:sz w:val="18"/>
        </w:rPr>
        <w:t xml:space="preserve">  Prepared by JCHytech on behalf of the DIM3 Liquidation Estate</w:t>
      </w:r>
    </w:p>
    <w:p w14:paraId="0137BCDE" w14:textId="77777777" w:rsidR="007661B4" w:rsidRDefault="007661B4">
      <w:pPr>
        <w:pBdr>
          <w:bottom w:val="single" w:sz="4" w:space="1" w:color="007A8A"/>
        </w:pBdr>
        <w:spacing w:before="80" w:after="80"/>
      </w:pPr>
    </w:p>
    <w:p w14:paraId="5255410D" w14:textId="77777777" w:rsidR="007661B4" w:rsidRDefault="00000000">
      <w:pPr>
        <w:spacing w:before="280" w:after="80"/>
      </w:pPr>
      <w:r>
        <w:rPr>
          <w:b/>
          <w:color w:val="1A2E4A"/>
          <w:sz w:val="28"/>
        </w:rPr>
        <w:t>1.  Executive Summary</w:t>
      </w:r>
    </w:p>
    <w:p w14:paraId="2BAD769A" w14:textId="77777777" w:rsidR="007661B4" w:rsidRDefault="00000000">
      <w:pPr>
        <w:spacing w:after="60"/>
      </w:pPr>
      <w:r>
        <w:rPr>
          <w:color w:val="444444"/>
          <w:sz w:val="20"/>
        </w:rPr>
        <w:t>DIM3 was a Belgian MedTech company headquartered in the Liège region, specialised in clinical nutrition monitoring and management for hospital and homecare settings. The company developed a CE-marked digital health platform — combining an IoMT sensor device (Feedim) and a clinical dashboard (Nutrow) — designed to automate the capture, prescription, and documentation of nutritional therapy across the full patient pathway.</w:t>
      </w:r>
    </w:p>
    <w:p w14:paraId="38ABBFF2" w14:textId="77777777" w:rsidR="007661B4" w:rsidRDefault="00000000">
      <w:pPr>
        <w:spacing w:after="60"/>
      </w:pPr>
      <w:r>
        <w:rPr>
          <w:color w:val="444444"/>
          <w:sz w:val="20"/>
        </w:rPr>
        <w:t>DIM3 is now in voluntary liquidation. Its core assets are available for acquisition or licensing through the liquidation estate. These assets comprise two validated digital health products, a portfolio of clinical protocols and validation data, established hospital partnerships, and — most strategically — a unique real-world patient dataset collected from the Intensive Care Unit of CHU de Liège (University Hospital of Liège), Belgium's leading academic medical centre.</w:t>
      </w:r>
    </w:p>
    <w:p w14:paraId="2FEF8420" w14:textId="77777777" w:rsidR="007661B4" w:rsidRDefault="00000000">
      <w:pPr>
        <w:shd w:val="clear" w:color="auto" w:fill="F2F4F7"/>
        <w:spacing w:before="120" w:after="120"/>
        <w:ind w:left="283" w:right="283"/>
      </w:pPr>
      <w:r>
        <w:rPr>
          <w:i/>
          <w:color w:val="444444"/>
          <w:sz w:val="20"/>
        </w:rPr>
        <w:t>Estimated database: 5,000 – 10,000 ICU patients  |  Parameters: clinical nutrition, biological laboratory, clinical outcomes  |  Site: CHU de Liège — ICU  |  Access: subject to agreement with CHU de Liège</w:t>
      </w:r>
    </w:p>
    <w:p w14:paraId="12AC97F8" w14:textId="77777777" w:rsidR="007661B4" w:rsidRDefault="007661B4">
      <w:pPr>
        <w:pBdr>
          <w:bottom w:val="single" w:sz="4" w:space="1" w:color="007A8A"/>
        </w:pBdr>
        <w:spacing w:before="80" w:after="80"/>
      </w:pPr>
    </w:p>
    <w:p w14:paraId="024EBE7E" w14:textId="77777777" w:rsidR="007661B4" w:rsidRDefault="00000000">
      <w:pPr>
        <w:spacing w:before="280" w:after="80"/>
      </w:pPr>
      <w:r>
        <w:rPr>
          <w:b/>
          <w:color w:val="1A2E4A"/>
          <w:sz w:val="28"/>
        </w:rPr>
        <w:t>2.  Company Background</w:t>
      </w:r>
    </w:p>
    <w:p w14:paraId="21EEA07F" w14:textId="77777777" w:rsidR="007661B4" w:rsidRDefault="00000000">
      <w:pPr>
        <w:spacing w:before="200" w:after="40"/>
      </w:pPr>
      <w:r>
        <w:rPr>
          <w:b/>
          <w:color w:val="007A8A"/>
        </w:rPr>
        <w:t>Origin &amp; Mission</w:t>
      </w:r>
    </w:p>
    <w:p w14:paraId="5A8FEEDF" w14:textId="77777777" w:rsidR="007661B4" w:rsidRDefault="00000000">
      <w:pPr>
        <w:spacing w:after="60"/>
      </w:pPr>
      <w:r>
        <w:rPr>
          <w:color w:val="444444"/>
          <w:sz w:val="20"/>
        </w:rPr>
        <w:t>DIM3 was founded in Belgium with the ambition of solving a well-documented clinical failure: 60–80% of hospitalised patients do not receive optimal, documented nutritional support despite clear ESPEN guidelines. The company built a connected platform to automate data capture, enforce compliance, and generate the documentation required for hospital reimbursement coding.</w:t>
      </w:r>
    </w:p>
    <w:p w14:paraId="5ECBBD79" w14:textId="77777777" w:rsidR="007661B4" w:rsidRDefault="00000000">
      <w:pPr>
        <w:spacing w:before="200" w:after="40"/>
      </w:pPr>
      <w:r>
        <w:rPr>
          <w:b/>
          <w:color w:val="007A8A"/>
        </w:rPr>
        <w:t>Key Partnerships &amp; Validation Sites</w:t>
      </w:r>
    </w:p>
    <w:p w14:paraId="4930AA57" w14:textId="77777777" w:rsidR="007661B4" w:rsidRDefault="00000000">
      <w:pPr>
        <w:pStyle w:val="ListBullet"/>
        <w:spacing w:after="40"/>
        <w:ind w:left="454"/>
      </w:pPr>
      <w:r>
        <w:rPr>
          <w:b/>
          <w:color w:val="1A2E4A"/>
          <w:sz w:val="20"/>
        </w:rPr>
        <w:t xml:space="preserve">Baxter: </w:t>
      </w:r>
      <w:r>
        <w:rPr>
          <w:color w:val="444444"/>
          <w:sz w:val="20"/>
        </w:rPr>
        <w:t>Baxter International — strategic commercial partnership signed July 2023</w:t>
      </w:r>
    </w:p>
    <w:p w14:paraId="6B03AE35" w14:textId="77777777" w:rsidR="007661B4" w:rsidRDefault="00000000">
      <w:pPr>
        <w:pStyle w:val="ListBullet"/>
        <w:spacing w:after="40"/>
        <w:ind w:left="454"/>
      </w:pPr>
      <w:r>
        <w:rPr>
          <w:b/>
          <w:color w:val="1A2E4A"/>
          <w:sz w:val="20"/>
        </w:rPr>
        <w:t xml:space="preserve">CHU Liège: </w:t>
      </w:r>
      <w:r>
        <w:rPr>
          <w:color w:val="444444"/>
          <w:sz w:val="20"/>
        </w:rPr>
        <w:t>CHU de Liège (Liège University Hospital) — ICU deployment, primary data source, Nutrow active to date</w:t>
      </w:r>
    </w:p>
    <w:p w14:paraId="073F28F5" w14:textId="77777777" w:rsidR="007661B4" w:rsidRDefault="00000000">
      <w:pPr>
        <w:pStyle w:val="ListBullet"/>
        <w:spacing w:after="40"/>
        <w:ind w:left="454"/>
      </w:pPr>
      <w:r>
        <w:rPr>
          <w:b/>
          <w:color w:val="1A2E4A"/>
          <w:sz w:val="20"/>
        </w:rPr>
        <w:t xml:space="preserve">CHU Lille: </w:t>
      </w:r>
      <w:r>
        <w:rPr>
          <w:color w:val="444444"/>
          <w:sz w:val="20"/>
        </w:rPr>
        <w:t>CHU de Lille (France) — ICU, IONIC clinical study (Baxter/DIM3); interrupted at liquidation</w:t>
      </w:r>
    </w:p>
    <w:p w14:paraId="1D1302AB" w14:textId="77777777" w:rsidR="007661B4" w:rsidRDefault="00000000">
      <w:pPr>
        <w:pStyle w:val="ListBullet"/>
        <w:spacing w:after="40"/>
        <w:ind w:left="454"/>
      </w:pPr>
      <w:r>
        <w:rPr>
          <w:b/>
          <w:color w:val="1A2E4A"/>
          <w:sz w:val="20"/>
        </w:rPr>
        <w:t xml:space="preserve">Vivalia: </w:t>
      </w:r>
      <w:r>
        <w:rPr>
          <w:color w:val="444444"/>
          <w:sz w:val="20"/>
        </w:rPr>
        <w:t>Vivalia Hospital Network (Belgium) — multi-department pilot (ICU, Oncology, Geriatrics, GI)</w:t>
      </w:r>
    </w:p>
    <w:p w14:paraId="7D5A0E6B" w14:textId="77777777" w:rsidR="007661B4" w:rsidRDefault="00000000">
      <w:pPr>
        <w:pStyle w:val="ListBullet"/>
        <w:spacing w:after="40"/>
        <w:ind w:left="454"/>
      </w:pPr>
      <w:r>
        <w:rPr>
          <w:b/>
          <w:color w:val="1A2E4A"/>
          <w:sz w:val="20"/>
        </w:rPr>
        <w:t xml:space="preserve">CHU Erasme: </w:t>
      </w:r>
      <w:r>
        <w:rPr>
          <w:color w:val="444444"/>
          <w:sz w:val="20"/>
        </w:rPr>
        <w:t>CHU Erasme (Brussels) — clinical validation of the Nutrow ROI tool (Dr Preiser)</w:t>
      </w:r>
    </w:p>
    <w:p w14:paraId="02E816D6" w14:textId="77777777" w:rsidR="007661B4" w:rsidRPr="00333784" w:rsidRDefault="00000000">
      <w:pPr>
        <w:pStyle w:val="ListBullet"/>
        <w:spacing w:after="40"/>
        <w:ind w:left="454"/>
        <w:rPr>
          <w:lang w:val="nl-BE"/>
        </w:rPr>
      </w:pPr>
      <w:r w:rsidRPr="00333784">
        <w:rPr>
          <w:b/>
          <w:color w:val="1A2E4A"/>
          <w:sz w:val="20"/>
          <w:lang w:val="nl-BE"/>
        </w:rPr>
        <w:t xml:space="preserve">AVZ: </w:t>
      </w:r>
      <w:r w:rsidRPr="00333784">
        <w:rPr>
          <w:color w:val="444444"/>
          <w:sz w:val="20"/>
          <w:lang w:val="nl-BE"/>
        </w:rPr>
        <w:t>AVZ — Academisch Ziekenhuis, Brussels — Scorso malnutrition screening protocol</w:t>
      </w:r>
    </w:p>
    <w:p w14:paraId="1CC0BBE1" w14:textId="77777777" w:rsidR="007661B4" w:rsidRDefault="00000000">
      <w:pPr>
        <w:spacing w:before="200" w:after="40"/>
      </w:pPr>
      <w:r>
        <w:rPr>
          <w:b/>
          <w:color w:val="007A8A"/>
        </w:rPr>
        <w:t>Team &amp; Funding</w:t>
      </w:r>
    </w:p>
    <w:p w14:paraId="28F459B2" w14:textId="77777777" w:rsidR="007661B4" w:rsidRDefault="00000000">
      <w:pPr>
        <w:pStyle w:val="ListBullet"/>
        <w:spacing w:after="40"/>
        <w:ind w:left="454"/>
      </w:pPr>
      <w:r>
        <w:rPr>
          <w:color w:val="444444"/>
          <w:sz w:val="20"/>
        </w:rPr>
        <w:t>12 FTEs internally + ~6 FTEs via subcontractors at peak operations</w:t>
      </w:r>
    </w:p>
    <w:p w14:paraId="4121B990" w14:textId="77777777" w:rsidR="007661B4" w:rsidRDefault="00000000">
      <w:pPr>
        <w:pStyle w:val="ListBullet"/>
        <w:spacing w:after="40"/>
        <w:ind w:left="454"/>
      </w:pPr>
      <w:r>
        <w:rPr>
          <w:color w:val="444444"/>
          <w:sz w:val="20"/>
        </w:rPr>
        <w:t>Shareholders: Newton Invest, Victor Invest (convertible loans, €1.3M, 2022–2023)</w:t>
      </w:r>
    </w:p>
    <w:p w14:paraId="45D8901F" w14:textId="77777777" w:rsidR="007661B4" w:rsidRDefault="00000000">
      <w:pPr>
        <w:pStyle w:val="ListBullet"/>
        <w:spacing w:after="40"/>
        <w:ind w:left="454"/>
      </w:pPr>
      <w:r>
        <w:rPr>
          <w:color w:val="444444"/>
          <w:sz w:val="20"/>
        </w:rPr>
        <w:t>Total capital requirement identified: €5M (including €2.5M from Wallonie Entreprendre)</w:t>
      </w:r>
    </w:p>
    <w:p w14:paraId="201DC1B1" w14:textId="77777777" w:rsidR="007661B4" w:rsidRDefault="00000000">
      <w:pPr>
        <w:pStyle w:val="ListBullet"/>
        <w:spacing w:after="40"/>
        <w:ind w:left="454"/>
      </w:pPr>
      <w:r>
        <w:rPr>
          <w:color w:val="444444"/>
          <w:sz w:val="20"/>
        </w:rPr>
        <w:t>Now in voluntary liquidation — all assets available</w:t>
      </w:r>
    </w:p>
    <w:p w14:paraId="309C6145" w14:textId="77777777" w:rsidR="007661B4" w:rsidRDefault="007661B4">
      <w:pPr>
        <w:pBdr>
          <w:bottom w:val="single" w:sz="4" w:space="1" w:color="007A8A"/>
        </w:pBdr>
        <w:spacing w:before="80" w:after="80"/>
      </w:pPr>
    </w:p>
    <w:p w14:paraId="7A4C4FDB" w14:textId="77777777" w:rsidR="007661B4" w:rsidRDefault="00000000">
      <w:pPr>
        <w:spacing w:before="280" w:after="80"/>
      </w:pPr>
      <w:r>
        <w:rPr>
          <w:b/>
          <w:color w:val="1A2E4A"/>
          <w:sz w:val="28"/>
        </w:rPr>
        <w:lastRenderedPageBreak/>
        <w:t>3.  Product Portfolio</w:t>
      </w:r>
    </w:p>
    <w:p w14:paraId="5CA082D0" w14:textId="77777777" w:rsidR="007661B4" w:rsidRDefault="00000000">
      <w:pPr>
        <w:spacing w:after="60"/>
      </w:pPr>
      <w:r>
        <w:rPr>
          <w:color w:val="444444"/>
          <w:sz w:val="20"/>
        </w:rPr>
        <w:t>The DIM3 platform consists of three interconnected components. All three are CE-marked or CE-compatible and have been clinically validated in ICU and ward settings.</w:t>
      </w:r>
    </w:p>
    <w:p w14:paraId="14C741F4" w14:textId="77777777" w:rsidR="007661B4" w:rsidRDefault="00000000">
      <w:pPr>
        <w:spacing w:before="200" w:after="40"/>
      </w:pPr>
      <w:r>
        <w:rPr>
          <w:b/>
          <w:color w:val="007A8A"/>
        </w:rPr>
        <w:t>3.1  NUTROW — Clinical Nutrition Dashboard</w:t>
      </w:r>
    </w:p>
    <w:p w14:paraId="3B39DFB1" w14:textId="77777777" w:rsidR="007661B4" w:rsidRDefault="00000000">
      <w:pPr>
        <w:spacing w:after="60"/>
      </w:pPr>
      <w:r>
        <w:rPr>
          <w:color w:val="444444"/>
          <w:sz w:val="20"/>
        </w:rPr>
        <w:t>Nutrow is the central intelligence layer of the DIM3 platform. It is a web-based clinical dashboard that aggregates real-time data from hospital IT systems and connected devices, enabling clinicians to prescribe, monitor, and document nutritional therapy with full traceability.</w:t>
      </w:r>
    </w:p>
    <w:p w14:paraId="36477007" w14:textId="77777777" w:rsidR="007661B4" w:rsidRDefault="00000000">
      <w:pPr>
        <w:pStyle w:val="ListBullet"/>
        <w:spacing w:after="40"/>
        <w:ind w:left="454"/>
      </w:pPr>
      <w:r>
        <w:rPr>
          <w:color w:val="444444"/>
          <w:sz w:val="20"/>
        </w:rPr>
        <w:t>Web application — multi-browser (Chrome, Firefox, Safari, Edge), multi-language</w:t>
      </w:r>
    </w:p>
    <w:p w14:paraId="6DA19781" w14:textId="77777777" w:rsidR="007661B4" w:rsidRDefault="00000000">
      <w:pPr>
        <w:pStyle w:val="ListBullet"/>
        <w:spacing w:after="40"/>
        <w:ind w:left="454"/>
      </w:pPr>
      <w:r>
        <w:rPr>
          <w:color w:val="444444"/>
          <w:sz w:val="20"/>
        </w:rPr>
        <w:t>Deployment: on-premises or SaaS cloud</w:t>
      </w:r>
    </w:p>
    <w:p w14:paraId="6B3E1D55" w14:textId="77777777" w:rsidR="007661B4" w:rsidRDefault="00000000">
      <w:pPr>
        <w:pStyle w:val="ListBullet"/>
        <w:spacing w:after="40"/>
        <w:ind w:left="454"/>
      </w:pPr>
      <w:r>
        <w:rPr>
          <w:color w:val="444444"/>
          <w:sz w:val="20"/>
        </w:rPr>
        <w:t>Database compatibility: Oracle, MySQL, PostgreSQL, SQL Server</w:t>
      </w:r>
    </w:p>
    <w:p w14:paraId="48F82E41" w14:textId="77777777" w:rsidR="007661B4" w:rsidRDefault="00000000">
      <w:pPr>
        <w:pStyle w:val="ListBullet"/>
        <w:spacing w:after="40"/>
        <w:ind w:left="454"/>
      </w:pPr>
      <w:r>
        <w:rPr>
          <w:color w:val="444444"/>
          <w:sz w:val="20"/>
        </w:rPr>
        <w:t>Security: Privacy by Design, PKI, OAuth 2.0, HTTPS TLS 1.2 / 1.3</w:t>
      </w:r>
    </w:p>
    <w:p w14:paraId="74134E80" w14:textId="77777777" w:rsidR="007661B4" w:rsidRDefault="00000000">
      <w:pPr>
        <w:pStyle w:val="ListBullet"/>
        <w:spacing w:after="40"/>
        <w:ind w:left="454"/>
      </w:pPr>
      <w:r>
        <w:rPr>
          <w:color w:val="444444"/>
          <w:sz w:val="20"/>
        </w:rPr>
        <w:t>Integrates with hospital EPR / DPI systems and Feedim IoMT device</w:t>
      </w:r>
    </w:p>
    <w:p w14:paraId="23B76B01" w14:textId="77777777" w:rsidR="007661B4" w:rsidRDefault="00000000">
      <w:pPr>
        <w:pStyle w:val="ListBullet"/>
        <w:spacing w:after="40"/>
        <w:ind w:left="454"/>
      </w:pPr>
      <w:r>
        <w:rPr>
          <w:color w:val="444444"/>
          <w:sz w:val="20"/>
        </w:rPr>
        <w:t>Clinically validated: significant increase in nutrition compliance vs. baseline (CHU Liège, CHU Erasme)</w:t>
      </w:r>
    </w:p>
    <w:p w14:paraId="4E90CB6C" w14:textId="77777777" w:rsidR="007661B4" w:rsidRDefault="00000000">
      <w:pPr>
        <w:pStyle w:val="ListBullet"/>
        <w:spacing w:after="40"/>
        <w:ind w:left="454"/>
      </w:pPr>
      <w:r>
        <w:rPr>
          <w:color w:val="444444"/>
          <w:sz w:val="20"/>
        </w:rPr>
        <w:t>Currently live: ICU, CHU de Liège — operational as of this document</w:t>
      </w:r>
    </w:p>
    <w:p w14:paraId="23D8C1B5" w14:textId="77777777" w:rsidR="007661B4" w:rsidRDefault="007661B4"/>
    <w:p w14:paraId="4D8BFD91" w14:textId="77777777" w:rsidR="007661B4" w:rsidRDefault="00000000">
      <w:pPr>
        <w:spacing w:before="200" w:after="40"/>
      </w:pPr>
      <w:r>
        <w:rPr>
          <w:b/>
          <w:color w:val="007A8A"/>
        </w:rPr>
        <w:t>3.2  FEEDIM — IoMT Enteral Nutrition Monitor</w:t>
      </w:r>
    </w:p>
    <w:p w14:paraId="0E8B8217" w14:textId="77777777" w:rsidR="007661B4" w:rsidRDefault="00000000">
      <w:pPr>
        <w:spacing w:after="60"/>
      </w:pPr>
      <w:r>
        <w:rPr>
          <w:color w:val="444444"/>
          <w:sz w:val="20"/>
        </w:rPr>
        <w:t>Feedim is a Class I CE-marked medical device that clips onto IV/enteral pump supports and transmits real-time feed delivery data to Nutrow. It bridges the gap between what is prescribed and what is actually delivered to the patient.</w:t>
      </w:r>
    </w:p>
    <w:p w14:paraId="190A5ABD" w14:textId="77777777" w:rsidR="007661B4" w:rsidRDefault="00000000">
      <w:pPr>
        <w:pStyle w:val="ListBullet"/>
        <w:spacing w:after="40"/>
        <w:ind w:left="454"/>
      </w:pPr>
      <w:r>
        <w:rPr>
          <w:color w:val="444444"/>
          <w:sz w:val="20"/>
        </w:rPr>
        <w:t>Class I Medical Device — CE-marked</w:t>
      </w:r>
    </w:p>
    <w:p w14:paraId="3D47C8D8" w14:textId="77777777" w:rsidR="007661B4" w:rsidRDefault="00000000">
      <w:pPr>
        <w:pStyle w:val="ListBullet"/>
        <w:spacing w:after="40"/>
        <w:ind w:left="454"/>
      </w:pPr>
      <w:r>
        <w:rPr>
          <w:color w:val="444444"/>
          <w:sz w:val="20"/>
        </w:rPr>
        <w:t>Form factor: 62 × 42 × 93.5 mm, 114g — clips on IV support, diameter 18–36 mm</w:t>
      </w:r>
    </w:p>
    <w:p w14:paraId="05F0EB8D" w14:textId="77777777" w:rsidR="007661B4" w:rsidRDefault="00000000">
      <w:pPr>
        <w:pStyle w:val="ListBullet"/>
        <w:spacing w:after="40"/>
        <w:ind w:left="454"/>
      </w:pPr>
      <w:r>
        <w:rPr>
          <w:color w:val="444444"/>
          <w:sz w:val="20"/>
        </w:rPr>
        <w:t>Connectivity: Wi-Fi 802.11 b/g/n, Bluetooth 4.2 BLE/BR+EDR</w:t>
      </w:r>
    </w:p>
    <w:p w14:paraId="068934FA" w14:textId="77777777" w:rsidR="007661B4" w:rsidRDefault="00000000">
      <w:pPr>
        <w:pStyle w:val="ListBullet"/>
        <w:spacing w:after="40"/>
        <w:ind w:left="454"/>
      </w:pPr>
      <w:r>
        <w:rPr>
          <w:color w:val="444444"/>
          <w:sz w:val="20"/>
        </w:rPr>
        <w:t>Battery: Li-Polymer 3.7V 980 mAh — ~1 month autonomy in standard use</w:t>
      </w:r>
    </w:p>
    <w:p w14:paraId="58C20980" w14:textId="77777777" w:rsidR="007661B4" w:rsidRDefault="00000000">
      <w:pPr>
        <w:pStyle w:val="ListBullet"/>
        <w:spacing w:after="40"/>
        <w:ind w:left="454"/>
      </w:pPr>
      <w:r>
        <w:rPr>
          <w:color w:val="444444"/>
          <w:sz w:val="20"/>
        </w:rPr>
        <w:t>Compatible pumps: Fresenius Kabi Applix Smart®, Nutricia Flocare Infinity®, Cardinal Health Kangaroo ePump®, Nestlé Compat Ella®</w:t>
      </w:r>
    </w:p>
    <w:p w14:paraId="26F3538F" w14:textId="77777777" w:rsidR="007661B4" w:rsidRDefault="00000000">
      <w:pPr>
        <w:pStyle w:val="ListBullet"/>
        <w:spacing w:after="40"/>
        <w:ind w:left="454"/>
      </w:pPr>
      <w:r>
        <w:rPr>
          <w:color w:val="444444"/>
          <w:sz w:val="20"/>
        </w:rPr>
        <w:t>Read-only operation: captures pump data without interfering with clinical device functions</w:t>
      </w:r>
    </w:p>
    <w:p w14:paraId="5FD9698B" w14:textId="77777777" w:rsidR="007661B4" w:rsidRDefault="00000000">
      <w:pPr>
        <w:pStyle w:val="ListBullet"/>
        <w:spacing w:after="40"/>
        <w:ind w:left="454"/>
      </w:pPr>
      <w:r>
        <w:rPr>
          <w:color w:val="444444"/>
          <w:sz w:val="20"/>
        </w:rPr>
        <w:t>2-year warranty — IP22 rated</w:t>
      </w:r>
    </w:p>
    <w:p w14:paraId="32B2D61C" w14:textId="77777777" w:rsidR="007661B4" w:rsidRDefault="007661B4"/>
    <w:p w14:paraId="11CCB722" w14:textId="77777777" w:rsidR="007661B4" w:rsidRDefault="00000000">
      <w:pPr>
        <w:spacing w:before="200" w:after="40"/>
      </w:pPr>
      <w:r>
        <w:rPr>
          <w:b/>
          <w:color w:val="007A8A"/>
        </w:rPr>
        <w:t>3.3  SCORSO — Malnutrition Risk Screening Tool</w:t>
      </w:r>
    </w:p>
    <w:p w14:paraId="759A4759" w14:textId="77777777" w:rsidR="007661B4" w:rsidRDefault="00000000">
      <w:pPr>
        <w:spacing w:after="60"/>
      </w:pPr>
      <w:r>
        <w:rPr>
          <w:color w:val="444444"/>
          <w:sz w:val="20"/>
        </w:rPr>
        <w:t>Scorso is a digital malnutrition risk assessment questionnaire integrated into the patient admission workflow. It feeds structured screening data directly into the EPR and Nutrow, triggering nutrition protocol initiation where appropriate.</w:t>
      </w:r>
    </w:p>
    <w:p w14:paraId="3AB023C8" w14:textId="77777777" w:rsidR="007661B4" w:rsidRDefault="00000000">
      <w:pPr>
        <w:pStyle w:val="ListBullet"/>
        <w:spacing w:after="40"/>
        <w:ind w:left="454"/>
      </w:pPr>
      <w:r>
        <w:rPr>
          <w:color w:val="444444"/>
          <w:sz w:val="20"/>
        </w:rPr>
        <w:t>Tablet-based digital questionnaire — embedded in admission workflow</w:t>
      </w:r>
    </w:p>
    <w:p w14:paraId="125992A4" w14:textId="77777777" w:rsidR="007661B4" w:rsidRDefault="00000000">
      <w:pPr>
        <w:pStyle w:val="ListBullet"/>
        <w:spacing w:after="40"/>
        <w:ind w:left="454"/>
      </w:pPr>
      <w:r>
        <w:rPr>
          <w:color w:val="444444"/>
          <w:sz w:val="20"/>
        </w:rPr>
        <w:t>Automatic data transfer to EPR and Nutrow</w:t>
      </w:r>
    </w:p>
    <w:p w14:paraId="115B4F09" w14:textId="5B03A63F" w:rsidR="00333784" w:rsidRDefault="00000000">
      <w:pPr>
        <w:pStyle w:val="ListBullet"/>
        <w:spacing w:after="40"/>
        <w:ind w:left="454"/>
        <w:rPr>
          <w:color w:val="444444"/>
          <w:sz w:val="20"/>
        </w:rPr>
      </w:pPr>
      <w:r>
        <w:rPr>
          <w:color w:val="444444"/>
          <w:sz w:val="20"/>
        </w:rPr>
        <w:t>Validated protocol deployed at AVZ (Brussels), Vivalia, and CHU de Liège</w:t>
      </w:r>
    </w:p>
    <w:p w14:paraId="360DAD7B" w14:textId="77777777" w:rsidR="00333784" w:rsidRDefault="00333784">
      <w:pPr>
        <w:rPr>
          <w:color w:val="444444"/>
          <w:sz w:val="20"/>
        </w:rPr>
      </w:pPr>
      <w:r>
        <w:rPr>
          <w:color w:val="444444"/>
          <w:sz w:val="20"/>
        </w:rPr>
        <w:br w:type="page"/>
      </w:r>
    </w:p>
    <w:p w14:paraId="2A4CAFDE" w14:textId="77777777" w:rsidR="007661B4" w:rsidRDefault="007661B4" w:rsidP="00333784">
      <w:pPr>
        <w:pStyle w:val="ListBullet"/>
        <w:numPr>
          <w:ilvl w:val="0"/>
          <w:numId w:val="0"/>
        </w:numPr>
        <w:spacing w:after="40"/>
        <w:ind w:left="454"/>
      </w:pPr>
    </w:p>
    <w:p w14:paraId="76F3BB3F" w14:textId="77777777" w:rsidR="007661B4" w:rsidRDefault="007661B4">
      <w:pPr>
        <w:pBdr>
          <w:bottom w:val="single" w:sz="4" w:space="1" w:color="007A8A"/>
        </w:pBdr>
        <w:spacing w:before="80" w:after="80"/>
      </w:pPr>
    </w:p>
    <w:p w14:paraId="7F635BD1" w14:textId="77777777" w:rsidR="007661B4" w:rsidRPr="00333784" w:rsidRDefault="00000000">
      <w:pPr>
        <w:spacing w:before="280" w:after="80"/>
        <w:rPr>
          <w:lang w:val="fr-BE"/>
        </w:rPr>
      </w:pPr>
      <w:r w:rsidRPr="00333784">
        <w:rPr>
          <w:b/>
          <w:color w:val="1A2E4A"/>
          <w:sz w:val="28"/>
          <w:lang w:val="fr-BE"/>
        </w:rPr>
        <w:t xml:space="preserve">4.  The Data Asset — CHU de Liège ICU </w:t>
      </w:r>
      <w:proofErr w:type="spellStart"/>
      <w:r w:rsidRPr="00333784">
        <w:rPr>
          <w:b/>
          <w:color w:val="1A2E4A"/>
          <w:sz w:val="28"/>
          <w:lang w:val="fr-BE"/>
        </w:rPr>
        <w:t>Database</w:t>
      </w:r>
      <w:proofErr w:type="spellEnd"/>
    </w:p>
    <w:p w14:paraId="21C64B67" w14:textId="77777777" w:rsidR="007661B4" w:rsidRDefault="00000000">
      <w:pPr>
        <w:spacing w:before="200" w:after="40"/>
      </w:pPr>
      <w:r>
        <w:rPr>
          <w:b/>
          <w:color w:val="007A8A"/>
        </w:rPr>
        <w:t>Overview</w:t>
      </w:r>
    </w:p>
    <w:p w14:paraId="4F47663D" w14:textId="77777777" w:rsidR="007661B4" w:rsidRDefault="00000000">
      <w:pPr>
        <w:spacing w:after="60"/>
      </w:pPr>
      <w:r>
        <w:rPr>
          <w:color w:val="444444"/>
          <w:sz w:val="20"/>
        </w:rPr>
        <w:t>The primary data asset available through the DIM3 liquidation estate is a real-world patient dataset collected by the Intensive Care Unit of CHU de Liège through continuous use of the Nutrow platform. CHU de Liège is a major Belgian academic medical centre and reference cancer hospital.</w:t>
      </w:r>
    </w:p>
    <w:p w14:paraId="012A185E" w14:textId="77777777" w:rsidR="007661B4" w:rsidRDefault="00000000">
      <w:pPr>
        <w:pStyle w:val="ListBullet"/>
        <w:spacing w:after="40"/>
        <w:ind w:left="454"/>
      </w:pPr>
      <w:r>
        <w:rPr>
          <w:b/>
          <w:color w:val="1A2E4A"/>
          <w:sz w:val="20"/>
        </w:rPr>
        <w:t xml:space="preserve">Scale: </w:t>
      </w:r>
      <w:r>
        <w:rPr>
          <w:color w:val="444444"/>
          <w:sz w:val="20"/>
        </w:rPr>
        <w:t>Estimated size: 5,000 – 10,000 patient records</w:t>
      </w:r>
    </w:p>
    <w:p w14:paraId="46F57855" w14:textId="77777777" w:rsidR="007661B4" w:rsidRDefault="00000000">
      <w:pPr>
        <w:pStyle w:val="ListBullet"/>
        <w:spacing w:after="40"/>
        <w:ind w:left="454"/>
      </w:pPr>
      <w:r>
        <w:rPr>
          <w:b/>
          <w:color w:val="1A2E4A"/>
          <w:sz w:val="20"/>
        </w:rPr>
        <w:t xml:space="preserve">Source: </w:t>
      </w:r>
      <w:r>
        <w:rPr>
          <w:color w:val="444444"/>
          <w:sz w:val="20"/>
        </w:rPr>
        <w:t>ICU, CHU de Liège (University Hospital of Liège, Belgium)</w:t>
      </w:r>
    </w:p>
    <w:p w14:paraId="521638D5" w14:textId="77777777" w:rsidR="007661B4" w:rsidRDefault="00000000">
      <w:pPr>
        <w:pStyle w:val="ListBullet"/>
        <w:spacing w:after="40"/>
        <w:ind w:left="454"/>
      </w:pPr>
      <w:r>
        <w:rPr>
          <w:b/>
          <w:color w:val="1A2E4A"/>
          <w:sz w:val="20"/>
        </w:rPr>
        <w:t xml:space="preserve">Collection method: </w:t>
      </w:r>
      <w:r>
        <w:rPr>
          <w:color w:val="444444"/>
          <w:sz w:val="20"/>
        </w:rPr>
        <w:t>Nutrow platform — continuous automated capture from hospital IT systems and Feedim devices</w:t>
      </w:r>
    </w:p>
    <w:p w14:paraId="398F3485" w14:textId="77777777" w:rsidR="007661B4" w:rsidRDefault="00000000">
      <w:pPr>
        <w:pStyle w:val="ListBullet"/>
        <w:spacing w:after="40"/>
        <w:ind w:left="454"/>
      </w:pPr>
      <w:r>
        <w:rPr>
          <w:b/>
          <w:color w:val="1A2E4A"/>
          <w:sz w:val="20"/>
        </w:rPr>
        <w:t xml:space="preserve">Data types: </w:t>
      </w:r>
      <w:r>
        <w:rPr>
          <w:color w:val="444444"/>
          <w:sz w:val="20"/>
        </w:rPr>
        <w:t>Clinical nutrition parameters (enteral/parenteral delivery, prescription vs. actual), biological laboratory parameters, clinical data</w:t>
      </w:r>
    </w:p>
    <w:p w14:paraId="45DEB6CC" w14:textId="77777777" w:rsidR="007661B4" w:rsidRDefault="00000000">
      <w:pPr>
        <w:pStyle w:val="ListBullet"/>
        <w:spacing w:after="40"/>
        <w:ind w:left="454"/>
      </w:pPr>
      <w:r>
        <w:rPr>
          <w:b/>
          <w:color w:val="1A2E4A"/>
          <w:sz w:val="20"/>
        </w:rPr>
        <w:t xml:space="preserve">Access: </w:t>
      </w:r>
      <w:r>
        <w:rPr>
          <w:color w:val="444444"/>
          <w:sz w:val="20"/>
        </w:rPr>
        <w:t>Data access subject to appropriate agreement with CHU de Liège as data controller. GDPR framework applies.</w:t>
      </w:r>
    </w:p>
    <w:p w14:paraId="0C1779D8" w14:textId="77777777" w:rsidR="007661B4" w:rsidRDefault="00000000">
      <w:pPr>
        <w:spacing w:before="200" w:after="40"/>
      </w:pPr>
      <w:r>
        <w:rPr>
          <w:b/>
          <w:color w:val="007A8A"/>
        </w:rPr>
        <w:t>Secondary Data Site</w:t>
      </w:r>
    </w:p>
    <w:p w14:paraId="7BA9FCC0" w14:textId="77777777" w:rsidR="007661B4" w:rsidRDefault="00000000">
      <w:pPr>
        <w:spacing w:after="60"/>
      </w:pPr>
      <w:r>
        <w:rPr>
          <w:color w:val="444444"/>
          <w:sz w:val="20"/>
        </w:rPr>
        <w:t>A second dataset was being collected at the ICU of CHU de Lille (France) as part of the IONIC clinical study (co-sponsored by Baxter and DIM3). This study was interrupted following DIM3's entry into liquidation. Data collected prior to interruption may be accessible subject to separate negotiation with CHU de Lille and Baxter.</w:t>
      </w:r>
    </w:p>
    <w:p w14:paraId="4352552D" w14:textId="77777777" w:rsidR="007661B4" w:rsidRDefault="00000000">
      <w:pPr>
        <w:spacing w:before="200" w:after="40"/>
      </w:pPr>
      <w:r>
        <w:rPr>
          <w:b/>
          <w:color w:val="007A8A"/>
        </w:rPr>
        <w:t>Data Governance Notes</w:t>
      </w:r>
    </w:p>
    <w:p w14:paraId="489A69C0" w14:textId="77777777" w:rsidR="007661B4" w:rsidRDefault="00000000">
      <w:pPr>
        <w:pStyle w:val="ListBullet"/>
        <w:spacing w:after="40"/>
        <w:ind w:left="454"/>
      </w:pPr>
      <w:r>
        <w:rPr>
          <w:color w:val="444444"/>
          <w:sz w:val="20"/>
        </w:rPr>
        <w:t>Both CHU de Liège and CHU de Lille are data controllers under GDPR</w:t>
      </w:r>
    </w:p>
    <w:p w14:paraId="66D7D2C0" w14:textId="77777777" w:rsidR="007661B4" w:rsidRDefault="00000000">
      <w:pPr>
        <w:pStyle w:val="ListBullet"/>
        <w:spacing w:after="40"/>
        <w:ind w:left="454"/>
      </w:pPr>
      <w:r>
        <w:rPr>
          <w:color w:val="444444"/>
          <w:sz w:val="20"/>
        </w:rPr>
        <w:t>DIM3 (liquidation estate) holds the contractual relationship with both institutions</w:t>
      </w:r>
    </w:p>
    <w:p w14:paraId="00BCEE17" w14:textId="77777777" w:rsidR="007661B4" w:rsidRDefault="00000000">
      <w:pPr>
        <w:pStyle w:val="ListBullet"/>
        <w:spacing w:after="40"/>
        <w:ind w:left="454"/>
      </w:pPr>
      <w:r>
        <w:rPr>
          <w:color w:val="444444"/>
          <w:sz w:val="20"/>
        </w:rPr>
        <w:t>A data access / data transfer agreement will need to be structured as part of any transaction</w:t>
      </w:r>
    </w:p>
    <w:p w14:paraId="6B068FC4" w14:textId="2EA34F67" w:rsidR="00333784" w:rsidRDefault="00000000">
      <w:pPr>
        <w:pStyle w:val="ListBullet"/>
        <w:spacing w:after="40"/>
        <w:ind w:left="454"/>
        <w:rPr>
          <w:color w:val="444444"/>
          <w:sz w:val="20"/>
        </w:rPr>
      </w:pPr>
      <w:r>
        <w:rPr>
          <w:color w:val="444444"/>
          <w:sz w:val="20"/>
        </w:rPr>
        <w:t>Nutrition data is confirmed available under adequate institutional agreement; scope of additional clinical/biological parameters to be confirmed during due diligence</w:t>
      </w:r>
    </w:p>
    <w:p w14:paraId="4A29DDC3" w14:textId="77777777" w:rsidR="00333784" w:rsidRDefault="00333784">
      <w:pPr>
        <w:rPr>
          <w:color w:val="444444"/>
          <w:sz w:val="20"/>
        </w:rPr>
      </w:pPr>
      <w:r>
        <w:rPr>
          <w:color w:val="444444"/>
          <w:sz w:val="20"/>
        </w:rPr>
        <w:br w:type="page"/>
      </w:r>
    </w:p>
    <w:p w14:paraId="37395CA1" w14:textId="77777777" w:rsidR="007661B4" w:rsidRDefault="007661B4" w:rsidP="00333784">
      <w:pPr>
        <w:pStyle w:val="ListBullet"/>
        <w:numPr>
          <w:ilvl w:val="0"/>
          <w:numId w:val="0"/>
        </w:numPr>
        <w:spacing w:after="40"/>
        <w:ind w:left="360" w:hanging="360"/>
      </w:pPr>
    </w:p>
    <w:p w14:paraId="75C640DF" w14:textId="77777777" w:rsidR="007661B4" w:rsidRDefault="007661B4">
      <w:pPr>
        <w:pBdr>
          <w:bottom w:val="single" w:sz="4" w:space="1" w:color="007A8A"/>
        </w:pBdr>
        <w:spacing w:before="80" w:after="80"/>
      </w:pPr>
    </w:p>
    <w:p w14:paraId="51B39B2E" w14:textId="77777777" w:rsidR="007661B4" w:rsidRDefault="00000000">
      <w:pPr>
        <w:spacing w:before="280" w:after="80"/>
      </w:pPr>
      <w:r>
        <w:rPr>
          <w:b/>
          <w:color w:val="1A2E4A"/>
          <w:sz w:val="28"/>
        </w:rPr>
        <w:t>5.  Oncology Relevance of the Dataset</w:t>
      </w:r>
    </w:p>
    <w:p w14:paraId="72550A66" w14:textId="77777777" w:rsidR="007661B4" w:rsidRDefault="00000000">
      <w:pPr>
        <w:spacing w:before="200" w:after="40"/>
      </w:pPr>
      <w:r>
        <w:rPr>
          <w:b/>
          <w:color w:val="007A8A"/>
        </w:rPr>
        <w:t>ICU Oncology Patient Population — European Context</w:t>
      </w:r>
    </w:p>
    <w:p w14:paraId="437CF154" w14:textId="77777777" w:rsidR="007661B4" w:rsidRDefault="00000000">
      <w:pPr>
        <w:spacing w:after="60"/>
      </w:pPr>
      <w:r>
        <w:rPr>
          <w:color w:val="444444"/>
          <w:sz w:val="20"/>
        </w:rPr>
        <w:t>Oncological patients represent a significant and growing proportion of ICU admissions across Europe. At university hospitals and cancer reference centres — such as CHU de Liège — estimates consistently reach 20–25% of total ICU admissions.</w:t>
      </w:r>
    </w:p>
    <w:p w14:paraId="2B42EA2D" w14:textId="77777777" w:rsidR="007661B4" w:rsidRDefault="00000000">
      <w:pPr>
        <w:pStyle w:val="ListBullet"/>
        <w:spacing w:after="40"/>
        <w:ind w:left="454"/>
      </w:pPr>
      <w:r>
        <w:rPr>
          <w:b/>
          <w:color w:val="1A2E4A"/>
          <w:sz w:val="20"/>
        </w:rPr>
        <w:t xml:space="preserve">Tumour types: </w:t>
      </w:r>
      <w:r>
        <w:rPr>
          <w:color w:val="444444"/>
          <w:sz w:val="20"/>
        </w:rPr>
        <w:t>Solid tumours: ~10–15% of total ICU admissions</w:t>
      </w:r>
    </w:p>
    <w:p w14:paraId="411E7ED7" w14:textId="77777777" w:rsidR="007661B4" w:rsidRDefault="00000000">
      <w:pPr>
        <w:pStyle w:val="ListBullet"/>
        <w:spacing w:after="40"/>
        <w:ind w:left="454"/>
      </w:pPr>
      <w:r>
        <w:rPr>
          <w:color w:val="444444"/>
          <w:sz w:val="20"/>
        </w:rPr>
        <w:t>Haematological malignancies: ~3–5% of total ICU admissions</w:t>
      </w:r>
    </w:p>
    <w:p w14:paraId="49F4C450" w14:textId="77777777" w:rsidR="007661B4" w:rsidRDefault="00000000">
      <w:pPr>
        <w:pStyle w:val="ListBullet"/>
        <w:spacing w:after="40"/>
        <w:ind w:left="454"/>
      </w:pPr>
      <w:r>
        <w:rPr>
          <w:b/>
          <w:color w:val="1A2E4A"/>
          <w:sz w:val="20"/>
        </w:rPr>
        <w:t xml:space="preserve">Main admission reasons: </w:t>
      </w:r>
      <w:r>
        <w:rPr>
          <w:color w:val="444444"/>
          <w:sz w:val="20"/>
        </w:rPr>
        <w:t>Sepsis/septic shock (neutropenia-related), acute respiratory failure, post-surgical complications, treatment toxicity (chemo/immunotherapy), multi-organ failure</w:t>
      </w:r>
    </w:p>
    <w:p w14:paraId="4E1C1278" w14:textId="77777777" w:rsidR="007661B4" w:rsidRDefault="00000000">
      <w:pPr>
        <w:pStyle w:val="ListBullet"/>
        <w:spacing w:after="40"/>
        <w:ind w:left="454"/>
      </w:pPr>
      <w:r>
        <w:rPr>
          <w:b/>
          <w:color w:val="1A2E4A"/>
          <w:sz w:val="20"/>
        </w:rPr>
        <w:t xml:space="preserve">ICU mortality: </w:t>
      </w:r>
      <w:r>
        <w:rPr>
          <w:color w:val="444444"/>
          <w:sz w:val="20"/>
        </w:rPr>
        <w:t>Solid tumours: 20–35% ICU mortality | Haematological malignancies: 30–50% ICU mortality</w:t>
      </w:r>
    </w:p>
    <w:p w14:paraId="25FD6488" w14:textId="77777777" w:rsidR="007661B4" w:rsidRDefault="00000000">
      <w:pPr>
        <w:pStyle w:val="ListBullet"/>
        <w:spacing w:after="40"/>
        <w:ind w:left="454"/>
      </w:pPr>
      <w:r>
        <w:rPr>
          <w:color w:val="444444"/>
          <w:sz w:val="20"/>
        </w:rPr>
        <w:t>Sources: ESICM registries, SOAP study, ICON audit, European multicentre analyses</w:t>
      </w:r>
    </w:p>
    <w:p w14:paraId="05066E35" w14:textId="77777777" w:rsidR="007661B4" w:rsidRDefault="00000000">
      <w:pPr>
        <w:spacing w:before="200" w:after="40"/>
      </w:pPr>
      <w:r>
        <w:rPr>
          <w:b/>
          <w:color w:val="007A8A"/>
        </w:rPr>
        <w:t>Estimated Oncology Subset in the DIM3 Dataset</w:t>
      </w:r>
    </w:p>
    <w:p w14:paraId="62BE8E97" w14:textId="77777777" w:rsidR="007661B4" w:rsidRDefault="00000000">
      <w:pPr>
        <w:spacing w:after="60"/>
      </w:pPr>
      <w:r>
        <w:rPr>
          <w:color w:val="444444"/>
          <w:sz w:val="20"/>
        </w:rPr>
        <w:t>Applying European reference epidemiology to the CHU de Liège ICU population (university/cancer reference centre profile), the estimated oncological patient subset within the DIM3 database is:</w:t>
      </w:r>
    </w:p>
    <w:p w14:paraId="43711E8E" w14:textId="77777777" w:rsidR="007661B4" w:rsidRDefault="00000000">
      <w:pPr>
        <w:shd w:val="clear" w:color="auto" w:fill="F2F4F7"/>
        <w:spacing w:before="120" w:after="120"/>
        <w:ind w:left="283" w:right="283"/>
      </w:pPr>
      <w:r>
        <w:rPr>
          <w:i/>
          <w:color w:val="444444"/>
          <w:sz w:val="20"/>
        </w:rPr>
        <w:t>Estimated oncology subset: 1,000 – 2,500 patients  (applying 20–25% oncological ICU admission rate to a 5,000–10,000 patient base)  |  Confirmation subject to data due diligence with CHU de Liège</w:t>
      </w:r>
    </w:p>
    <w:p w14:paraId="65AE1669" w14:textId="77777777" w:rsidR="007661B4" w:rsidRDefault="00000000">
      <w:pPr>
        <w:spacing w:before="200" w:after="40"/>
      </w:pPr>
      <w:r>
        <w:rPr>
          <w:b/>
          <w:color w:val="007A8A"/>
        </w:rPr>
        <w:t>Why This Data Is Strategically Valuable for AI Oncology</w:t>
      </w:r>
    </w:p>
    <w:p w14:paraId="629E9867" w14:textId="77777777" w:rsidR="007661B4" w:rsidRDefault="00000000">
      <w:pPr>
        <w:pStyle w:val="ListBullet"/>
        <w:spacing w:after="40"/>
        <w:ind w:left="454"/>
      </w:pPr>
      <w:r>
        <w:rPr>
          <w:b/>
          <w:color w:val="1A2E4A"/>
          <w:sz w:val="20"/>
        </w:rPr>
        <w:t xml:space="preserve">Data scarcity: </w:t>
      </w:r>
      <w:r>
        <w:rPr>
          <w:color w:val="444444"/>
          <w:sz w:val="20"/>
        </w:rPr>
        <w:t>Real-world ICU oncological nutrition data is critically underrepresented in AI training datasets</w:t>
      </w:r>
    </w:p>
    <w:p w14:paraId="79499496" w14:textId="77777777" w:rsidR="007661B4" w:rsidRDefault="00000000">
      <w:pPr>
        <w:pStyle w:val="ListBullet"/>
        <w:spacing w:after="40"/>
        <w:ind w:left="454"/>
      </w:pPr>
      <w:r>
        <w:rPr>
          <w:b/>
          <w:color w:val="1A2E4A"/>
          <w:sz w:val="20"/>
        </w:rPr>
        <w:t xml:space="preserve">Unique signal: </w:t>
      </w:r>
      <w:r>
        <w:rPr>
          <w:color w:val="444444"/>
          <w:sz w:val="20"/>
        </w:rPr>
        <w:t>Enteral/parenteral delivery data (actual vs. prescribed) is rarely available in structured form — DIM3's automated capture makes it machine-ready</w:t>
      </w:r>
    </w:p>
    <w:p w14:paraId="16D63149" w14:textId="77777777" w:rsidR="007661B4" w:rsidRDefault="00000000">
      <w:pPr>
        <w:pStyle w:val="ListBullet"/>
        <w:spacing w:after="40"/>
        <w:ind w:left="454"/>
      </w:pPr>
      <w:r>
        <w:rPr>
          <w:b/>
          <w:color w:val="1A2E4A"/>
          <w:sz w:val="20"/>
        </w:rPr>
        <w:t xml:space="preserve">Clinical relevance: </w:t>
      </w:r>
      <w:r>
        <w:rPr>
          <w:color w:val="444444"/>
          <w:sz w:val="20"/>
        </w:rPr>
        <w:t>Nutrition status is a validated predictor of treatment tolerance, infectious complications, ICU length of stay, and mortality in oncological patients</w:t>
      </w:r>
    </w:p>
    <w:p w14:paraId="322D7B7D" w14:textId="77777777" w:rsidR="007661B4" w:rsidRDefault="00000000">
      <w:pPr>
        <w:pStyle w:val="ListBullet"/>
        <w:spacing w:after="40"/>
        <w:ind w:left="454"/>
      </w:pPr>
      <w:r>
        <w:rPr>
          <w:b/>
          <w:color w:val="1A2E4A"/>
          <w:sz w:val="20"/>
        </w:rPr>
        <w:t xml:space="preserve">Feature richness: </w:t>
      </w:r>
      <w:r>
        <w:rPr>
          <w:color w:val="444444"/>
          <w:sz w:val="20"/>
        </w:rPr>
        <w:t>Malnutrition (SCORSO scores), caloric deficit, protein delivery — all structured, time-stamped</w:t>
      </w:r>
    </w:p>
    <w:p w14:paraId="15E72635" w14:textId="77777777" w:rsidR="007661B4" w:rsidRDefault="00000000">
      <w:pPr>
        <w:pStyle w:val="ListBullet"/>
        <w:spacing w:after="40"/>
        <w:ind w:left="454"/>
      </w:pPr>
      <w:r>
        <w:rPr>
          <w:b/>
          <w:color w:val="1A2E4A"/>
          <w:sz w:val="20"/>
        </w:rPr>
        <w:t xml:space="preserve">Multimodal: </w:t>
      </w:r>
      <w:r>
        <w:rPr>
          <w:color w:val="444444"/>
          <w:sz w:val="20"/>
        </w:rPr>
        <w:t>Paired with biological laboratory parameters, clinical parameters, and outcomes</w:t>
      </w:r>
    </w:p>
    <w:p w14:paraId="5FB170C8" w14:textId="77777777" w:rsidR="007661B4" w:rsidRDefault="00000000">
      <w:pPr>
        <w:pStyle w:val="ListBullet"/>
        <w:spacing w:after="40"/>
        <w:ind w:left="454"/>
      </w:pPr>
      <w:r>
        <w:rPr>
          <w:b/>
          <w:color w:val="1A2E4A"/>
          <w:sz w:val="20"/>
        </w:rPr>
        <w:t xml:space="preserve">Trend: </w:t>
      </w:r>
      <w:r>
        <w:rPr>
          <w:color w:val="444444"/>
          <w:sz w:val="20"/>
        </w:rPr>
        <w:t>Growing patient population: oncological ICU admissions have increased steadily over 15 years due to improved oncological treatments and improved ICU prognosis</w:t>
      </w:r>
    </w:p>
    <w:p w14:paraId="354084F8" w14:textId="432D5649" w:rsidR="00333784" w:rsidRDefault="00333784">
      <w:r>
        <w:br w:type="page"/>
      </w:r>
    </w:p>
    <w:p w14:paraId="3D53FD32" w14:textId="77777777" w:rsidR="007661B4" w:rsidRDefault="007661B4">
      <w:pPr>
        <w:pBdr>
          <w:bottom w:val="single" w:sz="4" w:space="1" w:color="007A8A"/>
        </w:pBdr>
        <w:spacing w:before="80" w:after="80"/>
      </w:pPr>
    </w:p>
    <w:p w14:paraId="0739EF8B" w14:textId="77777777" w:rsidR="007661B4" w:rsidRDefault="00000000">
      <w:pPr>
        <w:spacing w:before="280" w:after="80"/>
      </w:pPr>
      <w:r>
        <w:rPr>
          <w:b/>
          <w:color w:val="1A2E4A"/>
          <w:sz w:val="28"/>
        </w:rPr>
        <w:t>6.  The Opportunity</w:t>
      </w:r>
    </w:p>
    <w:p w14:paraId="54A76BFB" w14:textId="77777777" w:rsidR="007661B4" w:rsidRDefault="00000000">
      <w:pPr>
        <w:spacing w:before="200" w:after="40"/>
      </w:pPr>
      <w:r>
        <w:rPr>
          <w:b/>
          <w:color w:val="007A8A"/>
        </w:rPr>
        <w:t>Available Assets</w:t>
      </w:r>
    </w:p>
    <w:p w14:paraId="35E656C6" w14:textId="77777777" w:rsidR="007661B4" w:rsidRDefault="00000000">
      <w:pPr>
        <w:pStyle w:val="ListBullet"/>
        <w:spacing w:after="40"/>
        <w:ind w:left="454"/>
      </w:pPr>
      <w:r>
        <w:rPr>
          <w:b/>
          <w:color w:val="1A2E4A"/>
          <w:sz w:val="20"/>
        </w:rPr>
        <w:t xml:space="preserve">1. Data: </w:t>
      </w:r>
      <w:r>
        <w:rPr>
          <w:color w:val="444444"/>
          <w:sz w:val="20"/>
        </w:rPr>
        <w:t>Real-world ICU patient database — subject to CHU de Liège agreement</w:t>
      </w:r>
    </w:p>
    <w:p w14:paraId="609BB48E" w14:textId="77777777" w:rsidR="007661B4" w:rsidRDefault="00000000">
      <w:pPr>
        <w:pStyle w:val="ListBullet"/>
        <w:spacing w:after="40"/>
        <w:ind w:left="454"/>
      </w:pPr>
      <w:r>
        <w:rPr>
          <w:b/>
          <w:color w:val="1A2E4A"/>
          <w:sz w:val="20"/>
        </w:rPr>
        <w:t xml:space="preserve">2. Nutrow: </w:t>
      </w:r>
      <w:r>
        <w:rPr>
          <w:color w:val="444444"/>
          <w:sz w:val="20"/>
        </w:rPr>
        <w:t>Nutrow (source code, architecture, documentation, database schemas)</w:t>
      </w:r>
    </w:p>
    <w:p w14:paraId="506AA87E" w14:textId="77777777" w:rsidR="007661B4" w:rsidRDefault="00000000">
      <w:pPr>
        <w:pStyle w:val="ListBullet"/>
        <w:spacing w:after="40"/>
        <w:ind w:left="454"/>
      </w:pPr>
      <w:r>
        <w:rPr>
          <w:b/>
          <w:color w:val="1A2E4A"/>
          <w:sz w:val="20"/>
        </w:rPr>
        <w:t xml:space="preserve">3. Feedim: </w:t>
      </w:r>
      <w:r>
        <w:rPr>
          <w:color w:val="444444"/>
          <w:sz w:val="20"/>
        </w:rPr>
        <w:t>Feedim (hardware design files, firmware, CE-mark certification dossier, compatibility documentation)</w:t>
      </w:r>
    </w:p>
    <w:p w14:paraId="26CEBBBF" w14:textId="77777777" w:rsidR="007661B4" w:rsidRDefault="00000000">
      <w:pPr>
        <w:pStyle w:val="ListBullet"/>
        <w:spacing w:after="40"/>
        <w:ind w:left="454"/>
      </w:pPr>
      <w:r>
        <w:rPr>
          <w:b/>
          <w:color w:val="1A2E4A"/>
          <w:sz w:val="20"/>
        </w:rPr>
        <w:t xml:space="preserve">4. Scorso: </w:t>
      </w:r>
      <w:r>
        <w:rPr>
          <w:color w:val="444444"/>
          <w:sz w:val="20"/>
        </w:rPr>
        <w:t>Scorso digital screening tool and validated clinical protocols</w:t>
      </w:r>
    </w:p>
    <w:p w14:paraId="64055D49" w14:textId="77777777" w:rsidR="007661B4" w:rsidRDefault="00000000">
      <w:pPr>
        <w:pStyle w:val="ListBullet"/>
        <w:spacing w:after="40"/>
        <w:ind w:left="454"/>
      </w:pPr>
      <w:r>
        <w:rPr>
          <w:b/>
          <w:color w:val="1A2E4A"/>
          <w:sz w:val="20"/>
        </w:rPr>
        <w:t xml:space="preserve">5. IP: </w:t>
      </w:r>
      <w:r>
        <w:rPr>
          <w:color w:val="444444"/>
          <w:sz w:val="20"/>
        </w:rPr>
        <w:t>Patent portfolio and IP documentation</w:t>
      </w:r>
    </w:p>
    <w:p w14:paraId="3CD89DA0" w14:textId="77777777" w:rsidR="007661B4" w:rsidRDefault="00000000">
      <w:pPr>
        <w:pStyle w:val="ListBullet"/>
        <w:spacing w:after="40"/>
        <w:ind w:left="454"/>
      </w:pPr>
      <w:r>
        <w:rPr>
          <w:b/>
          <w:color w:val="1A2E4A"/>
          <w:sz w:val="20"/>
        </w:rPr>
        <w:t xml:space="preserve">6. Hospital network: </w:t>
      </w:r>
      <w:r>
        <w:rPr>
          <w:color w:val="444444"/>
          <w:sz w:val="20"/>
        </w:rPr>
        <w:t>Existing relationships with CHU de Liège, CHU de Lille, Vivalia, CHU Erasme, AVZ</w:t>
      </w:r>
    </w:p>
    <w:p w14:paraId="5D23D060" w14:textId="77777777" w:rsidR="007661B4" w:rsidRDefault="00000000">
      <w:pPr>
        <w:spacing w:before="200" w:after="40"/>
      </w:pPr>
      <w:r>
        <w:rPr>
          <w:b/>
          <w:color w:val="007A8A"/>
        </w:rPr>
        <w:t>Possible Transaction Structures</w:t>
      </w:r>
    </w:p>
    <w:p w14:paraId="41FDD721" w14:textId="77777777" w:rsidR="007661B4" w:rsidRDefault="00000000">
      <w:pPr>
        <w:pStyle w:val="ListBullet"/>
        <w:spacing w:after="40"/>
        <w:ind w:left="454"/>
      </w:pPr>
      <w:r>
        <w:rPr>
          <w:b/>
          <w:color w:val="1A2E4A"/>
          <w:sz w:val="20"/>
        </w:rPr>
        <w:t xml:space="preserve">Data only: </w:t>
      </w:r>
      <w:r>
        <w:rPr>
          <w:color w:val="444444"/>
          <w:sz w:val="20"/>
        </w:rPr>
        <w:t>Data licensing or purchase agreement (data controller: CHU de Liège)</w:t>
      </w:r>
    </w:p>
    <w:p w14:paraId="4232E82D" w14:textId="77777777" w:rsidR="007661B4" w:rsidRDefault="00000000">
      <w:pPr>
        <w:pStyle w:val="ListBullet"/>
        <w:spacing w:after="40"/>
        <w:ind w:left="454"/>
      </w:pPr>
      <w:r>
        <w:rPr>
          <w:b/>
          <w:color w:val="1A2E4A"/>
          <w:sz w:val="20"/>
        </w:rPr>
        <w:t xml:space="preserve">Product revival: </w:t>
      </w:r>
      <w:r>
        <w:rPr>
          <w:color w:val="444444"/>
          <w:sz w:val="20"/>
        </w:rPr>
        <w:t>Acquisition or licensing of Nutrow and/or Feedim from the liquidation estate</w:t>
      </w:r>
    </w:p>
    <w:p w14:paraId="3601E25C" w14:textId="77777777" w:rsidR="007661B4" w:rsidRDefault="00000000">
      <w:pPr>
        <w:pStyle w:val="ListBullet"/>
        <w:spacing w:after="40"/>
        <w:ind w:left="454"/>
      </w:pPr>
      <w:r>
        <w:rPr>
          <w:b/>
          <w:color w:val="1A2E4A"/>
          <w:sz w:val="20"/>
        </w:rPr>
        <w:t xml:space="preserve">Full bundle: </w:t>
      </w:r>
      <w:r>
        <w:rPr>
          <w:color w:val="444444"/>
          <w:sz w:val="20"/>
        </w:rPr>
        <w:t>Combined acquisition of data + products + IP as a going-concern bundle</w:t>
      </w:r>
    </w:p>
    <w:p w14:paraId="0155BF5D" w14:textId="77777777" w:rsidR="007661B4" w:rsidRDefault="00000000">
      <w:pPr>
        <w:pStyle w:val="ListBullet"/>
        <w:spacing w:after="40"/>
        <w:ind w:left="454"/>
      </w:pPr>
      <w:r>
        <w:rPr>
          <w:b/>
          <w:color w:val="1A2E4A"/>
          <w:sz w:val="20"/>
        </w:rPr>
        <w:t xml:space="preserve">Platform reactivation: </w:t>
      </w:r>
      <w:r>
        <w:rPr>
          <w:color w:val="444444"/>
          <w:sz w:val="20"/>
        </w:rPr>
        <w:t>Potential to redeploy Nutrow at additional ICU/oncology sites to expand dataset prospectively</w:t>
      </w:r>
    </w:p>
    <w:p w14:paraId="519B0164" w14:textId="77777777" w:rsidR="007661B4" w:rsidRDefault="007661B4">
      <w:pPr>
        <w:pBdr>
          <w:bottom w:val="single" w:sz="4" w:space="1" w:color="007A8A"/>
        </w:pBdr>
        <w:spacing w:before="80" w:after="80"/>
      </w:pPr>
    </w:p>
    <w:p w14:paraId="4291326B" w14:textId="77777777" w:rsidR="007661B4" w:rsidRDefault="00000000">
      <w:pPr>
        <w:spacing w:before="280" w:after="80"/>
      </w:pPr>
      <w:r>
        <w:rPr>
          <w:b/>
          <w:color w:val="1A2E4A"/>
          <w:sz w:val="28"/>
        </w:rPr>
        <w:t>7.  Proposed Next Steps</w:t>
      </w:r>
    </w:p>
    <w:p w14:paraId="5748170D" w14:textId="77777777" w:rsidR="007661B4" w:rsidRDefault="00000000">
      <w:pPr>
        <w:pStyle w:val="ListBullet"/>
        <w:spacing w:after="40"/>
        <w:ind w:left="454"/>
      </w:pPr>
      <w:r>
        <w:rPr>
          <w:b/>
          <w:color w:val="1A2E4A"/>
          <w:sz w:val="20"/>
        </w:rPr>
        <w:t xml:space="preserve">Step 1: </w:t>
      </w:r>
      <w:r>
        <w:rPr>
          <w:color w:val="444444"/>
          <w:sz w:val="20"/>
        </w:rPr>
        <w:t>Mutual NDA — formalise confidentiality before detailed data and product disclosure</w:t>
      </w:r>
    </w:p>
    <w:p w14:paraId="03A921F2" w14:textId="77777777" w:rsidR="007661B4" w:rsidRDefault="00000000">
      <w:pPr>
        <w:pStyle w:val="ListBullet"/>
        <w:spacing w:after="40"/>
        <w:ind w:left="454"/>
      </w:pPr>
      <w:r>
        <w:rPr>
          <w:b/>
          <w:color w:val="1A2E4A"/>
          <w:sz w:val="20"/>
        </w:rPr>
        <w:t xml:space="preserve">Step 2: </w:t>
      </w:r>
      <w:r>
        <w:rPr>
          <w:color w:val="444444"/>
          <w:sz w:val="20"/>
        </w:rPr>
        <w:t>Data due diligence — confirm database scope, parameters, data quality, and GDPR framework with CHU de Liège</w:t>
      </w:r>
    </w:p>
    <w:p w14:paraId="0A87FAB0" w14:textId="77777777" w:rsidR="007661B4" w:rsidRDefault="00000000">
      <w:pPr>
        <w:pStyle w:val="ListBullet"/>
        <w:spacing w:after="40"/>
        <w:ind w:left="454"/>
      </w:pPr>
      <w:r>
        <w:rPr>
          <w:b/>
          <w:color w:val="1A2E4A"/>
          <w:sz w:val="20"/>
        </w:rPr>
        <w:t xml:space="preserve">Step 3: </w:t>
      </w:r>
      <w:r>
        <w:rPr>
          <w:color w:val="444444"/>
          <w:sz w:val="20"/>
        </w:rPr>
        <w:t>Product technical review — Nutrow architecture, API documentation, Feedim firmware and CE dossier</w:t>
      </w:r>
    </w:p>
    <w:p w14:paraId="1DA8E724" w14:textId="77777777" w:rsidR="007661B4" w:rsidRDefault="00000000">
      <w:pPr>
        <w:pStyle w:val="ListBullet"/>
        <w:spacing w:after="40"/>
        <w:ind w:left="454"/>
      </w:pPr>
      <w:r>
        <w:rPr>
          <w:b/>
          <w:color w:val="1A2E4A"/>
          <w:sz w:val="20"/>
        </w:rPr>
        <w:t xml:space="preserve">Step 4: </w:t>
      </w:r>
      <w:r>
        <w:rPr>
          <w:color w:val="444444"/>
          <w:sz w:val="20"/>
        </w:rPr>
        <w:t>CHU de Liège engagement — open negotiation on data access, scope of parameters, and transfer modalities</w:t>
      </w:r>
    </w:p>
    <w:p w14:paraId="73B80234" w14:textId="77777777" w:rsidR="007661B4" w:rsidRDefault="00000000">
      <w:pPr>
        <w:pStyle w:val="ListBullet"/>
        <w:spacing w:after="40"/>
        <w:ind w:left="454"/>
      </w:pPr>
      <w:r>
        <w:rPr>
          <w:b/>
          <w:color w:val="1A2E4A"/>
          <w:sz w:val="20"/>
        </w:rPr>
        <w:t xml:space="preserve">Step 5: </w:t>
      </w:r>
      <w:r>
        <w:rPr>
          <w:color w:val="444444"/>
          <w:sz w:val="20"/>
        </w:rPr>
        <w:t>Term sheet — define transaction structure (data, products, IP) and commercial terms</w:t>
      </w:r>
    </w:p>
    <w:p w14:paraId="75397295" w14:textId="77777777" w:rsidR="007661B4" w:rsidRDefault="007661B4">
      <w:pPr>
        <w:pBdr>
          <w:bottom w:val="single" w:sz="4" w:space="1" w:color="007A8A"/>
        </w:pBdr>
        <w:spacing w:before="80" w:after="80"/>
      </w:pPr>
    </w:p>
    <w:p w14:paraId="37EDBB56" w14:textId="77777777" w:rsidR="007661B4" w:rsidRDefault="00000000">
      <w:pPr>
        <w:spacing w:before="200"/>
      </w:pPr>
      <w:r>
        <w:rPr>
          <w:i/>
          <w:color w:val="444444"/>
          <w:sz w:val="16"/>
        </w:rPr>
        <w:t>This document is prepared on behalf of the DIM3 liquidation estate. All figures regarding database size and oncological patient subsets are estimates pending data due diligence. Data access is subject to appropriate legal and institutional agreements. This document does not constitute a binding offer.</w:t>
      </w:r>
    </w:p>
    <w:sectPr w:rsidR="007661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125970">
    <w:abstractNumId w:val="8"/>
  </w:num>
  <w:num w:numId="2" w16cid:durableId="827787533">
    <w:abstractNumId w:val="6"/>
  </w:num>
  <w:num w:numId="3" w16cid:durableId="749694224">
    <w:abstractNumId w:val="5"/>
  </w:num>
  <w:num w:numId="4" w16cid:durableId="1812749044">
    <w:abstractNumId w:val="4"/>
  </w:num>
  <w:num w:numId="5" w16cid:durableId="2029791613">
    <w:abstractNumId w:val="7"/>
  </w:num>
  <w:num w:numId="6" w16cid:durableId="204488387">
    <w:abstractNumId w:val="3"/>
  </w:num>
  <w:num w:numId="7" w16cid:durableId="626014564">
    <w:abstractNumId w:val="2"/>
  </w:num>
  <w:num w:numId="8" w16cid:durableId="1938783672">
    <w:abstractNumId w:val="1"/>
  </w:num>
  <w:num w:numId="9" w16cid:durableId="144110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488"/>
    <w:rsid w:val="0015074B"/>
    <w:rsid w:val="0029639D"/>
    <w:rsid w:val="00326F90"/>
    <w:rsid w:val="00333784"/>
    <w:rsid w:val="007661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8E89"/>
  <w14:defaultImageDpi w14:val="300"/>
  <w15:docId w15:val="{41890D8B-F88F-C34D-A43F-E4E4115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Claude havaux</cp:lastModifiedBy>
  <cp:revision>2</cp:revision>
  <dcterms:created xsi:type="dcterms:W3CDTF">2013-12-23T23:15:00Z</dcterms:created>
  <dcterms:modified xsi:type="dcterms:W3CDTF">2026-05-22T17:22:00Z</dcterms:modified>
  <cp:category/>
</cp:coreProperties>
</file>