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F8B31" w14:textId="77777777" w:rsidR="00CF2C61" w:rsidRPr="000824F2" w:rsidRDefault="00CF2C61" w:rsidP="00CF2C61">
      <w:pPr>
        <w:pStyle w:val="NormalWeb"/>
        <w:rPr>
          <w:rFonts w:asciiTheme="minorHAnsi" w:hAnsiTheme="minorHAnsi"/>
        </w:rPr>
      </w:pPr>
      <w:r w:rsidRPr="000824F2">
        <w:rPr>
          <w:rFonts w:asciiTheme="minorHAnsi" w:hAnsiTheme="minorHAnsi"/>
        </w:rPr>
        <w:t>Après examen attentif de votre proposition consistant à ce que nous détenions les actions de la future société pour votre compte, nous sommes au regret de vous informer que nous ne pouvons accepter cette mission.</w:t>
      </w:r>
    </w:p>
    <w:p w14:paraId="07DBC1F4" w14:textId="77777777" w:rsidR="00CF2C61" w:rsidRPr="000824F2" w:rsidRDefault="00CF2C61" w:rsidP="00CF2C61">
      <w:pPr>
        <w:pStyle w:val="NormalWeb"/>
        <w:rPr>
          <w:rFonts w:asciiTheme="minorHAnsi" w:hAnsiTheme="minorHAnsi"/>
        </w:rPr>
      </w:pPr>
      <w:r w:rsidRPr="000824F2">
        <w:rPr>
          <w:rFonts w:asciiTheme="minorHAnsi" w:hAnsiTheme="minorHAnsi"/>
        </w:rPr>
        <w:t>Une telle organisation ferait peser sur notre société et sur les personnes concernées des risques juridiques importants, notamment en matière de responsabilité civile, fiscale et réglementaire. En France, les obligations de transparence concernant les bénéficiaires effectifs sont strictes et toute interposition d’actionnaire peut être source d’insécurité juridique.</w:t>
      </w:r>
    </w:p>
    <w:p w14:paraId="14AC5761" w14:textId="77777777" w:rsidR="00CF2C61" w:rsidRPr="000824F2" w:rsidRDefault="00CF2C61" w:rsidP="00CF2C61">
      <w:pPr>
        <w:pStyle w:val="NormalWeb"/>
        <w:rPr>
          <w:rFonts w:asciiTheme="minorHAnsi" w:hAnsiTheme="minorHAnsi"/>
        </w:rPr>
      </w:pPr>
      <w:r w:rsidRPr="000824F2">
        <w:rPr>
          <w:rFonts w:asciiTheme="minorHAnsi" w:hAnsiTheme="minorHAnsi"/>
        </w:rPr>
        <w:t>Par ailleurs, ce type de montage pourrait fragiliser la société à constituer, notamment vis-à-vis des banques, partenaires ou autorités de contrôle. Il pourrait également créer, pour vous en tant qu’investisseurs, des incertitudes quant à la pleine reconnaissance et à la protection de vos droits d’actionnaires.</w:t>
      </w:r>
    </w:p>
    <w:p w14:paraId="32A0DE62" w14:textId="77777777" w:rsidR="00CF2C61" w:rsidRPr="000824F2" w:rsidRDefault="00CF2C61" w:rsidP="00CF2C61">
      <w:pPr>
        <w:pStyle w:val="NormalWeb"/>
        <w:rPr>
          <w:rFonts w:asciiTheme="minorHAnsi" w:hAnsiTheme="minorHAnsi"/>
        </w:rPr>
      </w:pPr>
      <w:r w:rsidRPr="000824F2">
        <w:rPr>
          <w:rFonts w:asciiTheme="minorHAnsi" w:hAnsiTheme="minorHAnsi"/>
        </w:rPr>
        <w:t>Dans un souci de sécurité juridique et de pérennité du projet, nous estimons préférable d’opter pour une structuration directe, transparente et pleinement conforme au droit français.</w:t>
      </w:r>
    </w:p>
    <w:p w14:paraId="06D9B4A4" w14:textId="700D7E2F" w:rsidR="000824F2" w:rsidRPr="000824F2" w:rsidRDefault="000824F2" w:rsidP="000824F2">
      <w:pPr>
        <w:pStyle w:val="NormalWeb"/>
        <w:rPr>
          <w:rFonts w:asciiTheme="minorHAnsi" w:hAnsiTheme="minorHAnsi"/>
        </w:rPr>
      </w:pPr>
      <w:r>
        <w:rPr>
          <w:rFonts w:asciiTheme="minorHAnsi" w:hAnsiTheme="minorHAnsi"/>
        </w:rPr>
        <w:t>N</w:t>
      </w:r>
      <w:r w:rsidRPr="000824F2">
        <w:rPr>
          <w:rFonts w:asciiTheme="minorHAnsi" w:hAnsiTheme="minorHAnsi"/>
        </w:rPr>
        <w:t>ous souhaitons vous soumettre une proposition de structuration alternative, juridiquement sécurisée et conforme au droit français.</w:t>
      </w:r>
    </w:p>
    <w:p w14:paraId="68F3AF3F" w14:textId="77777777" w:rsidR="000824F2" w:rsidRPr="000824F2" w:rsidRDefault="000824F2" w:rsidP="000824F2">
      <w:pPr>
        <w:pStyle w:val="NormalWeb"/>
        <w:rPr>
          <w:rFonts w:asciiTheme="minorHAnsi" w:hAnsiTheme="minorHAnsi"/>
        </w:rPr>
      </w:pPr>
      <w:r w:rsidRPr="000824F2">
        <w:rPr>
          <w:rFonts w:asciiTheme="minorHAnsi" w:hAnsiTheme="minorHAnsi"/>
        </w:rPr>
        <w:t>Nous proposons la mise en place d’un prêt subordonné d’un montant de 100.000 euros consenti par votre société à la future SARL française.</w:t>
      </w:r>
    </w:p>
    <w:p w14:paraId="67970283" w14:textId="77777777" w:rsidR="000824F2" w:rsidRPr="000824F2" w:rsidRDefault="000824F2" w:rsidP="000824F2">
      <w:pPr>
        <w:pStyle w:val="NormalWeb"/>
        <w:rPr>
          <w:rFonts w:asciiTheme="minorHAnsi" w:hAnsiTheme="minorHAnsi"/>
        </w:rPr>
      </w:pPr>
      <w:r w:rsidRPr="000824F2">
        <w:rPr>
          <w:rFonts w:asciiTheme="minorHAnsi" w:hAnsiTheme="minorHAnsi"/>
        </w:rPr>
        <w:t>Ce prêt serait destiné exclusivement au lancement opérationnel de l’activité sur le territoire européen, notamment les démarches réglementaires, la structuration marketing et le déploiement commercial des produits Diaho.</w:t>
      </w:r>
    </w:p>
    <w:p w14:paraId="27485ABF" w14:textId="77777777" w:rsidR="000824F2" w:rsidRPr="000824F2" w:rsidRDefault="000824F2" w:rsidP="000824F2">
      <w:pPr>
        <w:pStyle w:val="NormalWeb"/>
        <w:rPr>
          <w:rFonts w:asciiTheme="minorHAnsi" w:hAnsiTheme="minorHAnsi"/>
        </w:rPr>
      </w:pPr>
      <w:r w:rsidRPr="000824F2">
        <w:rPr>
          <w:rFonts w:asciiTheme="minorHAnsi" w:hAnsiTheme="minorHAnsi"/>
        </w:rPr>
        <w:t>Le prêt serait assorti des caractéristiques suivantes :</w:t>
      </w:r>
    </w:p>
    <w:p w14:paraId="1DCE0E3B" w14:textId="77777777" w:rsidR="000824F2" w:rsidRPr="000824F2" w:rsidRDefault="000824F2" w:rsidP="000824F2">
      <w:pPr>
        <w:pStyle w:val="NormalWeb"/>
        <w:rPr>
          <w:rFonts w:asciiTheme="minorHAnsi" w:hAnsiTheme="minorHAnsi"/>
        </w:rPr>
      </w:pPr>
      <w:r w:rsidRPr="000824F2">
        <w:rPr>
          <w:rFonts w:asciiTheme="minorHAnsi" w:hAnsiTheme="minorHAnsi"/>
        </w:rPr>
        <w:t>– Subordination aux créanciers bancaires éventuels</w:t>
      </w:r>
      <w:r w:rsidRPr="000824F2">
        <w:rPr>
          <w:rFonts w:asciiTheme="minorHAnsi" w:hAnsiTheme="minorHAnsi"/>
        </w:rPr>
        <w:br/>
        <w:t>– Remboursement possible si les primo-investisseurs en font la demande</w:t>
      </w:r>
      <w:r w:rsidRPr="000824F2">
        <w:rPr>
          <w:rFonts w:asciiTheme="minorHAnsi" w:hAnsiTheme="minorHAnsi"/>
        </w:rPr>
        <w:br/>
        <w:t>– Intérêts contractuels capitalisables</w:t>
      </w:r>
      <w:r w:rsidRPr="000824F2">
        <w:rPr>
          <w:rFonts w:asciiTheme="minorHAnsi" w:hAnsiTheme="minorHAnsi"/>
        </w:rPr>
        <w:br/>
        <w:t>– Possibilité de conversion en capital à l’initiative de l’investisseur</w:t>
      </w:r>
    </w:p>
    <w:p w14:paraId="0504B3CC" w14:textId="77777777" w:rsidR="000824F2" w:rsidRPr="000824F2" w:rsidRDefault="000824F2" w:rsidP="000824F2">
      <w:pPr>
        <w:pStyle w:val="NormalWeb"/>
        <w:rPr>
          <w:rFonts w:asciiTheme="minorHAnsi" w:hAnsiTheme="minorHAnsi"/>
        </w:rPr>
      </w:pPr>
      <w:r w:rsidRPr="000824F2">
        <w:rPr>
          <w:rFonts w:asciiTheme="minorHAnsi" w:hAnsiTheme="minorHAnsi"/>
        </w:rPr>
        <w:t>La conversion serait structurée de manière à permettre à l’investisseur d’atteindre une participation cible de 40 % du capital social, en tenant compte du montant prêté et des intérêts capitalisés. Les modalités techniques (augmentation de capital réservée, valorisation retenue au moment de la conversion, calendrier, formalités) seraient définies contractuellement en concertation avec les associés fondateurs, dans un esprit d’équilibre et de sécurité juridique.</w:t>
      </w:r>
    </w:p>
    <w:p w14:paraId="20723BBA" w14:textId="77777777" w:rsidR="000824F2" w:rsidRPr="000824F2" w:rsidRDefault="000824F2" w:rsidP="000824F2">
      <w:pPr>
        <w:pStyle w:val="NormalWeb"/>
        <w:rPr>
          <w:rFonts w:asciiTheme="minorHAnsi" w:hAnsiTheme="minorHAnsi"/>
        </w:rPr>
      </w:pPr>
      <w:r w:rsidRPr="000824F2">
        <w:rPr>
          <w:rFonts w:asciiTheme="minorHAnsi" w:hAnsiTheme="minorHAnsi"/>
        </w:rPr>
        <w:t>À ce jour, le capital serait détenu à 60 % par quatre associés fondateurs à parts égales.</w:t>
      </w:r>
    </w:p>
    <w:p w14:paraId="596A2543" w14:textId="77777777" w:rsidR="000824F2" w:rsidRPr="000824F2" w:rsidRDefault="000824F2" w:rsidP="000824F2">
      <w:pPr>
        <w:pStyle w:val="NormalWeb"/>
        <w:rPr>
          <w:rFonts w:asciiTheme="minorHAnsi" w:hAnsiTheme="minorHAnsi"/>
        </w:rPr>
      </w:pPr>
      <w:r w:rsidRPr="000824F2">
        <w:rPr>
          <w:rFonts w:asciiTheme="minorHAnsi" w:hAnsiTheme="minorHAnsi"/>
        </w:rPr>
        <w:t>En cas de non-conversion du prêt, plusieurs options seraient prévues contractuellement :</w:t>
      </w:r>
      <w:r w:rsidRPr="000824F2">
        <w:rPr>
          <w:rFonts w:asciiTheme="minorHAnsi" w:hAnsiTheme="minorHAnsi"/>
        </w:rPr>
        <w:br/>
        <w:t>– remboursement du prêt,</w:t>
      </w:r>
      <w:r w:rsidRPr="000824F2">
        <w:rPr>
          <w:rFonts w:asciiTheme="minorHAnsi" w:hAnsiTheme="minorHAnsi"/>
        </w:rPr>
        <w:br/>
      </w:r>
      <w:r w:rsidRPr="000824F2">
        <w:rPr>
          <w:rFonts w:asciiTheme="minorHAnsi" w:hAnsiTheme="minorHAnsi"/>
        </w:rPr>
        <w:lastRenderedPageBreak/>
        <w:t>– rachat du prêt par les associés existants,</w:t>
      </w:r>
      <w:r w:rsidRPr="000824F2">
        <w:rPr>
          <w:rFonts w:asciiTheme="minorHAnsi" w:hAnsiTheme="minorHAnsi"/>
        </w:rPr>
        <w:br/>
        <w:t>– entrée d’un nouvel investisseur,</w:t>
      </w:r>
      <w:r w:rsidRPr="000824F2">
        <w:rPr>
          <w:rFonts w:asciiTheme="minorHAnsi" w:hAnsiTheme="minorHAnsi"/>
        </w:rPr>
        <w:br/>
        <w:t>– ou décision collective relative à la poursuite de l’activité.</w:t>
      </w:r>
    </w:p>
    <w:p w14:paraId="58245B3F" w14:textId="77777777" w:rsidR="000824F2" w:rsidRPr="000824F2" w:rsidRDefault="000824F2" w:rsidP="000824F2">
      <w:pPr>
        <w:pStyle w:val="NormalWeb"/>
        <w:rPr>
          <w:rFonts w:asciiTheme="minorHAnsi" w:hAnsiTheme="minorHAnsi"/>
        </w:rPr>
      </w:pPr>
      <w:r w:rsidRPr="000824F2">
        <w:rPr>
          <w:rFonts w:asciiTheme="minorHAnsi" w:hAnsiTheme="minorHAnsi"/>
        </w:rPr>
        <w:t>Par ailleurs, dans le cadre du partenariat commercial, il serait convenu d’un plafond d’approvisionnement en kits et instruments de lecture fournis par Diaho pour un montant maximum de 50.000 euros. Les commandes correspondantes seraient déclenchées progressivement et payables lorsque la trésorerie de la société française le permettra, garantissant ainsi une montée en charge maîtrisée.</w:t>
      </w:r>
    </w:p>
    <w:p w14:paraId="05CD6CE9" w14:textId="77777777" w:rsidR="000824F2" w:rsidRPr="000824F2" w:rsidRDefault="000824F2" w:rsidP="000824F2">
      <w:pPr>
        <w:pStyle w:val="NormalWeb"/>
        <w:rPr>
          <w:rFonts w:asciiTheme="minorHAnsi" w:hAnsiTheme="minorHAnsi"/>
        </w:rPr>
      </w:pPr>
      <w:r w:rsidRPr="000824F2">
        <w:rPr>
          <w:rFonts w:asciiTheme="minorHAnsi" w:hAnsiTheme="minorHAnsi"/>
        </w:rPr>
        <w:t>Cette structuration présente plusieurs avantages :</w:t>
      </w:r>
    </w:p>
    <w:p w14:paraId="34D7E523" w14:textId="77777777" w:rsidR="000824F2" w:rsidRPr="000824F2" w:rsidRDefault="000824F2" w:rsidP="000824F2">
      <w:pPr>
        <w:pStyle w:val="NormalWeb"/>
        <w:rPr>
          <w:rFonts w:asciiTheme="minorHAnsi" w:hAnsiTheme="minorHAnsi"/>
        </w:rPr>
      </w:pPr>
      <w:r w:rsidRPr="000824F2">
        <w:rPr>
          <w:rFonts w:asciiTheme="minorHAnsi" w:hAnsiTheme="minorHAnsi"/>
        </w:rPr>
        <w:t>– conformité au droit des sociétés français</w:t>
      </w:r>
      <w:r w:rsidRPr="000824F2">
        <w:rPr>
          <w:rFonts w:asciiTheme="minorHAnsi" w:hAnsiTheme="minorHAnsi"/>
        </w:rPr>
        <w:br/>
        <w:t>– transparence capitalistique</w:t>
      </w:r>
      <w:r w:rsidRPr="000824F2">
        <w:rPr>
          <w:rFonts w:asciiTheme="minorHAnsi" w:hAnsiTheme="minorHAnsi"/>
        </w:rPr>
        <w:br/>
        <w:t>– protection des investisseurs</w:t>
      </w:r>
      <w:r w:rsidRPr="000824F2">
        <w:rPr>
          <w:rFonts w:asciiTheme="minorHAnsi" w:hAnsiTheme="minorHAnsi"/>
        </w:rPr>
        <w:br/>
        <w:t>– alignement progressif des intérêts</w:t>
      </w:r>
      <w:r w:rsidRPr="000824F2">
        <w:rPr>
          <w:rFonts w:asciiTheme="minorHAnsi" w:hAnsiTheme="minorHAnsi"/>
        </w:rPr>
        <w:br/>
        <w:t>– sécurisation du développement commercial européen</w:t>
      </w:r>
    </w:p>
    <w:p w14:paraId="4CC6C6D4" w14:textId="77777777" w:rsidR="00CF2C61" w:rsidRPr="000824F2" w:rsidRDefault="00CF2C61"/>
    <w:sectPr w:rsidR="00CF2C61" w:rsidRPr="00082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1"/>
    <w:rsid w:val="000040FF"/>
    <w:rsid w:val="000824F2"/>
    <w:rsid w:val="00CF2C6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9AD0224"/>
  <w15:chartTrackingRefBased/>
  <w15:docId w15:val="{962BF318-3055-B543-9308-4ACBAA1B3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C61"/>
    <w:rPr>
      <w:rFonts w:eastAsiaTheme="majorEastAsia" w:cstheme="majorBidi"/>
      <w:color w:val="272727" w:themeColor="text1" w:themeTint="D8"/>
    </w:rPr>
  </w:style>
  <w:style w:type="paragraph" w:styleId="Title">
    <w:name w:val="Title"/>
    <w:basedOn w:val="Normal"/>
    <w:next w:val="Normal"/>
    <w:link w:val="TitleChar"/>
    <w:uiPriority w:val="10"/>
    <w:qFormat/>
    <w:rsid w:val="00CF2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C61"/>
    <w:pPr>
      <w:spacing w:before="160"/>
      <w:jc w:val="center"/>
    </w:pPr>
    <w:rPr>
      <w:i/>
      <w:iCs/>
      <w:color w:val="404040" w:themeColor="text1" w:themeTint="BF"/>
    </w:rPr>
  </w:style>
  <w:style w:type="character" w:customStyle="1" w:styleId="QuoteChar">
    <w:name w:val="Quote Char"/>
    <w:basedOn w:val="DefaultParagraphFont"/>
    <w:link w:val="Quote"/>
    <w:uiPriority w:val="29"/>
    <w:rsid w:val="00CF2C61"/>
    <w:rPr>
      <w:i/>
      <w:iCs/>
      <w:color w:val="404040" w:themeColor="text1" w:themeTint="BF"/>
    </w:rPr>
  </w:style>
  <w:style w:type="paragraph" w:styleId="ListParagraph">
    <w:name w:val="List Paragraph"/>
    <w:basedOn w:val="Normal"/>
    <w:uiPriority w:val="34"/>
    <w:qFormat/>
    <w:rsid w:val="00CF2C61"/>
    <w:pPr>
      <w:ind w:left="720"/>
      <w:contextualSpacing/>
    </w:pPr>
  </w:style>
  <w:style w:type="character" w:styleId="IntenseEmphasis">
    <w:name w:val="Intense Emphasis"/>
    <w:basedOn w:val="DefaultParagraphFont"/>
    <w:uiPriority w:val="21"/>
    <w:qFormat/>
    <w:rsid w:val="00CF2C61"/>
    <w:rPr>
      <w:i/>
      <w:iCs/>
      <w:color w:val="0F4761" w:themeColor="accent1" w:themeShade="BF"/>
    </w:rPr>
  </w:style>
  <w:style w:type="paragraph" w:styleId="IntenseQuote">
    <w:name w:val="Intense Quote"/>
    <w:basedOn w:val="Normal"/>
    <w:next w:val="Normal"/>
    <w:link w:val="IntenseQuoteChar"/>
    <w:uiPriority w:val="30"/>
    <w:qFormat/>
    <w:rsid w:val="00CF2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C61"/>
    <w:rPr>
      <w:i/>
      <w:iCs/>
      <w:color w:val="0F4761" w:themeColor="accent1" w:themeShade="BF"/>
    </w:rPr>
  </w:style>
  <w:style w:type="character" w:styleId="IntenseReference">
    <w:name w:val="Intense Reference"/>
    <w:basedOn w:val="DefaultParagraphFont"/>
    <w:uiPriority w:val="32"/>
    <w:qFormat/>
    <w:rsid w:val="00CF2C61"/>
    <w:rPr>
      <w:b/>
      <w:bCs/>
      <w:smallCaps/>
      <w:color w:val="0F4761" w:themeColor="accent1" w:themeShade="BF"/>
      <w:spacing w:val="5"/>
    </w:rPr>
  </w:style>
  <w:style w:type="paragraph" w:styleId="NormalWeb">
    <w:name w:val="Normal (Web)"/>
    <w:basedOn w:val="Normal"/>
    <w:uiPriority w:val="99"/>
    <w:semiHidden/>
    <w:unhideWhenUsed/>
    <w:rsid w:val="00CF2C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1</cp:revision>
  <dcterms:created xsi:type="dcterms:W3CDTF">2026-02-23T10:41:00Z</dcterms:created>
  <dcterms:modified xsi:type="dcterms:W3CDTF">2026-02-23T11:11:00Z</dcterms:modified>
</cp:coreProperties>
</file>