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955358adfaa2413482b540f3a2611f654c36450"/>
    <w:p>
      <w:pPr>
        <w:pStyle w:val="Heading1"/>
      </w:pPr>
      <w:r>
        <w:t xml:space="preserve">ARTICLES OF ASSOCIATION — BELGIAN PRIVATE LIMITED LIABILITY COMPANY</w:t>
      </w:r>
    </w:p>
    <w:p>
      <w:pPr>
        <w:pStyle w:val="BlockText"/>
      </w:pPr>
      <w:r>
        <w:rPr>
          <w:b/>
          <w:bCs/>
        </w:rPr>
        <w:t xml:space="preserve">VETALYX SRL — Belgian Companies and Associations Code (CSA)</w:t>
      </w:r>
    </w:p>
    <w:p>
      <w:pPr>
        <w:pStyle w:val="FirstParagraph"/>
      </w:pPr>
      <w:r>
        <w:rPr>
          <w:b/>
          <w:bCs/>
        </w:rPr>
        <w:t xml:space="preserve">Date :</w:t>
      </w:r>
      <w:r>
        <w:t xml:space="preserve"> </w:t>
      </w:r>
      <w:r>
        <w:t xml:space="preserve">2026-10-05 — English translation of the French version v2 (working translation — the French text prevails)</w:t>
      </w:r>
      <w:r>
        <w:t xml:space="preserve"> </w:t>
      </w:r>
      <w:r>
        <w:rPr>
          <w:b/>
          <w:bCs/>
        </w:rPr>
        <w:t xml:space="preserve">Source :</w:t>
      </w:r>
      <w:r>
        <w:t xml:space="preserve"> </w:t>
      </w:r>
      <w:r>
        <w:rPr>
          <w:rStyle w:val="VerbatimChar"/>
        </w:rPr>
        <w:t xml:space="preserve">statuts-srl-vetalyx-FR-v2.md</w:t>
      </w:r>
      <w:r>
        <w:t xml:space="preserve"> </w:t>
      </w:r>
      <w:r>
        <w:t xml:space="preserve">(French reference version)</w:t>
      </w:r>
      <w:r>
        <w:t xml:space="preserve"> </w:t>
      </w:r>
      <w:r>
        <w:rPr>
          <w:b/>
          <w:bCs/>
        </w:rPr>
        <w:t xml:space="preserve">Drafted by :</w:t>
      </w:r>
      <w:r>
        <w:t xml:space="preserve"> </w:t>
      </w:r>
      <w:r>
        <w:t xml:space="preserve">Renard 🦊 — Legal counsel VETALYX / PKA</w:t>
      </w:r>
      <w:r>
        <w:t xml:space="preserve"> </w:t>
      </w:r>
      <w:r>
        <w:rPr>
          <w:b/>
          <w:bCs/>
        </w:rPr>
        <w:t xml:space="preserve">Orchestrated by :</w:t>
      </w:r>
      <w:r>
        <w:t xml:space="preserve"> </w:t>
      </w:r>
      <w:r>
        <w:t xml:space="preserve">Dobby 🦉 — PKA orchestrator</w:t>
      </w:r>
      <w:r>
        <w:t xml:space="preserve"> </w:t>
      </w:r>
      <w:r>
        <w:rPr>
          <w:b/>
          <w:bCs/>
        </w:rPr>
        <w:t xml:space="preserve">Language :</w:t>
      </w:r>
      <w:r>
        <w:t xml:space="preserve"> </w:t>
      </w:r>
      <w:r>
        <w:t xml:space="preserve">This is a</w:t>
      </w:r>
      <w:r>
        <w:t xml:space="preserve"> </w:t>
      </w:r>
      <w:r>
        <w:rPr>
          <w:b/>
          <w:bCs/>
        </w:rPr>
        <w:t xml:space="preserve">working English translation only</w:t>
      </w:r>
      <w:r>
        <w:t xml:space="preserve">. The</w:t>
      </w:r>
      <w:r>
        <w:t xml:space="preserve"> </w:t>
      </w:r>
      <w:r>
        <w:rPr>
          <w:b/>
          <w:bCs/>
        </w:rPr>
        <w:t xml:space="preserve">French text is authoritative and prevails</w:t>
      </w:r>
      <w:r>
        <w:t xml:space="preserve"> </w:t>
      </w:r>
      <w:r>
        <w:t xml:space="preserve">in case of any discrepancy.</w:t>
      </w:r>
    </w:p>
    <w:p>
      <w:r>
        <w:pict>
          <v:rect style="width:0;height:1.5pt" o:hralign="center" o:hrstd="t" o:hr="t"/>
        </w:pict>
      </w:r>
    </w:p>
    <w:bookmarkStart w:id="15" w:name="X72abfc7692a1b1dcdee93fd62dfc677786b985e"/>
    <w:p>
      <w:pPr>
        <w:pStyle w:val="Heading2"/>
      </w:pPr>
      <w:r>
        <w:t xml:space="preserve">TITLE I — FORM, NAME, REGISTERED OFFICE, DURATION, PURPOSE</w:t>
      </w:r>
    </w:p>
    <w:bookmarkStart w:id="9" w:name="article-1-form"/>
    <w:p>
      <w:pPr>
        <w:pStyle w:val="Heading3"/>
      </w:pPr>
      <w:r>
        <w:t xml:space="preserve">Article 1 — Form</w:t>
      </w:r>
    </w:p>
    <w:p>
      <w:pPr>
        <w:pStyle w:val="FirstParagraph"/>
      </w:pPr>
      <w:r>
        <w:t xml:space="preserve">The company is incorporated as a Belgian private limited liability company (</w:t>
      </w:r>
      <w:r>
        <w:rPr>
          <w:i/>
          <w:iCs/>
        </w:rPr>
        <w:t xml:space="preserve">société à responsabilité limitée</w:t>
      </w:r>
      <w:r>
        <w:t xml:space="preserve">, SRL), governed by the Companies and Associations Code (CSA).</w:t>
      </w:r>
    </w:p>
    <w:bookmarkEnd w:id="9"/>
    <w:bookmarkStart w:id="10" w:name="article-2-name"/>
    <w:p>
      <w:pPr>
        <w:pStyle w:val="Heading3"/>
      </w:pPr>
      <w:r>
        <w:t xml:space="preserve">Article 2 — Name</w:t>
      </w:r>
    </w:p>
    <w:p>
      <w:pPr>
        <w:pStyle w:val="FirstParagraph"/>
      </w:pPr>
      <w:r>
        <w:t xml:space="preserve">The company is named « VETALYX ». In all deeds, invoices, notices, publications and other documents issued by the company, the corporate name must be preceded or followed by the indication « SRL », together with the registered office and the company number with the Crossroads Bank for Enterprises (BCE).</w:t>
      </w:r>
    </w:p>
    <w:bookmarkEnd w:id="10"/>
    <w:bookmarkStart w:id="11" w:name="article-3-registered-office"/>
    <w:p>
      <w:pPr>
        <w:pStyle w:val="Heading3"/>
      </w:pPr>
      <w:r>
        <w:t xml:space="preserve">Article 3 — Registered office</w:t>
      </w:r>
    </w:p>
    <w:p>
      <w:pPr>
        <w:pStyle w:val="FirstParagraph"/>
      </w:pPr>
      <w:r>
        <w:t xml:space="preserve">The registered office is established at Novalis Science Park, Rue de la Science, 6900 Marche-en-Famenne.</w:t>
      </w:r>
    </w:p>
    <w:p>
      <w:pPr>
        <w:pStyle w:val="BodyText"/>
      </w:pPr>
      <w:r>
        <w:t xml:space="preserve">It may be transferred to any other place in the Kingdom by decision of the board of directors, without amendment of these articles of association.</w:t>
      </w:r>
    </w:p>
    <w:bookmarkEnd w:id="11"/>
    <w:bookmarkStart w:id="12" w:name="article-4-duration"/>
    <w:p>
      <w:pPr>
        <w:pStyle w:val="Heading3"/>
      </w:pPr>
      <w:r>
        <w:t xml:space="preserve">Article 4 — Duration</w:t>
      </w:r>
    </w:p>
    <w:p>
      <w:pPr>
        <w:pStyle w:val="FirstParagraph"/>
      </w:pPr>
      <w:r>
        <w:t xml:space="preserve">The company is incorporated for an unlimited duration. It may be dissolved at any time by decision of the extraordinary general meeting.</w:t>
      </w:r>
    </w:p>
    <w:bookmarkEnd w:id="12"/>
    <w:bookmarkStart w:id="13" w:name="article-5-corporate-purpose"/>
    <w:p>
      <w:pPr>
        <w:pStyle w:val="Heading3"/>
      </w:pPr>
      <w:r>
        <w:t xml:space="preserve">Article 5 — Corporate purpose</w:t>
      </w:r>
    </w:p>
    <w:p>
      <w:pPr>
        <w:pStyle w:val="FirstParagraph"/>
      </w:pPr>
      <w:r>
        <w:t xml:space="preserve">The company’s purpose, in Belgium and abroad, on its own behalf or on behalf of third parties, is:</w:t>
      </w:r>
    </w:p>
    <w:p>
      <w:pPr>
        <w:pStyle w:val="BodyText"/>
      </w:pPr>
      <w:r>
        <w:rPr>
          <w:b/>
          <w:bCs/>
        </w:rPr>
        <w:t xml:space="preserve">Main activities :</w:t>
      </w:r>
    </w:p>
    <w:p>
      <w:pPr>
        <w:pStyle w:val="Compact"/>
        <w:numPr>
          <w:ilvl w:val="0"/>
          <w:numId w:val="1001"/>
        </w:numPr>
      </w:pPr>
      <w:r>
        <w:t xml:space="preserve">Research, development, manufacture, distribution and marketing of all products, equipment, consumables, reagents and instruments intended for veterinary diagnostics, in particular rapid allergy detection tests for companion animals, livestock and equids.</w:t>
      </w:r>
    </w:p>
    <w:p>
      <w:pPr>
        <w:pStyle w:val="Compact"/>
        <w:numPr>
          <w:ilvl w:val="0"/>
          <w:numId w:val="1001"/>
        </w:numPr>
      </w:pPr>
      <w:r>
        <w:t xml:space="preserve">Research, development, formulation, distribution and marketing of food supplements for animals, veterinary dietetic products, nutraceuticals.</w:t>
      </w:r>
    </w:p>
    <w:p>
      <w:pPr>
        <w:pStyle w:val="Compact"/>
        <w:numPr>
          <w:ilvl w:val="0"/>
          <w:numId w:val="1001"/>
        </w:numPr>
      </w:pPr>
      <w:r>
        <w:t xml:space="preserve">Research, development, import, distribution and marketing of veterinary medicinal products, veterinary medical devices and animal health products.</w:t>
      </w:r>
    </w:p>
    <w:p>
      <w:pPr>
        <w:pStyle w:val="Compact"/>
        <w:numPr>
          <w:ilvl w:val="0"/>
          <w:numId w:val="1001"/>
        </w:numPr>
      </w:pPr>
      <w:r>
        <w:t xml:space="preserve">Provision of veterinary services: consulting, training, audit, expertise, clinical research, screening, telemedicine.</w:t>
      </w:r>
    </w:p>
    <w:p>
      <w:pPr>
        <w:pStyle w:val="Compact"/>
        <w:numPr>
          <w:ilvl w:val="0"/>
          <w:numId w:val="1001"/>
        </w:numPr>
      </w:pPr>
      <w:r>
        <w:t xml:space="preserve">Regulatory representation of foreign manufacturers on the European markets (REP mandate, registrations, pharmacovigilance).</w:t>
      </w:r>
    </w:p>
    <w:p>
      <w:pPr>
        <w:pStyle w:val="Compact"/>
        <w:numPr>
          <w:ilvl w:val="0"/>
          <w:numId w:val="1001"/>
        </w:numPr>
      </w:pPr>
      <w:r>
        <w:t xml:space="preserve">Conclusion of strategic partnerships: exclusive distribution, licensing, franchising, joint ventures.</w:t>
      </w:r>
    </w:p>
    <w:p>
      <w:pPr>
        <w:pStyle w:val="FirstParagraph"/>
      </w:pPr>
      <w:r>
        <w:rPr>
          <w:b/>
          <w:bCs/>
        </w:rPr>
        <w:t xml:space="preserve">Related activities :</w:t>
      </w:r>
    </w:p>
    <w:p>
      <w:pPr>
        <w:pStyle w:val="Compact"/>
        <w:numPr>
          <w:ilvl w:val="0"/>
          <w:numId w:val="1002"/>
        </w:numPr>
      </w:pPr>
      <w:r>
        <w:t xml:space="preserve">Real estate investment: acquisition, holding, management, rental and disposal of real property.</w:t>
      </w:r>
    </w:p>
    <w:p>
      <w:pPr>
        <w:pStyle w:val="Compact"/>
        <w:numPr>
          <w:ilvl w:val="0"/>
          <w:numId w:val="1002"/>
        </w:numPr>
      </w:pPr>
      <w:r>
        <w:t xml:space="preserve">Acquisition of participations in any Belgian or foreign companies.</w:t>
      </w:r>
    </w:p>
    <w:p>
      <w:pPr>
        <w:pStyle w:val="Compact"/>
        <w:numPr>
          <w:ilvl w:val="0"/>
          <w:numId w:val="1002"/>
        </w:numPr>
      </w:pPr>
      <w:r>
        <w:t xml:space="preserve">Management of subsidiaries and provision of administrative, financial, commercial and technical services.</w:t>
      </w:r>
    </w:p>
    <w:p>
      <w:pPr>
        <w:pStyle w:val="Compact"/>
        <w:numPr>
          <w:ilvl w:val="0"/>
          <w:numId w:val="1002"/>
        </w:numPr>
      </w:pPr>
      <w:r>
        <w:t xml:space="preserve">Granting of guarantees and security interests for related companies.</w:t>
      </w:r>
    </w:p>
    <w:p>
      <w:pPr>
        <w:pStyle w:val="Compact"/>
        <w:numPr>
          <w:ilvl w:val="0"/>
          <w:numId w:val="1002"/>
        </w:numPr>
      </w:pPr>
      <w:r>
        <w:t xml:space="preserve">Consulting, study, research and training in the fields related to the corporate purpose.</w:t>
      </w:r>
    </w:p>
    <w:p>
      <w:pPr>
        <w:pStyle w:val="Compact"/>
        <w:numPr>
          <w:ilvl w:val="0"/>
          <w:numId w:val="1002"/>
        </w:numPr>
      </w:pPr>
      <w:r>
        <w:t xml:space="preserve">Sweep-up clause: all operations directly or indirectly related to the corporate purpose.</w:t>
      </w:r>
    </w:p>
    <w:bookmarkEnd w:id="13"/>
    <w:bookmarkStart w:id="14" w:name="article-6-french-subsidiary"/>
    <w:p>
      <w:pPr>
        <w:pStyle w:val="Heading3"/>
      </w:pPr>
      <w:r>
        <w:t xml:space="preserve">Article 6 — French subsidiary</w:t>
      </w:r>
    </w:p>
    <w:p>
      <w:pPr>
        <w:pStyle w:val="FirstParagraph"/>
      </w:pPr>
      <w:r>
        <w:t xml:space="preserve">Planned creation of a subsidiary under French law. Its form, name, registered office and purpose are determined by an extraordinary general meeting convened by the board of directors in due course.</w:t>
      </w:r>
    </w:p>
    <w:p>
      <w:r>
        <w:pict>
          <v:rect style="width:0;height:1.5pt" o:hralign="center" o:hrstd="t" o:hr="t"/>
        </w:pict>
      </w:r>
    </w:p>
    <w:bookmarkEnd w:id="14"/>
    <w:bookmarkEnd w:id="15"/>
    <w:bookmarkStart w:id="19" w:name="title-ii-contributions-capital-shares"/>
    <w:p>
      <w:pPr>
        <w:pStyle w:val="Heading2"/>
      </w:pPr>
      <w:r>
        <w:t xml:space="preserve">TITLE II — CONTRIBUTIONS, CAPITAL, SHARES</w:t>
      </w:r>
    </w:p>
    <w:bookmarkStart w:id="16" w:name="article-7-contributions"/>
    <w:p>
      <w:pPr>
        <w:pStyle w:val="Heading3"/>
      </w:pPr>
      <w:r>
        <w:t xml:space="preserve">Article 7 — Contributions</w:t>
      </w:r>
    </w:p>
    <w:p>
      <w:pPr>
        <w:pStyle w:val="FirstParagraph"/>
      </w:pPr>
      <w:r>
        <w:t xml:space="preserve">The founders contribute to the company the following sums, fully paid 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Founder</w:t>
            </w:r>
          </w:p>
        </w:tc>
        <w:tc>
          <w:tcPr/>
          <w:p>
            <w:pPr>
              <w:pStyle w:val="Compact"/>
            </w:pPr>
            <w:r>
              <w:t xml:space="preserve">Cash contribution</w:t>
            </w:r>
          </w:p>
        </w:tc>
        <w:tc>
          <w:tcPr/>
          <w:p>
            <w:pPr>
              <w:pStyle w:val="Compact"/>
            </w:pPr>
            <w:r>
              <w:t xml:space="preserve">Shares allotted</w:t>
            </w:r>
          </w:p>
        </w:tc>
      </w:tr>
      <w:tr>
        <w:tc>
          <w:tcPr/>
          <w:p>
            <w:pPr>
              <w:pStyle w:val="Compact"/>
            </w:pPr>
            <w:r>
              <w:t xml:space="preserve">AB Advices (Alain Bosseloir)</w:t>
            </w:r>
          </w:p>
        </w:tc>
        <w:tc>
          <w:tcPr/>
          <w:p>
            <w:pPr>
              <w:pStyle w:val="Compact"/>
            </w:pPr>
            <w:r>
              <w:t xml:space="preserve">600 EUR</w:t>
            </w:r>
          </w:p>
        </w:tc>
        <w:tc>
          <w:tcPr/>
          <w:p>
            <w:pPr>
              <w:pStyle w:val="Compact"/>
            </w:pPr>
            <w:r>
              <w:t xml:space="preserve">600 shares</w:t>
            </w:r>
          </w:p>
        </w:tc>
      </w:tr>
      <w:tr>
        <w:tc>
          <w:tcPr/>
          <w:p>
            <w:pPr>
              <w:pStyle w:val="Compact"/>
            </w:pPr>
            <w:r>
              <w:t xml:space="preserve">Jean-Claude HAVAUX</w:t>
            </w:r>
          </w:p>
        </w:tc>
        <w:tc>
          <w:tcPr/>
          <w:p>
            <w:pPr>
              <w:pStyle w:val="Compact"/>
            </w:pPr>
            <w:r>
              <w:t xml:space="preserve">600 EUR</w:t>
            </w:r>
          </w:p>
        </w:tc>
        <w:tc>
          <w:tcPr/>
          <w:p>
            <w:pPr>
              <w:pStyle w:val="Compact"/>
            </w:pPr>
            <w:r>
              <w:t xml:space="preserve">600 shares</w:t>
            </w:r>
          </w:p>
        </w:tc>
      </w:tr>
      <w:tr>
        <w:tc>
          <w:tcPr/>
          <w:p>
            <w:pPr>
              <w:pStyle w:val="Compact"/>
            </w:pPr>
            <w:r>
              <w:t xml:space="preserve">Peiwen QI</w:t>
            </w:r>
          </w:p>
        </w:tc>
        <w:tc>
          <w:tcPr/>
          <w:p>
            <w:pPr>
              <w:pStyle w:val="Compact"/>
            </w:pPr>
            <w:r>
              <w:t xml:space="preserve">600 EUR</w:t>
            </w:r>
          </w:p>
        </w:tc>
        <w:tc>
          <w:tcPr/>
          <w:p>
            <w:pPr>
              <w:pStyle w:val="Compact"/>
            </w:pPr>
            <w:r>
              <w:t xml:space="preserve">600 shares</w:t>
            </w:r>
          </w:p>
        </w:tc>
      </w:tr>
      <w:tr>
        <w:tc>
          <w:tcPr/>
          <w:p>
            <w:pPr>
              <w:pStyle w:val="Compact"/>
            </w:pPr>
            <w:r>
              <w:t xml:space="preserve">Jacques NOURY</w:t>
            </w:r>
          </w:p>
        </w:tc>
        <w:tc>
          <w:tcPr/>
          <w:p>
            <w:pPr>
              <w:pStyle w:val="Compact"/>
            </w:pPr>
            <w:r>
              <w:t xml:space="preserve">600 EUR</w:t>
            </w:r>
          </w:p>
        </w:tc>
        <w:tc>
          <w:tcPr/>
          <w:p>
            <w:pPr>
              <w:pStyle w:val="Compact"/>
            </w:pPr>
            <w:r>
              <w:t xml:space="preserve">600 shares</w:t>
            </w:r>
          </w:p>
        </w:tc>
      </w:tr>
      <w:tr>
        <w:tc>
          <w:tcPr/>
          <w:p>
            <w:pPr>
              <w:pStyle w:val="Compact"/>
            </w:pPr>
            <w:r>
              <w:t xml:space="preserve">Diaho</w:t>
            </w:r>
          </w:p>
        </w:tc>
        <w:tc>
          <w:tcPr/>
          <w:p>
            <w:pPr>
              <w:pStyle w:val="Compact"/>
            </w:pPr>
            <w:r>
              <w:t xml:space="preserve">1 600 EUR</w:t>
            </w:r>
          </w:p>
        </w:tc>
        <w:tc>
          <w:tcPr/>
          <w:p>
            <w:pPr>
              <w:pStyle w:val="Compact"/>
            </w:pPr>
            <w:r>
              <w:t xml:space="preserve">1 600 shares</w:t>
            </w:r>
          </w:p>
        </w:tc>
      </w:tr>
      <w:tr>
        <w:tc>
          <w:tcPr/>
          <w:p>
            <w:pPr>
              <w:pStyle w:val="Compact"/>
            </w:pPr>
            <w:r>
              <w:rPr>
                <w:b/>
                <w:bCs/>
              </w:rPr>
              <w:t xml:space="preserve">Total</w:t>
            </w:r>
          </w:p>
        </w:tc>
        <w:tc>
          <w:tcPr/>
          <w:p>
            <w:pPr>
              <w:pStyle w:val="Compact"/>
            </w:pPr>
            <w:r>
              <w:rPr>
                <w:b/>
                <w:bCs/>
              </w:rPr>
              <w:t xml:space="preserve">4 000 EUR</w:t>
            </w:r>
          </w:p>
        </w:tc>
        <w:tc>
          <w:tcPr/>
          <w:p>
            <w:pPr>
              <w:pStyle w:val="Compact"/>
            </w:pPr>
            <w:r>
              <w:rPr>
                <w:b/>
                <w:bCs/>
              </w:rPr>
              <w:t xml:space="preserve">4 000 shares</w:t>
            </w:r>
          </w:p>
        </w:tc>
      </w:tr>
    </w:tbl>
    <w:p>
      <w:pPr>
        <w:pStyle w:val="BodyText"/>
      </w:pPr>
      <w:r>
        <w:t xml:space="preserve">These sums have been deposited to the credit of an account opened in the name of the company in formation with</w:t>
      </w:r>
      <w:r>
        <w:t xml:space="preserve"> </w:t>
      </w:r>
      <w:r>
        <w:rPr>
          <w:b/>
          <w:bCs/>
        </w:rPr>
        <w:t xml:space="preserve">BNP Paribas, Beaufays branch (Belgium)</w:t>
      </w:r>
      <w:r>
        <w:t xml:space="preserve">.</w:t>
      </w:r>
    </w:p>
    <w:p>
      <w:pPr>
        <w:pStyle w:val="BlockText"/>
      </w:pPr>
      <w:r>
        <w:rPr>
          <w:b/>
          <w:bCs/>
        </w:rPr>
        <w:t xml:space="preserve">Subscribed capital :</w:t>
      </w:r>
      <w:r>
        <w:t xml:space="preserve"> </w:t>
      </w:r>
      <w:r>
        <w:t xml:space="preserve">The share capital is fixed at</w:t>
      </w:r>
      <w:r>
        <w:t xml:space="preserve"> </w:t>
      </w:r>
      <w:r>
        <w:rPr>
          <w:b/>
          <w:bCs/>
        </w:rPr>
        <w:t xml:space="preserve">10 000 euros</w:t>
      </w:r>
      <w:r>
        <w:t xml:space="preserve">, of which</w:t>
      </w:r>
      <w:r>
        <w:t xml:space="preserve"> </w:t>
      </w:r>
      <w:r>
        <w:rPr>
          <w:b/>
          <w:bCs/>
        </w:rPr>
        <w:t xml:space="preserve">4 000 euros are paid up</w:t>
      </w:r>
      <w:r>
        <w:t xml:space="preserve"> </w:t>
      </w:r>
      <w:r>
        <w:t xml:space="preserve">upon incorporation (as per the table above). The remaining</w:t>
      </w:r>
      <w:r>
        <w:t xml:space="preserve"> </w:t>
      </w:r>
      <w:r>
        <w:rPr>
          <w:b/>
          <w:bCs/>
        </w:rPr>
        <w:t xml:space="preserve">6 000 euros</w:t>
      </w:r>
      <w:r>
        <w:t xml:space="preserve"> </w:t>
      </w:r>
      <w:r>
        <w:t xml:space="preserve">will be paid up upon call by the board of directors, in proportion to each founder’s participation.</w:t>
      </w:r>
    </w:p>
    <w:bookmarkEnd w:id="16"/>
    <w:bookmarkStart w:id="17" w:name="article-8-share-capital"/>
    <w:p>
      <w:pPr>
        <w:pStyle w:val="Heading3"/>
      </w:pPr>
      <w:r>
        <w:t xml:space="preserve">Article 8 — Share capital</w:t>
      </w:r>
    </w:p>
    <w:p>
      <w:pPr>
        <w:pStyle w:val="FirstParagraph"/>
      </w:pPr>
      <w:r>
        <w:t xml:space="preserve">The share capital is fixed at</w:t>
      </w:r>
      <w:r>
        <w:t xml:space="preserve"> </w:t>
      </w:r>
      <w:r>
        <w:rPr>
          <w:b/>
          <w:bCs/>
        </w:rPr>
        <w:t xml:space="preserve">10 000 euros</w:t>
      </w:r>
      <w:r>
        <w:t xml:space="preserve"> </w:t>
      </w:r>
      <w:r>
        <w:t xml:space="preserve">(ten thousand euros), represented by 10 000 shares without nominal value. Upon incorporation,</w:t>
      </w:r>
      <w:r>
        <w:t xml:space="preserve"> </w:t>
      </w:r>
      <w:r>
        <w:rPr>
          <w:b/>
          <w:bCs/>
        </w:rPr>
        <w:t xml:space="preserve">4 000 shares are fully paid up</w:t>
      </w:r>
      <w:r>
        <w:t xml:space="preserve"> </w:t>
      </w:r>
      <w:r>
        <w:t xml:space="preserve">(4 000 euros). The remaining 6 000 shares will be paid up upon call by the board of directors. The capital may be increased or reduced by decision of the extraordinary general meeting in accordance with the CSA.</w:t>
      </w:r>
    </w:p>
    <w:bookmarkEnd w:id="17"/>
    <w:bookmarkStart w:id="18" w:name="article-9-shares-rights-and-obligations"/>
    <w:p>
      <w:pPr>
        <w:pStyle w:val="Heading3"/>
      </w:pPr>
      <w:r>
        <w:t xml:space="preserve">Article 9 — Shares — rights and obligations</w:t>
      </w:r>
    </w:p>
    <w:p>
      <w:pPr>
        <w:pStyle w:val="FirstParagraph"/>
      </w:pPr>
      <w:r>
        <w:t xml:space="preserve">Each share confers a proportional right in the company’s assets and profits, and one vote at general meetings. Shares are indivisible vis-à-vis the company. Co-owners in indivision must be represented by a single proxy. In the event of usufruct, the voting right belongs to the bare owner for all decisions, except for the allocation of results, where it belongs to the usufructuary.</w:t>
      </w:r>
    </w:p>
    <w:p>
      <w:r>
        <w:pict>
          <v:rect style="width:0;height:1.5pt" o:hralign="center" o:hrstd="t" o:hr="t"/>
        </w:pict>
      </w:r>
    </w:p>
    <w:bookmarkEnd w:id="18"/>
    <w:bookmarkEnd w:id="19"/>
    <w:bookmarkStart w:id="24" w:name="X75e8042152e449029225c9838a98859c6ab613d"/>
    <w:p>
      <w:pPr>
        <w:pStyle w:val="Heading2"/>
      </w:pPr>
      <w:r>
        <w:t xml:space="preserve">TITLE III — TRANSFER AND TRANSMISSION OF SHARES</w:t>
      </w:r>
    </w:p>
    <w:bookmarkStart w:id="20" w:name="article-10-transfer-between-shareholders"/>
    <w:p>
      <w:pPr>
        <w:pStyle w:val="Heading3"/>
      </w:pPr>
      <w:r>
        <w:t xml:space="preserve">Article 10 — Transfer between shareholders</w:t>
      </w:r>
    </w:p>
    <w:p>
      <w:pPr>
        <w:pStyle w:val="FirstParagraph"/>
      </w:pPr>
      <w:r>
        <w:t xml:space="preserve">Shares are freely transferable between shareholders, subject to the provisions of the Shareholders’ Agreement.</w:t>
      </w:r>
    </w:p>
    <w:bookmarkEnd w:id="20"/>
    <w:bookmarkStart w:id="21" w:name="X25de36e7fc063a5e05f9df6708fb3d8486216a8"/>
    <w:p>
      <w:pPr>
        <w:pStyle w:val="Heading3"/>
      </w:pPr>
      <w:r>
        <w:t xml:space="preserve">Article 11 — Transfer to third parties or to a spouse</w:t>
      </w:r>
    </w:p>
    <w:p>
      <w:pPr>
        <w:pStyle w:val="FirstParagraph"/>
      </w:pPr>
      <w:r>
        <w:t xml:space="preserve">Any transfer to a third party, a spouse, an ascendant or a descendant of a shareholder is subject to the prior approval of the general meeting. The request is notified by registered letter indicating the identity of the transferee, the number of shares, the price and the conditions.</w:t>
      </w:r>
    </w:p>
    <w:p>
      <w:pPr>
        <w:pStyle w:val="BodyText"/>
      </w:pPr>
      <w:r>
        <w:t xml:space="preserve">The general meeting decides within 30 days. The decision is taken by a majority representing at least</w:t>
      </w:r>
      <w:r>
        <w:t xml:space="preserve"> </w:t>
      </w:r>
      <w:r>
        <w:rPr>
          <w:b/>
          <w:bCs/>
        </w:rPr>
        <w:t xml:space="preserve">50 % of the capital</w:t>
      </w:r>
      <w:r>
        <w:t xml:space="preserve">. The transferor does not take part in the vote. In the event of refusal, the remaining shareholders purchase the shares within 3 months; failing which, the approval is deemed granted.</w:t>
      </w:r>
    </w:p>
    <w:bookmarkEnd w:id="21"/>
    <w:bookmarkStart w:id="22" w:name="article-12-death-incapacity-divorce"/>
    <w:p>
      <w:pPr>
        <w:pStyle w:val="Heading3"/>
      </w:pPr>
      <w:r>
        <w:t xml:space="preserve">Article 12 — Death, incapacity, divorce</w:t>
      </w:r>
    </w:p>
    <w:p>
      <w:pPr>
        <w:pStyle w:val="FirstParagraph"/>
      </w:pPr>
      <w:r>
        <w:t xml:space="preserve">In the event of death, the company continues with the surviving shareholders and the heirs, subject to approval. In the event of refusal, the heirs retain the financial rights but without voting rights until the buy-back in accordance with the Shareholders’ Agreement.</w:t>
      </w:r>
    </w:p>
    <w:p>
      <w:pPr>
        <w:pStyle w:val="BodyText"/>
      </w:pPr>
      <w:r>
        <w:t xml:space="preserve">In the event of divorce or liquidation of the matrimonial regime, the shares allotted to the spouse are subject to approval under the same conditions.</w:t>
      </w:r>
    </w:p>
    <w:bookmarkEnd w:id="22"/>
    <w:bookmarkStart w:id="23" w:name="article-13-opposability-of-the-transfer"/>
    <w:p>
      <w:pPr>
        <w:pStyle w:val="Heading3"/>
      </w:pPr>
      <w:r>
        <w:t xml:space="preserve">Article 13 — Opposability of the transfer</w:t>
      </w:r>
    </w:p>
    <w:p>
      <w:pPr>
        <w:pStyle w:val="FirstParagraph"/>
      </w:pPr>
      <w:r>
        <w:t xml:space="preserve">The transfer is opposable to the company after notification by registered letter and entry in the share register kept at the registered office.</w:t>
      </w:r>
    </w:p>
    <w:p>
      <w:r>
        <w:pict>
          <v:rect style="width:0;height:1.5pt" o:hralign="center" o:hrstd="t" o:hr="t"/>
        </w:pict>
      </w:r>
    </w:p>
    <w:bookmarkEnd w:id="23"/>
    <w:bookmarkEnd w:id="24"/>
    <w:bookmarkStart w:id="30" w:name="title-iv-administration"/>
    <w:p>
      <w:pPr>
        <w:pStyle w:val="Heading2"/>
      </w:pPr>
      <w:r>
        <w:t xml:space="preserve">TITLE IV — ADMINISTRATION</w:t>
      </w:r>
    </w:p>
    <w:bookmarkStart w:id="25" w:name="article-14-board-of-directors"/>
    <w:p>
      <w:pPr>
        <w:pStyle w:val="Heading3"/>
      </w:pPr>
      <w:r>
        <w:t xml:space="preserve">Article 14 — Board of directors</w:t>
      </w:r>
    </w:p>
    <w:p>
      <w:pPr>
        <w:pStyle w:val="FirstParagraph"/>
      </w:pPr>
      <w:r>
        <w:t xml:space="preserve">The company is administered by a board of directors of one or more directors, appointed by the general meeting. In the event of several directors, they form a college electing a chairman. The parties may replace a director position with an observer position.</w:t>
      </w:r>
    </w:p>
    <w:bookmarkEnd w:id="25"/>
    <w:bookmarkStart w:id="26" w:name="article-15-powers"/>
    <w:p>
      <w:pPr>
        <w:pStyle w:val="Heading3"/>
      </w:pPr>
      <w:r>
        <w:t xml:space="preserve">Article 15 — Powers</w:t>
      </w:r>
    </w:p>
    <w:p>
      <w:pPr>
        <w:pStyle w:val="FirstParagraph"/>
      </w:pPr>
      <w:r>
        <w:t xml:space="preserve">The board of directors has all powers necessary to achieve the corporate purpose, except those reserved by law or the articles of association to the general meeting. The company is bound by the acts of a director acting alone, even beyond the corporate purpose, except where the third party had knowledge of the excess.</w:t>
      </w:r>
    </w:p>
    <w:p>
      <w:pPr>
        <w:pStyle w:val="BodyText"/>
      </w:pPr>
      <w:r>
        <w:t xml:space="preserve">For expenditures exceeding</w:t>
      </w:r>
      <w:r>
        <w:t xml:space="preserve"> </w:t>
      </w:r>
      <w:r>
        <w:rPr>
          <w:b/>
          <w:bCs/>
        </w:rPr>
        <w:t xml:space="preserve">10 000 euros</w:t>
      </w:r>
      <w:r>
        <w:t xml:space="preserve"> </w:t>
      </w:r>
      <w:r>
        <w:t xml:space="preserve">in the context of daily management and investment, the expenditure must be authorised in advance by the</w:t>
      </w:r>
      <w:r>
        <w:t xml:space="preserve"> </w:t>
      </w:r>
      <w:r>
        <w:rPr>
          <w:b/>
          <w:bCs/>
        </w:rPr>
        <w:t xml:space="preserve">signature of 2 directors</w:t>
      </w:r>
      <w:r>
        <w:t xml:space="preserve">. For expenditures exceeding</w:t>
      </w:r>
      <w:r>
        <w:t xml:space="preserve"> </w:t>
      </w:r>
      <w:r>
        <w:rPr>
          <w:b/>
          <w:bCs/>
        </w:rPr>
        <w:t xml:space="preserve">30 000 euros</w:t>
      </w:r>
      <w:r>
        <w:t xml:space="preserve">, the</w:t>
      </w:r>
      <w:r>
        <w:t xml:space="preserve"> </w:t>
      </w:r>
      <w:r>
        <w:rPr>
          <w:b/>
          <w:bCs/>
        </w:rPr>
        <w:t xml:space="preserve">prior approval of the board of directors</w:t>
      </w:r>
      <w:r>
        <w:t xml:space="preserve"> </w:t>
      </w:r>
      <w:r>
        <w:t xml:space="preserve">is required. Depending on the evolution of operations, these ceilings will be revised.</w:t>
      </w:r>
    </w:p>
    <w:bookmarkEnd w:id="26"/>
    <w:bookmarkStart w:id="27" w:name="article-16-daily-management"/>
    <w:p>
      <w:pPr>
        <w:pStyle w:val="Heading3"/>
      </w:pPr>
      <w:r>
        <w:t xml:space="preserve">Article 16 — Daily management</w:t>
      </w:r>
    </w:p>
    <w:p>
      <w:pPr>
        <w:pStyle w:val="FirstParagraph"/>
      </w:pPr>
      <w:r>
        <w:t xml:space="preserve">The board may delegate daily management to one or more directors or agents.</w:t>
      </w:r>
    </w:p>
    <w:bookmarkEnd w:id="27"/>
    <w:bookmarkStart w:id="28" w:name="article-17-remuneration"/>
    <w:p>
      <w:pPr>
        <w:pStyle w:val="Heading3"/>
      </w:pPr>
      <w:r>
        <w:t xml:space="preserve">Article 17 — Remuneration</w:t>
      </w:r>
    </w:p>
    <w:p>
      <w:pPr>
        <w:pStyle w:val="FirstParagraph"/>
      </w:pPr>
      <w:r>
        <w:t xml:space="preserve">The remuneration of the directors is fixed by the general meeting.</w:t>
      </w:r>
    </w:p>
    <w:bookmarkEnd w:id="28"/>
    <w:bookmarkStart w:id="29" w:name="article-18-regulated-transactions"/>
    <w:p>
      <w:pPr>
        <w:pStyle w:val="Heading3"/>
      </w:pPr>
      <w:r>
        <w:t xml:space="preserve">Article 18 — Regulated transactions</w:t>
      </w:r>
    </w:p>
    <w:p>
      <w:pPr>
        <w:pStyle w:val="FirstParagraph"/>
      </w:pPr>
      <w:r>
        <w:t xml:space="preserve">Any transaction between the company and a director having a direct or indirect interest is subject to the prior authorisation of the board, the director concerned not taking part in the vote. These transactions are brought to the attention of the general meeting in the management report.</w:t>
      </w:r>
    </w:p>
    <w:p>
      <w:r>
        <w:pict>
          <v:rect style="width:0;height:1.5pt" o:hralign="center" o:hrstd="t" o:hr="t"/>
        </w:pict>
      </w:r>
    </w:p>
    <w:bookmarkEnd w:id="29"/>
    <w:bookmarkEnd w:id="30"/>
    <w:bookmarkStart w:id="32" w:name="title-v-control"/>
    <w:p>
      <w:pPr>
        <w:pStyle w:val="Heading2"/>
      </w:pPr>
      <w:r>
        <w:t xml:space="preserve">TITLE V — CONTROL</w:t>
      </w:r>
    </w:p>
    <w:bookmarkStart w:id="31" w:name="article-19-statutory-auditor"/>
    <w:p>
      <w:pPr>
        <w:pStyle w:val="Heading3"/>
      </w:pPr>
      <w:r>
        <w:t xml:space="preserve">Article 19 — Statutory auditor</w:t>
      </w:r>
    </w:p>
    <w:p>
      <w:pPr>
        <w:pStyle w:val="FirstParagraph"/>
      </w:pPr>
      <w:r>
        <w:t xml:space="preserve">The company may appoint a statutory auditor in accordance with the CSA. The appointment is mandatory once the legal thresholds are exceeded. Term of 3 years, renewable.</w:t>
      </w:r>
    </w:p>
    <w:p>
      <w:r>
        <w:pict>
          <v:rect style="width:0;height:1.5pt" o:hralign="center" o:hrstd="t" o:hr="t"/>
        </w:pict>
      </w:r>
    </w:p>
    <w:bookmarkEnd w:id="31"/>
    <w:bookmarkEnd w:id="32"/>
    <w:bookmarkStart w:id="36" w:name="title-vi-general-meetings"/>
    <w:p>
      <w:pPr>
        <w:pStyle w:val="Heading2"/>
      </w:pPr>
      <w:r>
        <w:t xml:space="preserve">TITLE VI — GENERAL MEETINGS</w:t>
      </w:r>
    </w:p>
    <w:bookmarkStart w:id="33" w:name="article-20-ordinary-general-meeting"/>
    <w:p>
      <w:pPr>
        <w:pStyle w:val="Heading3"/>
      </w:pPr>
      <w:r>
        <w:t xml:space="preserve">Article 20 — Ordinary general meeting</w:t>
      </w:r>
    </w:p>
    <w:p>
      <w:pPr>
        <w:pStyle w:val="FirstParagraph"/>
      </w:pPr>
      <w:r>
        <w:t xml:space="preserve">Annual meeting within 6 months following the close of the financial year. Convened 15 days in advance. Each shareholder may be represented. Decisions by simple majority.</w:t>
      </w:r>
    </w:p>
    <w:bookmarkEnd w:id="33"/>
    <w:bookmarkStart w:id="34" w:name="article-21-extraordinary-general-meeting"/>
    <w:p>
      <w:pPr>
        <w:pStyle w:val="Heading3"/>
      </w:pPr>
      <w:r>
        <w:t xml:space="preserve">Article 21 — Extraordinary general meeting</w:t>
      </w:r>
    </w:p>
    <w:p>
      <w:pPr>
        <w:pStyle w:val="FirstParagraph"/>
      </w:pPr>
      <w:r>
        <w:t xml:space="preserve">Decides on amendments to the articles of association, the capital and dissolution. Attendance quorum: 50 % of the capital. Decisions by a 3/4 majority.</w:t>
      </w:r>
    </w:p>
    <w:bookmarkEnd w:id="34"/>
    <w:bookmarkStart w:id="35" w:name="article-22-minutes"/>
    <w:p>
      <w:pPr>
        <w:pStyle w:val="Heading3"/>
      </w:pPr>
      <w:r>
        <w:t xml:space="preserve">Article 22 — Minutes</w:t>
      </w:r>
    </w:p>
    <w:p>
      <w:pPr>
        <w:pStyle w:val="FirstParagraph"/>
      </w:pPr>
      <w:r>
        <w:t xml:space="preserve">Signed by the chairman and one shareholder, kept at the registered office in a register of meetings.</w:t>
      </w:r>
    </w:p>
    <w:p>
      <w:r>
        <w:pict>
          <v:rect style="width:0;height:1.5pt" o:hralign="center" o:hrstd="t" o:hr="t"/>
        </w:pict>
      </w:r>
    </w:p>
    <w:bookmarkEnd w:id="35"/>
    <w:bookmarkEnd w:id="36"/>
    <w:bookmarkStart w:id="40" w:name="Xef0aca5b71e1d229ad3d60d05acdb8da9f9a968"/>
    <w:p>
      <w:pPr>
        <w:pStyle w:val="Heading2"/>
      </w:pPr>
      <w:r>
        <w:t xml:space="preserve">TITLE VII — FINANCIAL YEAR, ACCOUNTS, ALLOCATION</w:t>
      </w:r>
    </w:p>
    <w:bookmarkStart w:id="37" w:name="article-23-financial-year"/>
    <w:p>
      <w:pPr>
        <w:pStyle w:val="Heading3"/>
      </w:pPr>
      <w:r>
        <w:t xml:space="preserve">Article 23 — Financial year</w:t>
      </w:r>
    </w:p>
    <w:p>
      <w:pPr>
        <w:pStyle w:val="FirstParagraph"/>
      </w:pPr>
      <w:r>
        <w:t xml:space="preserve">From 1 January to 31 December. First financial year: from incorporation to 31 December of the following year. (A closing date in the first quarter may also be set.)</w:t>
      </w:r>
    </w:p>
    <w:bookmarkEnd w:id="37"/>
    <w:bookmarkStart w:id="38" w:name="article-24-annual-accounts"/>
    <w:p>
      <w:pPr>
        <w:pStyle w:val="Heading3"/>
      </w:pPr>
      <w:r>
        <w:t xml:space="preserve">Article 24 — Annual accounts</w:t>
      </w:r>
    </w:p>
    <w:p>
      <w:pPr>
        <w:pStyle w:val="FirstParagraph"/>
      </w:pPr>
      <w:r>
        <w:t xml:space="preserve">The board of directors prepares the inventory, the annual accounts and the management report in accordance with the CSA. They are sent to the shareholders together with the convening notice.</w:t>
      </w:r>
    </w:p>
    <w:bookmarkEnd w:id="38"/>
    <w:bookmarkStart w:id="39" w:name="article-25-allocation-of-results"/>
    <w:p>
      <w:pPr>
        <w:pStyle w:val="Heading3"/>
      </w:pPr>
      <w:r>
        <w:t xml:space="preserve">Article 25 — Allocation of results</w:t>
      </w:r>
    </w:p>
    <w:p>
      <w:pPr>
        <w:pStyle w:val="FirstParagraph"/>
      </w:pPr>
      <w:r>
        <w:t xml:space="preserve">Appropriation: 5 % of the net profit to the legal reserve until it reaches 10 % of the share capital. The balance is allocated by the general meeting on the proposal of the board. No distribution may be made if the net assets fall below the capital increased by the unavailable reserves.</w:t>
      </w:r>
    </w:p>
    <w:p>
      <w:r>
        <w:pict>
          <v:rect style="width:0;height:1.5pt" o:hralign="center" o:hrstd="t" o:hr="t"/>
        </w:pict>
      </w:r>
    </w:p>
    <w:bookmarkEnd w:id="39"/>
    <w:bookmarkEnd w:id="40"/>
    <w:bookmarkStart w:id="43" w:name="title-viii-dissolution-and-liquidation"/>
    <w:p>
      <w:pPr>
        <w:pStyle w:val="Heading2"/>
      </w:pPr>
      <w:r>
        <w:t xml:space="preserve">TITLE VIII — DISSOLUTION AND LIQUIDATION</w:t>
      </w:r>
    </w:p>
    <w:bookmarkStart w:id="41" w:name="article-26-dissolution"/>
    <w:p>
      <w:pPr>
        <w:pStyle w:val="Heading3"/>
      </w:pPr>
      <w:r>
        <w:t xml:space="preserve">Article 26 — Dissolution</w:t>
      </w:r>
    </w:p>
    <w:p>
      <w:pPr>
        <w:pStyle w:val="FirstParagraph"/>
      </w:pPr>
      <w:r>
        <w:t xml:space="preserve">Pronounced by the extraordinary general meeting. Liquidator(s) appointed, powers and remuneration fixed.</w:t>
      </w:r>
    </w:p>
    <w:bookmarkEnd w:id="41"/>
    <w:bookmarkStart w:id="42" w:name="article-27-liquidation"/>
    <w:p>
      <w:pPr>
        <w:pStyle w:val="Heading3"/>
      </w:pPr>
      <w:r>
        <w:t xml:space="preserve">Article 27 — Liquidation</w:t>
      </w:r>
    </w:p>
    <w:p>
      <w:pPr>
        <w:pStyle w:val="FirstParagraph"/>
      </w:pPr>
      <w:r>
        <w:t xml:space="preserve">After payment of the debts, the net assets are distributed in proportion to the shares.</w:t>
      </w:r>
    </w:p>
    <w:p>
      <w:r>
        <w:pict>
          <v:rect style="width:0;height:1.5pt" o:hralign="center" o:hrstd="t" o:hr="t"/>
        </w:pict>
      </w:r>
    </w:p>
    <w:bookmarkEnd w:id="42"/>
    <w:bookmarkEnd w:id="43"/>
    <w:bookmarkStart w:id="45" w:name="title-ix-disputes"/>
    <w:p>
      <w:pPr>
        <w:pStyle w:val="Heading2"/>
      </w:pPr>
      <w:r>
        <w:t xml:space="preserve">TITLE IX — DISPUTES</w:t>
      </w:r>
    </w:p>
    <w:bookmarkStart w:id="44" w:name="article-28-dispute-resolution"/>
    <w:p>
      <w:pPr>
        <w:pStyle w:val="Heading3"/>
      </w:pPr>
      <w:r>
        <w:t xml:space="preserve">Article 28 — Dispute resolution</w:t>
      </w:r>
    </w:p>
    <w:p>
      <w:pPr>
        <w:pStyle w:val="FirstParagraph"/>
      </w:pPr>
      <w:r>
        <w:t xml:space="preserve">Any dispute is submitted to the resolution procedure of the Shareholders’ Agreement. Failing this, exclusive jurisdiction of the Belgian enterprise courts.</w:t>
      </w:r>
    </w:p>
    <w:p>
      <w:r>
        <w:pict>
          <v:rect style="width:0;height:1.5pt" o:hralign="center" o:hrstd="t" o:hr="t"/>
        </w:pict>
      </w:r>
    </w:p>
    <w:bookmarkEnd w:id="44"/>
    <w:bookmarkEnd w:id="45"/>
    <w:bookmarkStart w:id="49" w:name="Xaa137c3219ee60c74046df54a215ecd6b08d93c"/>
    <w:p>
      <w:pPr>
        <w:pStyle w:val="Heading2"/>
      </w:pPr>
      <w:r>
        <w:t xml:space="preserve">TITLE X — PRELIMINARY COMMITMENTS, REGISTRATION</w:t>
      </w:r>
    </w:p>
    <w:bookmarkStart w:id="46" w:name="article-29-preliminary-commitments"/>
    <w:p>
      <w:pPr>
        <w:pStyle w:val="Heading3"/>
      </w:pPr>
      <w:r>
        <w:t xml:space="preserve">Article 29 — Preliminary commitments</w:t>
      </w:r>
    </w:p>
    <w:p>
      <w:pPr>
        <w:pStyle w:val="FirstParagraph"/>
      </w:pPr>
      <w:r>
        <w:t xml:space="preserve">The acts performed on behalf of the company in formation are listed in an annexed schedule. Registration entails automatic assumption of these acts.</w:t>
      </w:r>
      <w:r>
        <w:t xml:space="preserve"> </w:t>
      </w:r>
      <w:r>
        <w:rPr>
          <w:b/>
          <w:bCs/>
        </w:rPr>
        <w:t xml:space="preserve">Jean-Claude HAVAUX</w:t>
      </w:r>
      <w:r>
        <w:t xml:space="preserve"> </w:t>
      </w:r>
      <w:r>
        <w:t xml:space="preserve">is mandated to conclude the necessary acts before registration.</w:t>
      </w:r>
    </w:p>
    <w:bookmarkEnd w:id="46"/>
    <w:bookmarkStart w:id="47" w:name="article-30-registration-and-publicity"/>
    <w:p>
      <w:pPr>
        <w:pStyle w:val="Heading3"/>
      </w:pPr>
      <w:r>
        <w:t xml:space="preserve">Article 30 — Registration and publicity</w:t>
      </w:r>
    </w:p>
    <w:p>
      <w:pPr>
        <w:pStyle w:val="FirstParagraph"/>
      </w:pPr>
      <w:r>
        <w:t xml:space="preserve">Legal personality is acquired only upon registration with the BCE. The undersigned file the required documents with the registry of the Enterprise Court. The board of directors is responsible for the publicity formalities in the Belgian Official Gazette.</w:t>
      </w:r>
    </w:p>
    <w:bookmarkEnd w:id="47"/>
    <w:bookmarkStart w:id="48" w:name="article-31-formation-costs"/>
    <w:p>
      <w:pPr>
        <w:pStyle w:val="Heading3"/>
      </w:pPr>
      <w:r>
        <w:t xml:space="preserve">Article 31 — Formation costs</w:t>
      </w:r>
    </w:p>
    <w:p>
      <w:pPr>
        <w:pStyle w:val="FirstParagraph"/>
      </w:pPr>
      <w:r>
        <w:t xml:space="preserve">The costs, duties and fees are borne by the company and amortised over a maximum of 5 years.</w:t>
      </w:r>
    </w:p>
    <w:p>
      <w:r>
        <w:pict>
          <v:rect style="width:0;height:1.5pt" o:hralign="center" o:hrstd="t" o:hr="t"/>
        </w:pict>
      </w:r>
    </w:p>
    <w:bookmarkEnd w:id="48"/>
    <w:bookmarkEnd w:id="49"/>
    <w:bookmarkStart w:id="52" w:name="title-xi-final-provisions"/>
    <w:p>
      <w:pPr>
        <w:pStyle w:val="Heading2"/>
      </w:pPr>
      <w:r>
        <w:t xml:space="preserve">TITLE XI — FINAL PROVISIONS</w:t>
      </w:r>
    </w:p>
    <w:bookmarkStart w:id="50" w:name="article-32-applicable-law"/>
    <w:p>
      <w:pPr>
        <w:pStyle w:val="Heading3"/>
      </w:pPr>
      <w:r>
        <w:t xml:space="preserve">Article 32 — Applicable law</w:t>
      </w:r>
    </w:p>
    <w:p>
      <w:pPr>
        <w:pStyle w:val="FirstParagraph"/>
      </w:pPr>
      <w:r>
        <w:t xml:space="preserve">The articles of association are governed by Belgian law (CSA). In the event of contradiction with the Shareholders’ Agreement, the latter prevails between the shareholders.</w:t>
      </w:r>
    </w:p>
    <w:bookmarkEnd w:id="50"/>
    <w:bookmarkStart w:id="51" w:name="article-33-transitional-provisions"/>
    <w:p>
      <w:pPr>
        <w:pStyle w:val="Heading3"/>
      </w:pPr>
      <w:r>
        <w:t xml:space="preserve">Article 33 — Transitional provisions</w:t>
      </w:r>
    </w:p>
    <w:p>
      <w:pPr>
        <w:pStyle w:val="FirstParagraph"/>
      </w:pPr>
      <w:r>
        <w:t xml:space="preserve">First directors :</w:t>
      </w:r>
    </w:p>
    <w:p>
      <w:pPr>
        <w:pStyle w:val="Compact"/>
        <w:numPr>
          <w:ilvl w:val="0"/>
          <w:numId w:val="1003"/>
        </w:numPr>
      </w:pPr>
      <w:r>
        <w:t xml:space="preserve">Peiwen QI, domiciled at Poitiers (France) ;</w:t>
      </w:r>
    </w:p>
    <w:p>
      <w:pPr>
        <w:pStyle w:val="Compact"/>
        <w:numPr>
          <w:ilvl w:val="0"/>
          <w:numId w:val="1003"/>
        </w:numPr>
      </w:pPr>
      <w:r>
        <w:t xml:space="preserve">[to be designated] ;</w:t>
      </w:r>
    </w:p>
    <w:p>
      <w:pPr>
        <w:pStyle w:val="Compact"/>
        <w:numPr>
          <w:ilvl w:val="0"/>
          <w:numId w:val="1003"/>
        </w:numPr>
      </w:pPr>
      <w:r>
        <w:t xml:space="preserve">[to be designated].</w:t>
      </w:r>
    </w:p>
    <w:p>
      <w:r>
        <w:pict>
          <v:rect style="width:0;height:1.5pt" o:hralign="center" o:hrstd="t" o:hr="t"/>
        </w:pict>
      </w:r>
    </w:p>
    <w:bookmarkEnd w:id="51"/>
    <w:bookmarkEnd w:id="52"/>
    <w:bookmarkStart w:id="53" w:name="signatures"/>
    <w:p>
      <w:pPr>
        <w:pStyle w:val="Heading2"/>
      </w:pPr>
      <w:r>
        <w:t xml:space="preserve">SIGNATURES</w:t>
      </w:r>
    </w:p>
    <w:p>
      <w:pPr>
        <w:pStyle w:val="FirstParagraph"/>
      </w:pPr>
      <w:r>
        <w:t xml:space="preserve">Made in four originals. The mention « Read and approved » precedes each signature.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Founder</w:t>
            </w:r>
          </w:p>
        </w:tc>
        <w:tc>
          <w:tcPr/>
          <w:p>
            <w:pPr>
              <w:pStyle w:val="Compact"/>
            </w:pPr>
            <w:r>
              <w:t xml:space="preserve">Signature</w:t>
            </w:r>
          </w:p>
        </w:tc>
      </w:tr>
      <w:tr>
        <w:tc>
          <w:tcPr/>
          <w:p>
            <w:pPr>
              <w:pStyle w:val="Compact"/>
            </w:pPr>
            <w:r>
              <w:t xml:space="preserve">AB Advices (Alain Bosseloir)</w:t>
            </w:r>
          </w:p>
        </w:tc>
        <w:tc>
          <w:tcPr/>
          <w:p>
            <w:pPr>
              <w:pStyle w:val="Compact"/>
            </w:pPr>
          </w:p>
        </w:tc>
      </w:tr>
      <w:tr>
        <w:tc>
          <w:tcPr/>
          <w:p>
            <w:pPr>
              <w:pStyle w:val="Compact"/>
            </w:pPr>
            <w:r>
              <w:t xml:space="preserve">Jean-Claude HAVAUX</w:t>
            </w:r>
          </w:p>
        </w:tc>
        <w:tc>
          <w:tcPr/>
          <w:p>
            <w:pPr>
              <w:pStyle w:val="Compact"/>
            </w:pPr>
          </w:p>
        </w:tc>
      </w:tr>
      <w:tr>
        <w:tc>
          <w:tcPr/>
          <w:p>
            <w:pPr>
              <w:pStyle w:val="Compact"/>
            </w:pPr>
            <w:r>
              <w:t xml:space="preserve">Peiwen QI</w:t>
            </w:r>
          </w:p>
        </w:tc>
        <w:tc>
          <w:tcPr/>
          <w:p>
            <w:pPr>
              <w:pStyle w:val="Compact"/>
            </w:pPr>
          </w:p>
        </w:tc>
      </w:tr>
      <w:tr>
        <w:tc>
          <w:tcPr/>
          <w:p>
            <w:pPr>
              <w:pStyle w:val="Compact"/>
            </w:pPr>
            <w:r>
              <w:t xml:space="preserve">Jacques NOURY</w:t>
            </w:r>
          </w:p>
        </w:tc>
        <w:tc>
          <w:tcPr/>
          <w:p>
            <w:pPr>
              <w:pStyle w:val="Compact"/>
            </w:pPr>
          </w:p>
        </w:tc>
      </w:tr>
      <w:tr>
        <w:tc>
          <w:tcPr/>
          <w:p>
            <w:pPr>
              <w:pStyle w:val="Compact"/>
            </w:pPr>
            <w:r>
              <w:t xml:space="preserve">Diaho</w:t>
            </w:r>
          </w:p>
        </w:tc>
        <w:tc>
          <w:tcPr/>
          <w:p>
            <w:pPr>
              <w:pStyle w:val="Compact"/>
            </w:pPr>
          </w:p>
        </w:tc>
      </w:tr>
    </w:tbl>
    <w:p>
      <w:r>
        <w:pict>
          <v:rect style="width:0;height:1.5pt" o:hralign="center" o:hrstd="t" o:hr="t"/>
        </w:pict>
      </w:r>
    </w:p>
    <w:bookmarkEnd w:id="53"/>
    <w:bookmarkStart w:id="54" w:name="annexes"/>
    <w:p>
      <w:pPr>
        <w:pStyle w:val="Heading2"/>
      </w:pPr>
      <w:r>
        <w:t xml:space="preserve">ANNEXES</w:t>
      </w:r>
    </w:p>
    <w:p>
      <w:pPr>
        <w:pStyle w:val="Compact"/>
        <w:numPr>
          <w:ilvl w:val="0"/>
          <w:numId w:val="1004"/>
        </w:numPr>
      </w:pPr>
      <w:r>
        <w:t xml:space="preserve">Annex I: Schedule of commitments undertaken before the signature of the articles of association —</w:t>
      </w:r>
      <w:r>
        <w:t xml:space="preserve"> </w:t>
      </w:r>
      <w:r>
        <w:rPr>
          <w:b/>
          <w:bCs/>
        </w:rPr>
        <w:t xml:space="preserve">none</w:t>
      </w:r>
      <w:r>
        <w:t xml:space="preserve">.</w:t>
      </w:r>
    </w:p>
    <w:p>
      <w:pPr>
        <w:pStyle w:val="Compact"/>
        <w:numPr>
          <w:ilvl w:val="0"/>
          <w:numId w:val="1004"/>
        </w:numPr>
      </w:pPr>
      <w:r>
        <w:t xml:space="preserve">Annex II: Schedule of commitments to be undertaken before registration —</w:t>
      </w:r>
      <w:r>
        <w:t xml:space="preserve"> </w:t>
      </w:r>
      <w:r>
        <w:rPr>
          <w:b/>
          <w:bCs/>
        </w:rPr>
        <w:t xml:space="preserve">none</w:t>
      </w:r>
      <w:r>
        <w:t xml:space="preserve">.</w:t>
      </w:r>
    </w:p>
    <w:p>
      <w:r>
        <w:pict>
          <v:rect style="width:0;height:1.5pt" o:hralign="center" o:hrstd="t" o:hr="t"/>
        </w:pict>
      </w:r>
    </w:p>
    <w:p>
      <w:pPr>
        <w:pStyle w:val="FirstParagraph"/>
      </w:pPr>
      <w:r>
        <w:rPr>
          <w:i/>
          <w:iCs/>
        </w:rPr>
        <w:t xml:space="preserve">Working English translation — the French text is authoritative and prevails. Draft v2 — Renard 🦊 revision (2026-10-05). Notary validation required before signature.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2026-10-05T18:20:38Z</dcterms:created>
  <dcterms:modified xsi:type="dcterms:W3CDTF">2026-10-05T18:20:38Z</dcterms:modified>
</cp:coreProperties>
</file>

<file path=docProps/custom.xml><?xml version="1.0" encoding="utf-8"?>
<Properties xmlns="http://schemas.openxmlformats.org/officeDocument/2006/custom-properties" xmlns:vt="http://schemas.openxmlformats.org/officeDocument/2006/docPropsVTypes"/>
</file>