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1b1f244e78f1798c0d1f52d47b2c0de570f17d"/>
    <w:p>
      <w:pPr>
        <w:pStyle w:val="Heading1"/>
      </w:pPr>
      <w:r>
        <w:t xml:space="preserve">STATUTS — SOCIÉTÉ À RESPONSABILITÉ LIMITÉE DE DROIT BELGE</w:t>
      </w:r>
    </w:p>
    <w:p>
      <w:pPr>
        <w:pStyle w:val="BlockText"/>
      </w:pPr>
      <w:r>
        <w:rPr>
          <w:b/>
          <w:bCs/>
        </w:rPr>
        <w:t xml:space="preserve">VETALYX SRL — Code des sociétés et des associations (CSA)</w:t>
      </w:r>
    </w:p>
    <w:p>
      <w:pPr>
        <w:pStyle w:val="FirstParagraph"/>
      </w:pPr>
      <w:r>
        <w:rPr>
          <w:b/>
          <w:bCs/>
        </w:rPr>
        <w:t xml:space="preserve">Date :</w:t>
      </w:r>
      <w:r>
        <w:t xml:space="preserve"> </w:t>
      </w:r>
      <w:r>
        <w:t xml:space="preserve">2026-10-05 — version française v2 (passe de révision Renard — capital clarifié, profil ISC-clean)</w:t>
      </w:r>
      <w:r>
        <w:t xml:space="preserve"> </w:t>
      </w:r>
      <w:r>
        <w:rPr>
          <w:b/>
          <w:bCs/>
        </w:rPr>
        <w:t xml:space="preserve">Source :</w:t>
      </w:r>
      <w:r>
        <w:t xml:space="preserve"> </w:t>
      </w:r>
      <w:r>
        <w:rPr>
          <w:rStyle w:val="VerbatimChar"/>
        </w:rPr>
        <w:t xml:space="preserve">VAL-Statuts-SRL_VETALYX_19-8-26.docx</w:t>
      </w:r>
      <w:r>
        <w:t xml:space="preserve"> </w:t>
      </w:r>
      <w:r>
        <w:t xml:space="preserve">(v2, droit belge) + statuts v22/09</w:t>
      </w:r>
      <w:r>
        <w:t xml:space="preserve"> </w:t>
      </w:r>
      <w:r>
        <w:rPr>
          <w:b/>
          <w:bCs/>
        </w:rPr>
        <w:t xml:space="preserve">Rédigé par :</w:t>
      </w:r>
      <w:r>
        <w:t xml:space="preserve"> </w:t>
      </w:r>
      <w:r>
        <w:t xml:space="preserve">Renard 🦊 — Conseil juridique VETALYX / PKA</w:t>
      </w:r>
      <w:r>
        <w:t xml:space="preserve"> </w:t>
      </w:r>
      <w:r>
        <w:rPr>
          <w:b/>
          <w:bCs/>
        </w:rPr>
        <w:t xml:space="preserve">Orchestré par :</w:t>
      </w:r>
      <w:r>
        <w:t xml:space="preserve"> </w:t>
      </w:r>
      <w:r>
        <w:t xml:space="preserve">Dobby 🦉 — Orchestrateur PKA</w:t>
      </w:r>
      <w:r>
        <w:t xml:space="preserve"> </w:t>
      </w:r>
      <w:r>
        <w:rPr>
          <w:b/>
          <w:bCs/>
        </w:rPr>
        <w:t xml:space="preserve">Langue :</w:t>
      </w:r>
      <w:r>
        <w:t xml:space="preserve"> </w:t>
      </w:r>
      <w:r>
        <w:t xml:space="preserve">Français uniquement — traduction EN à produire après finalisation (pas de version ZH)</w:t>
      </w:r>
    </w:p>
    <w:p>
      <w:r>
        <w:pict>
          <v:rect style="width:0;height:1.5pt" o:hralign="center" o:hrstd="t" o:hr="t"/>
        </w:pict>
      </w:r>
    </w:p>
    <w:bookmarkStart w:id="15" w:name="X36391c1d2417d898156ceeb18dd33695671c9f3"/>
    <w:p>
      <w:pPr>
        <w:pStyle w:val="Heading2"/>
      </w:pPr>
      <w:r>
        <w:t xml:space="preserve">TITRE I — FORME, DÉNOMINATION, SIÈGE, DURÉE, OBJET</w:t>
      </w:r>
    </w:p>
    <w:bookmarkStart w:id="9" w:name="article-1-forme"/>
    <w:p>
      <w:pPr>
        <w:pStyle w:val="Heading3"/>
      </w:pPr>
      <w:r>
        <w:t xml:space="preserve">Article 1 — Forme</w:t>
      </w:r>
    </w:p>
    <w:p>
      <w:pPr>
        <w:pStyle w:val="FirstParagraph"/>
      </w:pPr>
      <w:r>
        <w:t xml:space="preserve">La société est constituée sous la forme d’une société à responsabilité limitée de droit belge, régie par le Code des sociétés et des associations (CSA).</w:t>
      </w:r>
    </w:p>
    <w:bookmarkEnd w:id="9"/>
    <w:bookmarkStart w:id="10" w:name="article-2-dénomination"/>
    <w:p>
      <w:pPr>
        <w:pStyle w:val="Heading3"/>
      </w:pPr>
      <w:r>
        <w:t xml:space="preserve">Article 2 — Dénomination</w:t>
      </w:r>
    </w:p>
    <w:p>
      <w:pPr>
        <w:pStyle w:val="FirstParagraph"/>
      </w:pPr>
      <w:r>
        <w:t xml:space="preserve">La société est dénommée « VETALYX ». Dans tous les actes, factures, annonces, publications et autres documents émis par la société, la dénomination sociale doit être précédée ou suivie de la mention « SRL » ainsi que de l’indication du siège social et du numéro d’entreprise à la BCE.</w:t>
      </w:r>
    </w:p>
    <w:bookmarkEnd w:id="10"/>
    <w:bookmarkStart w:id="11" w:name="article-3-siège-social"/>
    <w:p>
      <w:pPr>
        <w:pStyle w:val="Heading3"/>
      </w:pPr>
      <w:r>
        <w:t xml:space="preserve">Article 3 — Siège social</w:t>
      </w:r>
    </w:p>
    <w:p>
      <w:pPr>
        <w:pStyle w:val="FirstParagraph"/>
      </w:pPr>
      <w:r>
        <w:t xml:space="preserve">Le siège social est établi à Novalis Science Park, Rue de la Science, 6900 Marche-en-Famenne.</w:t>
      </w:r>
    </w:p>
    <w:p>
      <w:pPr>
        <w:pStyle w:val="BodyText"/>
      </w:pPr>
      <w:r>
        <w:t xml:space="preserve">Il peut être transféré en tout autre lieu du Royaume par décision du conseil d’administration, sans modification des présents statuts.</w:t>
      </w:r>
    </w:p>
    <w:bookmarkEnd w:id="11"/>
    <w:bookmarkStart w:id="12" w:name="article-4-durée"/>
    <w:p>
      <w:pPr>
        <w:pStyle w:val="Heading3"/>
      </w:pPr>
      <w:r>
        <w:t xml:space="preserve">Article 4 — Durée</w:t>
      </w:r>
    </w:p>
    <w:p>
      <w:pPr>
        <w:pStyle w:val="FirstParagraph"/>
      </w:pPr>
      <w:r>
        <w:t xml:space="preserve">La société est constituée pour une durée illimitée. La dissolution peut être prononcée à tout moment par décision de l’assemblée générale extraordinaire.</w:t>
      </w:r>
    </w:p>
    <w:bookmarkEnd w:id="12"/>
    <w:bookmarkStart w:id="13" w:name="article-5-objet-social"/>
    <w:p>
      <w:pPr>
        <w:pStyle w:val="Heading3"/>
      </w:pPr>
      <w:r>
        <w:t xml:space="preserve">Article 5 — Objet social</w:t>
      </w:r>
    </w:p>
    <w:p>
      <w:pPr>
        <w:pStyle w:val="FirstParagraph"/>
      </w:pPr>
      <w:r>
        <w:t xml:space="preserve">La société a pour objet, en Belgique et à l’étranger, pour son compte propre ou pour le compte de tiers :</w:t>
      </w:r>
    </w:p>
    <w:p>
      <w:pPr>
        <w:pStyle w:val="BodyText"/>
      </w:pPr>
      <w:r>
        <w:rPr>
          <w:b/>
          <w:bCs/>
        </w:rPr>
        <w:t xml:space="preserve">Activités principales :</w:t>
      </w:r>
    </w:p>
    <w:p>
      <w:pPr>
        <w:pStyle w:val="Compact"/>
        <w:numPr>
          <w:ilvl w:val="0"/>
          <w:numId w:val="1001"/>
        </w:numPr>
      </w:pPr>
      <w:r>
        <w:t xml:space="preserve">Recherche, développement, fabrication, distribution et commercialisation de tous produits, matériels, consommables, réactifs et instruments destinés au diagnostic vétérinaire, notamment les tests rapides de détection d’allergies chez les animaux de compagnie, d’élevage et les équidés.</w:t>
      </w:r>
    </w:p>
    <w:p>
      <w:pPr>
        <w:pStyle w:val="Compact"/>
        <w:numPr>
          <w:ilvl w:val="0"/>
          <w:numId w:val="1001"/>
        </w:numPr>
      </w:pPr>
      <w:r>
        <w:t xml:space="preserve">Recherche, développement, formulation, distribution et commercialisation de compléments alimentaires destinés aux animaux, régimes diététiques vétérinaires, nutraceutiques.</w:t>
      </w:r>
    </w:p>
    <w:p>
      <w:pPr>
        <w:pStyle w:val="Compact"/>
        <w:numPr>
          <w:ilvl w:val="0"/>
          <w:numId w:val="1001"/>
        </w:numPr>
      </w:pPr>
      <w:r>
        <w:t xml:space="preserve">Recherche, développement, importation, distribution et commercialisation de médicaments à usage vétérinaire, dispositifs médicaux vétérinaires et produits de santé animale.</w:t>
      </w:r>
    </w:p>
    <w:p>
      <w:pPr>
        <w:pStyle w:val="Compact"/>
        <w:numPr>
          <w:ilvl w:val="0"/>
          <w:numId w:val="1001"/>
        </w:numPr>
      </w:pPr>
      <w:r>
        <w:t xml:space="preserve">Prestation de services vétérinaires : conseil, formation, audit, expertise, recherche clinique, dépistage, télémédecine.</w:t>
      </w:r>
    </w:p>
    <w:p>
      <w:pPr>
        <w:pStyle w:val="Compact"/>
        <w:numPr>
          <w:ilvl w:val="0"/>
          <w:numId w:val="1001"/>
        </w:numPr>
      </w:pPr>
      <w:r>
        <w:t xml:space="preserve">Représentation réglementaire de fabricants étrangers sur les marchés européens (mandat REP, enregistrements, pharmacovigilance).</w:t>
      </w:r>
    </w:p>
    <w:p>
      <w:pPr>
        <w:pStyle w:val="Compact"/>
        <w:numPr>
          <w:ilvl w:val="0"/>
          <w:numId w:val="1001"/>
        </w:numPr>
      </w:pPr>
      <w:r>
        <w:t xml:space="preserve">Conclusion de partenariats stratégiques : distribution exclusive, licence, franchise, co-entreprises.</w:t>
      </w:r>
    </w:p>
    <w:p>
      <w:pPr>
        <w:pStyle w:val="FirstParagraph"/>
      </w:pPr>
      <w:r>
        <w:rPr>
          <w:b/>
          <w:bCs/>
        </w:rPr>
        <w:t xml:space="preserve">Activités connexes :</w:t>
      </w:r>
    </w:p>
    <w:p>
      <w:pPr>
        <w:pStyle w:val="Compact"/>
        <w:numPr>
          <w:ilvl w:val="0"/>
          <w:numId w:val="1002"/>
        </w:numPr>
      </w:pPr>
      <w:r>
        <w:t xml:space="preserve">Investissement immobilier : acquisition, détention, gestion, location et cession de biens immobiliers.</w:t>
      </w:r>
    </w:p>
    <w:p>
      <w:pPr>
        <w:pStyle w:val="Compact"/>
        <w:numPr>
          <w:ilvl w:val="0"/>
          <w:numId w:val="1002"/>
        </w:numPr>
      </w:pPr>
      <w:r>
        <w:t xml:space="preserve">Prises de participations dans toutes sociétés belges ou étrangères.</w:t>
      </w:r>
    </w:p>
    <w:p>
      <w:pPr>
        <w:pStyle w:val="Compact"/>
        <w:numPr>
          <w:ilvl w:val="0"/>
          <w:numId w:val="1002"/>
        </w:numPr>
      </w:pPr>
      <w:r>
        <w:t xml:space="preserve">Gestion de filiales et prestations de services administratifs, financiers, commerciaux et techniques.</w:t>
      </w:r>
    </w:p>
    <w:p>
      <w:pPr>
        <w:pStyle w:val="Compact"/>
        <w:numPr>
          <w:ilvl w:val="0"/>
          <w:numId w:val="1002"/>
        </w:numPr>
      </w:pPr>
      <w:r>
        <w:t xml:space="preserve">Octroi de garanties et sûretés pour des sociétés liées.</w:t>
      </w:r>
    </w:p>
    <w:p>
      <w:pPr>
        <w:pStyle w:val="Compact"/>
        <w:numPr>
          <w:ilvl w:val="0"/>
          <w:numId w:val="1002"/>
        </w:numPr>
      </w:pPr>
      <w:r>
        <w:t xml:space="preserve">Conseil, étude, recherche et formation dans les domaines liés à l’objet social.</w:t>
      </w:r>
    </w:p>
    <w:p>
      <w:pPr>
        <w:pStyle w:val="Compact"/>
        <w:numPr>
          <w:ilvl w:val="0"/>
          <w:numId w:val="1002"/>
        </w:numPr>
      </w:pPr>
      <w:r>
        <w:t xml:space="preserve">Clause balai : toutes opérations se rattachant directement ou indirectement à l’objet social.</w:t>
      </w:r>
    </w:p>
    <w:bookmarkEnd w:id="13"/>
    <w:bookmarkStart w:id="14" w:name="article-6-filiale-française"/>
    <w:p>
      <w:pPr>
        <w:pStyle w:val="Heading3"/>
      </w:pPr>
      <w:r>
        <w:t xml:space="preserve">Article 6 — Filiale française</w:t>
      </w:r>
    </w:p>
    <w:p>
      <w:pPr>
        <w:pStyle w:val="FirstParagraph"/>
      </w:pPr>
      <w:r>
        <w:t xml:space="preserve">Création prévue d’une filiale de droit français. Forme, dénomination, siège et objet déterminés par AGE convoquée par le CA en temps utile.</w:t>
      </w:r>
    </w:p>
    <w:p>
      <w:r>
        <w:pict>
          <v:rect style="width:0;height:1.5pt" o:hralign="center" o:hrstd="t" o:hr="t"/>
        </w:pict>
      </w:r>
    </w:p>
    <w:bookmarkEnd w:id="14"/>
    <w:bookmarkEnd w:id="15"/>
    <w:bookmarkStart w:id="19" w:name="titre-ii-apports-capital-parts-sociales"/>
    <w:p>
      <w:pPr>
        <w:pStyle w:val="Heading2"/>
      </w:pPr>
      <w:r>
        <w:t xml:space="preserve">TITRE II — APPORTS, CAPITAL, PARTS SOCIALES</w:t>
      </w:r>
    </w:p>
    <w:bookmarkStart w:id="16" w:name="article-7-apports"/>
    <w:p>
      <w:pPr>
        <w:pStyle w:val="Heading3"/>
      </w:pPr>
      <w:r>
        <w:t xml:space="preserve">Article 7 — Apports</w:t>
      </w:r>
    </w:p>
    <w:p>
      <w:pPr>
        <w:pStyle w:val="FirstParagraph"/>
      </w:pPr>
      <w:r>
        <w:t xml:space="preserve">Les fondateurs apportent à la société les sommes suivantes, intégralement libérées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Fondateur</w:t>
            </w:r>
          </w:p>
        </w:tc>
        <w:tc>
          <w:tcPr/>
          <w:p>
            <w:pPr>
              <w:pStyle w:val="Compact"/>
            </w:pPr>
            <w:r>
              <w:t xml:space="preserve">Apport en espèces</w:t>
            </w:r>
          </w:p>
        </w:tc>
        <w:tc>
          <w:tcPr/>
          <w:p>
            <w:pPr>
              <w:pStyle w:val="Compact"/>
            </w:pPr>
            <w:r>
              <w:t xml:space="preserve">Parts attribuées</w:t>
            </w:r>
          </w:p>
        </w:tc>
      </w:tr>
      <w:tr>
        <w:tc>
          <w:tcPr/>
          <w:p>
            <w:pPr>
              <w:pStyle w:val="Compact"/>
            </w:pPr>
            <w:r>
              <w:t xml:space="preserve">AB Advices (Alain Bosseloir)</w:t>
            </w:r>
          </w:p>
        </w:tc>
        <w:tc>
          <w:tcPr/>
          <w:p>
            <w:pPr>
              <w:pStyle w:val="Compact"/>
            </w:pPr>
            <w:r>
              <w:t xml:space="preserve">600 EUR</w:t>
            </w:r>
          </w:p>
        </w:tc>
        <w:tc>
          <w:tcPr/>
          <w:p>
            <w:pPr>
              <w:pStyle w:val="Compact"/>
            </w:pPr>
            <w:r>
              <w:t xml:space="preserve">600 parts</w:t>
            </w:r>
          </w:p>
        </w:tc>
      </w:tr>
      <w:tr>
        <w:tc>
          <w:tcPr/>
          <w:p>
            <w:pPr>
              <w:pStyle w:val="Compact"/>
            </w:pPr>
            <w:r>
              <w:t xml:space="preserve">Jean-Claude HAVAUX</w:t>
            </w:r>
          </w:p>
        </w:tc>
        <w:tc>
          <w:tcPr/>
          <w:p>
            <w:pPr>
              <w:pStyle w:val="Compact"/>
            </w:pPr>
            <w:r>
              <w:t xml:space="preserve">600 EUR</w:t>
            </w:r>
          </w:p>
        </w:tc>
        <w:tc>
          <w:tcPr/>
          <w:p>
            <w:pPr>
              <w:pStyle w:val="Compact"/>
            </w:pPr>
            <w:r>
              <w:t xml:space="preserve">600 parts</w:t>
            </w:r>
          </w:p>
        </w:tc>
      </w:tr>
      <w:tr>
        <w:tc>
          <w:tcPr/>
          <w:p>
            <w:pPr>
              <w:pStyle w:val="Compact"/>
            </w:pPr>
            <w:r>
              <w:t xml:space="preserve">Peiwen QI</w:t>
            </w:r>
          </w:p>
        </w:tc>
        <w:tc>
          <w:tcPr/>
          <w:p>
            <w:pPr>
              <w:pStyle w:val="Compact"/>
            </w:pPr>
            <w:r>
              <w:t xml:space="preserve">600 EUR</w:t>
            </w:r>
          </w:p>
        </w:tc>
        <w:tc>
          <w:tcPr/>
          <w:p>
            <w:pPr>
              <w:pStyle w:val="Compact"/>
            </w:pPr>
            <w:r>
              <w:t xml:space="preserve">600 parts</w:t>
            </w:r>
          </w:p>
        </w:tc>
      </w:tr>
      <w:tr>
        <w:tc>
          <w:tcPr/>
          <w:p>
            <w:pPr>
              <w:pStyle w:val="Compact"/>
            </w:pPr>
            <w:r>
              <w:t xml:space="preserve">Jacques NOURY</w:t>
            </w:r>
          </w:p>
        </w:tc>
        <w:tc>
          <w:tcPr/>
          <w:p>
            <w:pPr>
              <w:pStyle w:val="Compact"/>
            </w:pPr>
            <w:r>
              <w:t xml:space="preserve">600 EUR</w:t>
            </w:r>
          </w:p>
        </w:tc>
        <w:tc>
          <w:tcPr/>
          <w:p>
            <w:pPr>
              <w:pStyle w:val="Compact"/>
            </w:pPr>
            <w:r>
              <w:t xml:space="preserve">600 parts</w:t>
            </w:r>
          </w:p>
        </w:tc>
      </w:tr>
      <w:tr>
        <w:tc>
          <w:tcPr/>
          <w:p>
            <w:pPr>
              <w:pStyle w:val="Compact"/>
            </w:pPr>
            <w:r>
              <w:t xml:space="preserve">Diaho</w:t>
            </w:r>
          </w:p>
        </w:tc>
        <w:tc>
          <w:tcPr/>
          <w:p>
            <w:pPr>
              <w:pStyle w:val="Compact"/>
            </w:pPr>
            <w:r>
              <w:t xml:space="preserve">1 600 EUR</w:t>
            </w:r>
          </w:p>
        </w:tc>
        <w:tc>
          <w:tcPr/>
          <w:p>
            <w:pPr>
              <w:pStyle w:val="Compact"/>
            </w:pPr>
            <w:r>
              <w:t xml:space="preserve">1 600 parts</w:t>
            </w:r>
          </w:p>
        </w:tc>
      </w:tr>
      <w:tr>
        <w:tc>
          <w:tcPr/>
          <w:p>
            <w:pPr>
              <w:pStyle w:val="Compact"/>
            </w:pPr>
            <w:r>
              <w:rPr>
                <w:b/>
                <w:bCs/>
              </w:rPr>
              <w:t xml:space="preserve">Total</w:t>
            </w:r>
          </w:p>
        </w:tc>
        <w:tc>
          <w:tcPr/>
          <w:p>
            <w:pPr>
              <w:pStyle w:val="Compact"/>
            </w:pPr>
            <w:r>
              <w:rPr>
                <w:b/>
                <w:bCs/>
              </w:rPr>
              <w:t xml:space="preserve">4 000 EUR</w:t>
            </w:r>
          </w:p>
        </w:tc>
        <w:tc>
          <w:tcPr/>
          <w:p>
            <w:pPr>
              <w:pStyle w:val="Compact"/>
            </w:pPr>
            <w:r>
              <w:rPr>
                <w:b/>
                <w:bCs/>
              </w:rPr>
              <w:t xml:space="preserve">4 000 parts</w:t>
            </w:r>
          </w:p>
        </w:tc>
      </w:tr>
    </w:tbl>
    <w:p>
      <w:pPr>
        <w:pStyle w:val="BodyText"/>
      </w:pPr>
      <w:r>
        <w:t xml:space="preserve">Ces sommes ont été déposées au crédit d’un compte ouvert au nom de la société en formation auprès de la banque</w:t>
      </w:r>
      <w:r>
        <w:t xml:space="preserve"> </w:t>
      </w:r>
      <w:r>
        <w:rPr>
          <w:b/>
          <w:bCs/>
        </w:rPr>
        <w:t xml:space="preserve">BNP Paribas, agence de Beaufays (Belgique)</w:t>
      </w:r>
      <w:r>
        <w:t xml:space="preserve">.</w:t>
      </w:r>
    </w:p>
    <w:p>
      <w:pPr>
        <w:pStyle w:val="BlockText"/>
      </w:pPr>
      <w:r>
        <w:rPr>
          <w:b/>
          <w:bCs/>
        </w:rPr>
        <w:t xml:space="preserve">Capital souscrit :</w:t>
      </w:r>
      <w:r>
        <w:t xml:space="preserve"> </w:t>
      </w:r>
      <w:r>
        <w:t xml:space="preserve">Le capital social est fixé à</w:t>
      </w:r>
      <w:r>
        <w:t xml:space="preserve"> </w:t>
      </w:r>
      <w:r>
        <w:rPr>
          <w:b/>
          <w:bCs/>
        </w:rPr>
        <w:t xml:space="preserve">10 000 euros</w:t>
      </w:r>
      <w:r>
        <w:t xml:space="preserve">, dont</w:t>
      </w:r>
      <w:r>
        <w:t xml:space="preserve"> </w:t>
      </w:r>
      <w:r>
        <w:rPr>
          <w:b/>
          <w:bCs/>
        </w:rPr>
        <w:t xml:space="preserve">4 000 euros sont libérés</w:t>
      </w:r>
      <w:r>
        <w:t xml:space="preserve"> </w:t>
      </w:r>
      <w:r>
        <w:t xml:space="preserve">à la constitution (conformément au tableau ci-dessus). Les</w:t>
      </w:r>
      <w:r>
        <w:t xml:space="preserve"> </w:t>
      </w:r>
      <w:r>
        <w:rPr>
          <w:b/>
          <w:bCs/>
        </w:rPr>
        <w:t xml:space="preserve">6 000 euros restants</w:t>
      </w:r>
      <w:r>
        <w:t xml:space="preserve"> </w:t>
      </w:r>
      <w:r>
        <w:t xml:space="preserve">seront libérés sur appel du conseil d’administration, au prorata de la participation de chaque fondateur.</w:t>
      </w:r>
    </w:p>
    <w:bookmarkEnd w:id="16"/>
    <w:bookmarkStart w:id="17" w:name="article-8-capital-social"/>
    <w:p>
      <w:pPr>
        <w:pStyle w:val="Heading3"/>
      </w:pPr>
      <w:r>
        <w:t xml:space="preserve">Article 8 — Capital social</w:t>
      </w:r>
    </w:p>
    <w:p>
      <w:pPr>
        <w:pStyle w:val="FirstParagraph"/>
      </w:pPr>
      <w:r>
        <w:t xml:space="preserve">Le capital social est fixé à</w:t>
      </w:r>
      <w:r>
        <w:t xml:space="preserve"> </w:t>
      </w:r>
      <w:r>
        <w:rPr>
          <w:b/>
          <w:bCs/>
        </w:rPr>
        <w:t xml:space="preserve">10 000 euros</w:t>
      </w:r>
      <w:r>
        <w:t xml:space="preserve"> </w:t>
      </w:r>
      <w:r>
        <w:t xml:space="preserve">(dix mille euros), représenté par 10 000 parts sociales sans désignation de valeur nominale. À la constitution,</w:t>
      </w:r>
      <w:r>
        <w:t xml:space="preserve"> </w:t>
      </w:r>
      <w:r>
        <w:rPr>
          <w:b/>
          <w:bCs/>
        </w:rPr>
        <w:t xml:space="preserve">4 000 parts sont intégralement libérées</w:t>
      </w:r>
      <w:r>
        <w:t xml:space="preserve"> </w:t>
      </w:r>
      <w:r>
        <w:t xml:space="preserve">(4 000 euros). Les 6 000 parts restantes seront libérées sur appel du conseil d’administration. Le capital peut être augmenté ou réduit par décision de l’assemblée générale extraordinaire conformément au CSA.</w:t>
      </w:r>
    </w:p>
    <w:bookmarkEnd w:id="17"/>
    <w:bookmarkStart w:id="18" w:name="X85b14172ac830886bc5d91083c79d16213cd233"/>
    <w:p>
      <w:pPr>
        <w:pStyle w:val="Heading3"/>
      </w:pPr>
      <w:r>
        <w:t xml:space="preserve">Article 9 — Parts sociales — Droits et obligations</w:t>
      </w:r>
    </w:p>
    <w:p>
      <w:pPr>
        <w:pStyle w:val="FirstParagraph"/>
      </w:pPr>
      <w:r>
        <w:t xml:space="preserve">Chaque part donne droit à une part proportionnelle dans l’actif social, les bénéfices et une voix dans les assemblées. Les parts sont indivisibles à l’égard de la société. Les copropriétaires indivis sont tenus de se faire représenter par un mandataire unique. En cas d’usufruit, le droit de vote appartient au nu-propriétaire pour toutes les décisions, sauf pour l’affectation des résultats où il appartient à l’usufruitier.</w:t>
      </w:r>
    </w:p>
    <w:p>
      <w:r>
        <w:pict>
          <v:rect style="width:0;height:1.5pt" o:hralign="center" o:hrstd="t" o:hr="t"/>
        </w:pict>
      </w:r>
    </w:p>
    <w:bookmarkEnd w:id="18"/>
    <w:bookmarkEnd w:id="19"/>
    <w:bookmarkStart w:id="24" w:name="Xfe865be4583f22cafdd4eebc561996405a1dbf4"/>
    <w:p>
      <w:pPr>
        <w:pStyle w:val="Heading2"/>
      </w:pPr>
      <w:r>
        <w:t xml:space="preserve">TITRE III — CESSION ET TRANSMISSION DES PARTS</w:t>
      </w:r>
    </w:p>
    <w:bookmarkStart w:id="20" w:name="article-10-cession-entre-associés"/>
    <w:p>
      <w:pPr>
        <w:pStyle w:val="Heading3"/>
      </w:pPr>
      <w:r>
        <w:t xml:space="preserve">Article 10 — Cession entre associés</w:t>
      </w:r>
    </w:p>
    <w:p>
      <w:pPr>
        <w:pStyle w:val="FirstParagraph"/>
      </w:pPr>
      <w:r>
        <w:t xml:space="preserve">Les parts sont librement cessibles entre associés, sous réserve des dispositions du Pacte d’Actionnaires.</w:t>
      </w:r>
    </w:p>
    <w:bookmarkEnd w:id="20"/>
    <w:bookmarkStart w:id="21" w:name="Xa49c98e39247f722da82141dea2e0b142f69927"/>
    <w:p>
      <w:pPr>
        <w:pStyle w:val="Heading3"/>
      </w:pPr>
      <w:r>
        <w:t xml:space="preserve">Article 11 — Cession à des tiers ou à un conjoint</w:t>
      </w:r>
    </w:p>
    <w:p>
      <w:pPr>
        <w:pStyle w:val="FirstParagraph"/>
      </w:pPr>
      <w:r>
        <w:t xml:space="preserve">Toute cession à un tiers, un conjoint, ascendant ou descendant d’un associé est soumise à agrément préalable de l’assemblée générale. La demande est notifiée par lettre recommandée indiquant l’identité du cessionnaire, le nombre de parts, le prix et les conditions.</w:t>
      </w:r>
    </w:p>
    <w:p>
      <w:pPr>
        <w:pStyle w:val="BodyText"/>
      </w:pPr>
      <w:r>
        <w:t xml:space="preserve">L’assemblée statue dans un délai de 30 jours. Décision à la majorité représentant au moins 50 % du capital. Le cédant ne prend pas part au vote. En cas de refus, les associés restants rachètent dans un délai de 3 mois, à défaut l’agrément est réputé accordé.</w:t>
      </w:r>
    </w:p>
    <w:bookmarkEnd w:id="21"/>
    <w:bookmarkStart w:id="22" w:name="article-12-décès-incapacité-divorce"/>
    <w:p>
      <w:pPr>
        <w:pStyle w:val="Heading3"/>
      </w:pPr>
      <w:r>
        <w:t xml:space="preserve">Article 12 — Décès, incapacité, divorce</w:t>
      </w:r>
    </w:p>
    <w:p>
      <w:pPr>
        <w:pStyle w:val="FirstParagraph"/>
      </w:pPr>
      <w:r>
        <w:t xml:space="preserve">En cas de décès, la société continue avec les associés survivants et les héritiers, sous réserve d’agrément. En cas de refus, les héritiers conservent les droits pécuniaires mais sans droit de vote jusqu’au rachat conforme au Pacte d’actionnaires.</w:t>
      </w:r>
    </w:p>
    <w:p>
      <w:pPr>
        <w:pStyle w:val="BodyText"/>
      </w:pPr>
      <w:r>
        <w:t xml:space="preserve">En cas de divorce ou liquidation de régime matrimonial, les parts attribuées au conjoint sont soumises à agrément dans les mêmes conditions.</w:t>
      </w:r>
    </w:p>
    <w:bookmarkEnd w:id="22"/>
    <w:bookmarkStart w:id="23" w:name="article-13-opposabilité-de-la-cession"/>
    <w:p>
      <w:pPr>
        <w:pStyle w:val="Heading3"/>
      </w:pPr>
      <w:r>
        <w:t xml:space="preserve">Article 13 — Opposabilité de la cession</w:t>
      </w:r>
    </w:p>
    <w:p>
      <w:pPr>
        <w:pStyle w:val="FirstParagraph"/>
      </w:pPr>
      <w:r>
        <w:t xml:space="preserve">La cession est opposable à la société après notification par lettre recommandée et inscription dans le registre des parts sociales tenu au siège social.</w:t>
      </w:r>
    </w:p>
    <w:p>
      <w:r>
        <w:pict>
          <v:rect style="width:0;height:1.5pt" o:hralign="center" o:hrstd="t" o:hr="t"/>
        </w:pict>
      </w:r>
    </w:p>
    <w:bookmarkEnd w:id="23"/>
    <w:bookmarkEnd w:id="24"/>
    <w:bookmarkStart w:id="30" w:name="titre-iv-administration"/>
    <w:p>
      <w:pPr>
        <w:pStyle w:val="Heading2"/>
      </w:pPr>
      <w:r>
        <w:t xml:space="preserve">TITRE IV — ADMINISTRATION</w:t>
      </w:r>
    </w:p>
    <w:bookmarkStart w:id="25" w:name="article-14-conseil-dadministration"/>
    <w:p>
      <w:pPr>
        <w:pStyle w:val="Heading3"/>
      </w:pPr>
      <w:r>
        <w:t xml:space="preserve">Article 14 — Conseil d’administration</w:t>
      </w:r>
    </w:p>
    <w:p>
      <w:pPr>
        <w:pStyle w:val="FirstParagraph"/>
      </w:pPr>
      <w:r>
        <w:t xml:space="preserve">La société est administrée par un conseil d’administration d’un ou plusieurs administrateurs, nommés par l’assemblée générale. En cas de pluralité, ils constituent un collège élisant un président. Les parties peuvent remplacer le poste d’administrateur par un poste d’observateur.</w:t>
      </w:r>
    </w:p>
    <w:bookmarkEnd w:id="25"/>
    <w:bookmarkStart w:id="26" w:name="article-15-pouvoirs"/>
    <w:p>
      <w:pPr>
        <w:pStyle w:val="Heading3"/>
      </w:pPr>
      <w:r>
        <w:t xml:space="preserve">Article 15 — Pouvoirs</w:t>
      </w:r>
    </w:p>
    <w:p>
      <w:pPr>
        <w:pStyle w:val="FirstParagraph"/>
      </w:pPr>
      <w:r>
        <w:t xml:space="preserve">Le conseil dispose de tous les pouvoirs nécessaires à la réalisation de l’objet social, sauf ceux réservés par la loi ou les statuts à l’assemblée générale. La société est engagée par les actes d’un administrateur agissant seul, même au-delà de l’objet social, sauf connaissance du dépassement par le tiers.</w:t>
      </w:r>
    </w:p>
    <w:p>
      <w:pPr>
        <w:pStyle w:val="BodyText"/>
      </w:pPr>
      <w:r>
        <w:t xml:space="preserve">Pour des dépenses supérieures à</w:t>
      </w:r>
      <w:r>
        <w:t xml:space="preserve"> </w:t>
      </w:r>
      <w:r>
        <w:rPr>
          <w:b/>
          <w:bCs/>
        </w:rPr>
        <w:t xml:space="preserve">10 000 euros</w:t>
      </w:r>
      <w:r>
        <w:t xml:space="preserve"> </w:t>
      </w:r>
      <w:r>
        <w:t xml:space="preserve">dans le cadre de la gestion journalière et d’investissement, la dépense doit être préalablement autorisée par la</w:t>
      </w:r>
      <w:r>
        <w:t xml:space="preserve"> </w:t>
      </w:r>
      <w:r>
        <w:rPr>
          <w:b/>
          <w:bCs/>
        </w:rPr>
        <w:t xml:space="preserve">signature de 2 administrateurs</w:t>
      </w:r>
      <w:r>
        <w:t xml:space="preserve">. Pour des dépenses supérieures à</w:t>
      </w:r>
      <w:r>
        <w:t xml:space="preserve"> </w:t>
      </w:r>
      <w:r>
        <w:rPr>
          <w:b/>
          <w:bCs/>
        </w:rPr>
        <w:t xml:space="preserve">30 000 euros</w:t>
      </w:r>
      <w:r>
        <w:t xml:space="preserve">, l’</w:t>
      </w:r>
      <w:r>
        <w:rPr>
          <w:b/>
          <w:bCs/>
        </w:rPr>
        <w:t xml:space="preserve">approbation préalable du conseil d’administration</w:t>
      </w:r>
      <w:r>
        <w:t xml:space="preserve"> </w:t>
      </w:r>
      <w:r>
        <w:t xml:space="preserve">est requise. En fonction de l’évolution des opérations, ces plafonds seront révisés.</w:t>
      </w:r>
    </w:p>
    <w:bookmarkEnd w:id="26"/>
    <w:bookmarkStart w:id="27" w:name="article-16-gestion-journalière"/>
    <w:p>
      <w:pPr>
        <w:pStyle w:val="Heading3"/>
      </w:pPr>
      <w:r>
        <w:t xml:space="preserve">Article 16 — Gestion journalière</w:t>
      </w:r>
    </w:p>
    <w:p>
      <w:pPr>
        <w:pStyle w:val="FirstParagraph"/>
      </w:pPr>
      <w:r>
        <w:t xml:space="preserve">Le conseil peut déléguer la gestion journalière à un ou plusieurs administrateurs ou mandataires.</w:t>
      </w:r>
    </w:p>
    <w:bookmarkEnd w:id="27"/>
    <w:bookmarkStart w:id="28" w:name="article-17-rémunération"/>
    <w:p>
      <w:pPr>
        <w:pStyle w:val="Heading3"/>
      </w:pPr>
      <w:r>
        <w:t xml:space="preserve">Article 17 — Rémunération</w:t>
      </w:r>
    </w:p>
    <w:p>
      <w:pPr>
        <w:pStyle w:val="FirstParagraph"/>
      </w:pPr>
      <w:r>
        <w:t xml:space="preserve">La rémunération des administrateurs est fixée par l’assemblée générale.</w:t>
      </w:r>
    </w:p>
    <w:bookmarkEnd w:id="28"/>
    <w:bookmarkStart w:id="29" w:name="article-18-conventions-réglementées"/>
    <w:p>
      <w:pPr>
        <w:pStyle w:val="Heading3"/>
      </w:pPr>
      <w:r>
        <w:t xml:space="preserve">Article 18 — Conventions réglementées</w:t>
      </w:r>
    </w:p>
    <w:p>
      <w:pPr>
        <w:pStyle w:val="FirstParagraph"/>
      </w:pPr>
      <w:r>
        <w:t xml:space="preserve">Toute convention entre la société et un administrateur ayant un intérêt direct ou indirect est soumise à autorisation préalable du conseil, l’administrateur concerné ne prenant pas part au vote. Ces conventions sont portées à la connaissance de l’assemblée générale dans le rapport de gestion.</w:t>
      </w:r>
    </w:p>
    <w:p>
      <w:r>
        <w:pict>
          <v:rect style="width:0;height:1.5pt" o:hralign="center" o:hrstd="t" o:hr="t"/>
        </w:pict>
      </w:r>
    </w:p>
    <w:bookmarkEnd w:id="29"/>
    <w:bookmarkEnd w:id="30"/>
    <w:bookmarkStart w:id="32" w:name="titre-v-contrôle"/>
    <w:p>
      <w:pPr>
        <w:pStyle w:val="Heading2"/>
      </w:pPr>
      <w:r>
        <w:t xml:space="preserve">TITRE V — CONTRÔLE</w:t>
      </w:r>
    </w:p>
    <w:bookmarkStart w:id="31" w:name="article-19-réviseur-dentreprises"/>
    <w:p>
      <w:pPr>
        <w:pStyle w:val="Heading3"/>
      </w:pPr>
      <w:r>
        <w:t xml:space="preserve">Article 19 — Réviseur d’entreprises</w:t>
      </w:r>
    </w:p>
    <w:p>
      <w:pPr>
        <w:pStyle w:val="FirstParagraph"/>
      </w:pPr>
      <w:r>
        <w:t xml:space="preserve">La société peut nommer un réviseur d’entreprises conformément au CSA. La nomination est obligatoire dès lors que les seuils légaux sont dépassés. Mandat de 3 ans renouvelable.</w:t>
      </w:r>
    </w:p>
    <w:p>
      <w:r>
        <w:pict>
          <v:rect style="width:0;height:1.5pt" o:hralign="center" o:hrstd="t" o:hr="t"/>
        </w:pict>
      </w:r>
    </w:p>
    <w:bookmarkEnd w:id="31"/>
    <w:bookmarkEnd w:id="32"/>
    <w:bookmarkStart w:id="36" w:name="titre-vi-assemblées-générales"/>
    <w:p>
      <w:pPr>
        <w:pStyle w:val="Heading2"/>
      </w:pPr>
      <w:r>
        <w:t xml:space="preserve">TITRE VI — ASSEMBLÉES GÉNÉRALES</w:t>
      </w:r>
    </w:p>
    <w:bookmarkStart w:id="33" w:name="article-20-assemblée-générale-ordinaire"/>
    <w:p>
      <w:pPr>
        <w:pStyle w:val="Heading3"/>
      </w:pPr>
      <w:r>
        <w:t xml:space="preserve">Article 20 — Assemblée générale ordinaire</w:t>
      </w:r>
    </w:p>
    <w:p>
      <w:pPr>
        <w:pStyle w:val="FirstParagraph"/>
      </w:pPr>
      <w:r>
        <w:t xml:space="preserve">Réunion annuelle dans les 6 mois suivant la clôture de l’exercice. Convocation 15 jours avant. Chaque associé peut se faire représenter. Décisions à la majorité simple.</w:t>
      </w:r>
    </w:p>
    <w:bookmarkEnd w:id="33"/>
    <w:bookmarkStart w:id="34" w:name="Xd7ab5d17c482eba4bb0dc84fac15c211b16c2ec"/>
    <w:p>
      <w:pPr>
        <w:pStyle w:val="Heading3"/>
      </w:pPr>
      <w:r>
        <w:t xml:space="preserve">Article 21 — Assemblée générale extraordinaire</w:t>
      </w:r>
    </w:p>
    <w:p>
      <w:pPr>
        <w:pStyle w:val="FirstParagraph"/>
      </w:pPr>
      <w:r>
        <w:t xml:space="preserve">Statue sur les modifications des statuts, du capital, la dissolution. Quorum de présence : 50 % du capital. Décisions à la majorité des 3/4.</w:t>
      </w:r>
    </w:p>
    <w:bookmarkEnd w:id="34"/>
    <w:bookmarkStart w:id="35" w:name="article-22-procès-verbaux"/>
    <w:p>
      <w:pPr>
        <w:pStyle w:val="Heading3"/>
      </w:pPr>
      <w:r>
        <w:t xml:space="preserve">Article 22 — Procès-verbaux</w:t>
      </w:r>
    </w:p>
    <w:p>
      <w:pPr>
        <w:pStyle w:val="FirstParagraph"/>
      </w:pPr>
      <w:r>
        <w:t xml:space="preserve">Signés par le président et un associé, conservés au siège social dans un registre des assemblées.</w:t>
      </w:r>
    </w:p>
    <w:p>
      <w:r>
        <w:pict>
          <v:rect style="width:0;height:1.5pt" o:hralign="center" o:hrstd="t" o:hr="t"/>
        </w:pict>
      </w:r>
    </w:p>
    <w:bookmarkEnd w:id="35"/>
    <w:bookmarkEnd w:id="36"/>
    <w:bookmarkStart w:id="40" w:name="titre-vii-exercice-comptes-affectation"/>
    <w:p>
      <w:pPr>
        <w:pStyle w:val="Heading2"/>
      </w:pPr>
      <w:r>
        <w:t xml:space="preserve">TITRE VII — EXERCICE, COMPTES, AFFECTATION</w:t>
      </w:r>
    </w:p>
    <w:bookmarkStart w:id="37" w:name="article-23-exercice-social"/>
    <w:p>
      <w:pPr>
        <w:pStyle w:val="Heading3"/>
      </w:pPr>
      <w:r>
        <w:t xml:space="preserve">Article 23 — Exercice social</w:t>
      </w:r>
    </w:p>
    <w:p>
      <w:pPr>
        <w:pStyle w:val="FirstParagraph"/>
      </w:pPr>
      <w:r>
        <w:t xml:space="preserve">Du 1er janvier au 31 décembre. Premier exercice : constitution au 31/12 de l’année suivante. (On peut aussi établir une date de fin au premier trimestre.)</w:t>
      </w:r>
    </w:p>
    <w:bookmarkEnd w:id="37"/>
    <w:bookmarkStart w:id="38" w:name="article-24-comptes-annuels"/>
    <w:p>
      <w:pPr>
        <w:pStyle w:val="Heading3"/>
      </w:pPr>
      <w:r>
        <w:t xml:space="preserve">Article 24 — Comptes annuels</w:t>
      </w:r>
    </w:p>
    <w:p>
      <w:pPr>
        <w:pStyle w:val="FirstParagraph"/>
      </w:pPr>
      <w:r>
        <w:t xml:space="preserve">Le conseil d’administration établit l’inventaire, les comptes annuels et le rapport de gestion conformément au CSA. Adressés aux associés avec la convocation.</w:t>
      </w:r>
    </w:p>
    <w:bookmarkEnd w:id="38"/>
    <w:bookmarkStart w:id="39" w:name="article-25-affectation-des-résultats"/>
    <w:p>
      <w:pPr>
        <w:pStyle w:val="Heading3"/>
      </w:pPr>
      <w:r>
        <w:t xml:space="preserve">Article 25 — Affectation des résultats</w:t>
      </w:r>
    </w:p>
    <w:p>
      <w:pPr>
        <w:pStyle w:val="FirstParagraph"/>
      </w:pPr>
      <w:r>
        <w:t xml:space="preserve">Prélèvement : 5 % du bénéfice net en réserve légale jusqu’à 10 % du capital social. Le solde est affecté par l’assemblée sur proposition du conseil. Aucune distribution si l’actif net devient inférieur au capital augmenté des réserves indisponibles.</w:t>
      </w:r>
    </w:p>
    <w:p>
      <w:r>
        <w:pict>
          <v:rect style="width:0;height:1.5pt" o:hralign="center" o:hrstd="t" o:hr="t"/>
        </w:pict>
      </w:r>
    </w:p>
    <w:bookmarkEnd w:id="39"/>
    <w:bookmarkEnd w:id="40"/>
    <w:bookmarkStart w:id="43" w:name="titre-viii-dissolution-et-liquidation"/>
    <w:p>
      <w:pPr>
        <w:pStyle w:val="Heading2"/>
      </w:pPr>
      <w:r>
        <w:t xml:space="preserve">TITRE VIII — DISSOLUTION ET LIQUIDATION</w:t>
      </w:r>
    </w:p>
    <w:bookmarkStart w:id="41" w:name="article-26-dissolution"/>
    <w:p>
      <w:pPr>
        <w:pStyle w:val="Heading3"/>
      </w:pPr>
      <w:r>
        <w:t xml:space="preserve">Article 26 — Dissolution</w:t>
      </w:r>
    </w:p>
    <w:p>
      <w:pPr>
        <w:pStyle w:val="FirstParagraph"/>
      </w:pPr>
      <w:r>
        <w:t xml:space="preserve">Prononcée par l’assemblée générale extraordinaire. Liquidateur(s) désigné(s), pouvoirs et rémunération fixés.</w:t>
      </w:r>
    </w:p>
    <w:bookmarkEnd w:id="41"/>
    <w:bookmarkStart w:id="42" w:name="article-27-liquidation"/>
    <w:p>
      <w:pPr>
        <w:pStyle w:val="Heading3"/>
      </w:pPr>
      <w:r>
        <w:t xml:space="preserve">Article 27 — Liquidation</w:t>
      </w:r>
    </w:p>
    <w:p>
      <w:pPr>
        <w:pStyle w:val="FirstParagraph"/>
      </w:pPr>
      <w:r>
        <w:t xml:space="preserve">Après apurement des dettes, l’actif net est réparti proportionnellement aux parts.</w:t>
      </w:r>
    </w:p>
    <w:p>
      <w:r>
        <w:pict>
          <v:rect style="width:0;height:1.5pt" o:hralign="center" o:hrstd="t" o:hr="t"/>
        </w:pict>
      </w:r>
    </w:p>
    <w:bookmarkEnd w:id="42"/>
    <w:bookmarkEnd w:id="43"/>
    <w:bookmarkStart w:id="45" w:name="titre-ix-contestations"/>
    <w:p>
      <w:pPr>
        <w:pStyle w:val="Heading2"/>
      </w:pPr>
      <w:r>
        <w:t xml:space="preserve">TITRE IX — CONTESTATIONS</w:t>
      </w:r>
    </w:p>
    <w:bookmarkStart w:id="44" w:name="article-28-règlement-des-contestations"/>
    <w:p>
      <w:pPr>
        <w:pStyle w:val="Heading3"/>
      </w:pPr>
      <w:r>
        <w:t xml:space="preserve">Article 28 — Règlement des contestations</w:t>
      </w:r>
    </w:p>
    <w:p>
      <w:pPr>
        <w:pStyle w:val="FirstParagraph"/>
      </w:pPr>
      <w:r>
        <w:t xml:space="preserve">Tout différend est soumis à la procédure de résolution du Pacte d’Actionnaires. À défaut, compétence exclusive des tribunaux de l’entreprise belges.</w:t>
      </w:r>
    </w:p>
    <w:p>
      <w:r>
        <w:pict>
          <v:rect style="width:0;height:1.5pt" o:hralign="center" o:hrstd="t" o:hr="t"/>
        </w:pict>
      </w:r>
    </w:p>
    <w:bookmarkEnd w:id="44"/>
    <w:bookmarkEnd w:id="45"/>
    <w:bookmarkStart w:id="49" w:name="Xacd5958b9fcfde02118b51219483dbc315fe6ac"/>
    <w:p>
      <w:pPr>
        <w:pStyle w:val="Heading2"/>
      </w:pPr>
      <w:r>
        <w:t xml:space="preserve">TITRE X — ENGAGEMENTS PRÉALABLES, IMMATRICULATION</w:t>
      </w:r>
    </w:p>
    <w:bookmarkStart w:id="46" w:name="article-29-engagements-préalables"/>
    <w:p>
      <w:pPr>
        <w:pStyle w:val="Heading3"/>
      </w:pPr>
      <w:r>
        <w:t xml:space="preserve">Article 29 — Engagements préalables</w:t>
      </w:r>
    </w:p>
    <w:p>
      <w:pPr>
        <w:pStyle w:val="FirstParagraph"/>
      </w:pPr>
      <w:r>
        <w:t xml:space="preserve">Les actes accomplis pour le compte de la société en formation sont énumérés dans un état annexe. L’immatriculation emportera reprise de plein droit de ces actes. Mandat est donné à</w:t>
      </w:r>
      <w:r>
        <w:t xml:space="preserve"> </w:t>
      </w:r>
      <w:r>
        <w:rPr>
          <w:b/>
          <w:bCs/>
        </w:rPr>
        <w:t xml:space="preserve">Jean-Claude HAVAUX</w:t>
      </w:r>
      <w:r>
        <w:t xml:space="preserve"> </w:t>
      </w:r>
      <w:r>
        <w:t xml:space="preserve">pour conclure les actes nécessaires avant immatriculation.</w:t>
      </w:r>
    </w:p>
    <w:bookmarkEnd w:id="46"/>
    <w:bookmarkStart w:id="47" w:name="article-30-immatriculation-et-publicité"/>
    <w:p>
      <w:pPr>
        <w:pStyle w:val="Heading3"/>
      </w:pPr>
      <w:r>
        <w:t xml:space="preserve">Article 30 — Immatriculation et publicité</w:t>
      </w:r>
    </w:p>
    <w:p>
      <w:pPr>
        <w:pStyle w:val="FirstParagraph"/>
      </w:pPr>
      <w:r>
        <w:t xml:space="preserve">La personnalité morale n’est acquise qu’à l’immatriculation à la BCE. Les soussignés déposent les documents requis au greffe du Tribunal de l’Entreprise. Le conseil d’administration est chargé des formalités de publicité au Moniteur belge.</w:t>
      </w:r>
    </w:p>
    <w:bookmarkEnd w:id="47"/>
    <w:bookmarkStart w:id="48" w:name="article-31-frais-de-constitution"/>
    <w:p>
      <w:pPr>
        <w:pStyle w:val="Heading3"/>
      </w:pPr>
      <w:r>
        <w:t xml:space="preserve">Article 31 — Frais de constitution</w:t>
      </w:r>
    </w:p>
    <w:p>
      <w:pPr>
        <w:pStyle w:val="FirstParagraph"/>
      </w:pPr>
      <w:r>
        <w:t xml:space="preserve">Les frais, droits et honoraires incombent à la société et sont amortis sur 5 ans maximum.</w:t>
      </w:r>
    </w:p>
    <w:p>
      <w:r>
        <w:pict>
          <v:rect style="width:0;height:1.5pt" o:hralign="center" o:hrstd="t" o:hr="t"/>
        </w:pict>
      </w:r>
    </w:p>
    <w:bookmarkEnd w:id="48"/>
    <w:bookmarkEnd w:id="49"/>
    <w:bookmarkStart w:id="52" w:name="titre-xi-dispositions-finales"/>
    <w:p>
      <w:pPr>
        <w:pStyle w:val="Heading2"/>
      </w:pPr>
      <w:r>
        <w:t xml:space="preserve">TITRE XI — DISPOSITIONS FINALES</w:t>
      </w:r>
    </w:p>
    <w:bookmarkStart w:id="50" w:name="article-32-droit-applicable"/>
    <w:p>
      <w:pPr>
        <w:pStyle w:val="Heading3"/>
      </w:pPr>
      <w:r>
        <w:t xml:space="preserve">Article 32 — Droit applicable</w:t>
      </w:r>
    </w:p>
    <w:p>
      <w:pPr>
        <w:pStyle w:val="FirstParagraph"/>
      </w:pPr>
      <w:r>
        <w:t xml:space="preserve">Les statuts sont régis par le droit belge (CSA). En cas de contradiction avec le Pacte d’Actionnaires, celui-ci prévaut entre les associés.</w:t>
      </w:r>
    </w:p>
    <w:bookmarkEnd w:id="50"/>
    <w:bookmarkStart w:id="51" w:name="article-33-dispositions-transitoires"/>
    <w:p>
      <w:pPr>
        <w:pStyle w:val="Heading3"/>
      </w:pPr>
      <w:r>
        <w:t xml:space="preserve">Article 33 — Dispositions transitoires</w:t>
      </w:r>
    </w:p>
    <w:p>
      <w:pPr>
        <w:pStyle w:val="FirstParagraph"/>
      </w:pPr>
      <w:r>
        <w:t xml:space="preserve">Premiers administrateurs :</w:t>
      </w:r>
    </w:p>
    <w:p>
      <w:pPr>
        <w:pStyle w:val="Compact"/>
        <w:numPr>
          <w:ilvl w:val="0"/>
          <w:numId w:val="1003"/>
        </w:numPr>
      </w:pPr>
      <w:r>
        <w:t xml:space="preserve">Peiwen QI, domiciliée à Poitiers (France) ;</w:t>
      </w:r>
    </w:p>
    <w:p>
      <w:pPr>
        <w:pStyle w:val="Compact"/>
        <w:numPr>
          <w:ilvl w:val="0"/>
          <w:numId w:val="1003"/>
        </w:numPr>
      </w:pPr>
      <w:r>
        <w:t xml:space="preserve">[à désigner] ;</w:t>
      </w:r>
    </w:p>
    <w:p>
      <w:pPr>
        <w:pStyle w:val="Compact"/>
        <w:numPr>
          <w:ilvl w:val="0"/>
          <w:numId w:val="1003"/>
        </w:numPr>
      </w:pPr>
      <w:r>
        <w:t xml:space="preserve">[à désigner].</w:t>
      </w:r>
    </w:p>
    <w:p>
      <w:r>
        <w:pict>
          <v:rect style="width:0;height:1.5pt" o:hralign="center" o:hrstd="t" o:hr="t"/>
        </w:pict>
      </w:r>
    </w:p>
    <w:bookmarkEnd w:id="51"/>
    <w:bookmarkEnd w:id="52"/>
    <w:bookmarkStart w:id="53" w:name="signatures"/>
    <w:p>
      <w:pPr>
        <w:pStyle w:val="Heading2"/>
      </w:pPr>
      <w:r>
        <w:t xml:space="preserve">SIGNATURES</w:t>
      </w:r>
    </w:p>
    <w:p>
      <w:pPr>
        <w:pStyle w:val="FirstParagraph"/>
      </w:pPr>
      <w:r>
        <w:t xml:space="preserve">Fait en quatre exemplaires. Mention « Lu et approuvé » précédant chaque signature.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Fondateur</w:t>
            </w:r>
          </w:p>
        </w:tc>
        <w:tc>
          <w:tcPr/>
          <w:p>
            <w:pPr>
              <w:pStyle w:val="Compact"/>
            </w:pPr>
            <w:r>
              <w:t xml:space="preserve">Signature</w:t>
            </w:r>
          </w:p>
        </w:tc>
      </w:tr>
      <w:tr>
        <w:tc>
          <w:tcPr/>
          <w:p>
            <w:pPr>
              <w:pStyle w:val="Compact"/>
            </w:pPr>
            <w:r>
              <w:t xml:space="preserve">AB Advices (Alain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r>
        <w:tc>
          <w:tcPr/>
          <w:p>
            <w:pPr>
              <w:pStyle w:val="Compact"/>
            </w:pPr>
            <w:r>
              <w:t xml:space="preserve">Diaho</w:t>
            </w:r>
          </w:p>
        </w:tc>
        <w:tc>
          <w:tcPr/>
          <w:p>
            <w:pPr>
              <w:pStyle w:val="Compact"/>
            </w:pPr>
          </w:p>
        </w:tc>
      </w:tr>
    </w:tbl>
    <w:p>
      <w:r>
        <w:pict>
          <v:rect style="width:0;height:1.5pt" o:hralign="center" o:hrstd="t" o:hr="t"/>
        </w:pict>
      </w:r>
    </w:p>
    <w:bookmarkEnd w:id="53"/>
    <w:bookmarkStart w:id="54" w:name="annexes"/>
    <w:p>
      <w:pPr>
        <w:pStyle w:val="Heading2"/>
      </w:pPr>
      <w:r>
        <w:t xml:space="preserve">ANNEXES</w:t>
      </w:r>
    </w:p>
    <w:p>
      <w:pPr>
        <w:pStyle w:val="Compact"/>
        <w:numPr>
          <w:ilvl w:val="0"/>
          <w:numId w:val="1004"/>
        </w:numPr>
      </w:pPr>
      <w:r>
        <w:t xml:space="preserve">Annexe I : État des engagements pris avant la signature des statuts —</w:t>
      </w:r>
      <w:r>
        <w:t xml:space="preserve"> </w:t>
      </w:r>
      <w:r>
        <w:rPr>
          <w:b/>
          <w:bCs/>
        </w:rPr>
        <w:t xml:space="preserve">néant</w:t>
      </w:r>
      <w:r>
        <w:t xml:space="preserve">.</w:t>
      </w:r>
    </w:p>
    <w:p>
      <w:pPr>
        <w:pStyle w:val="Compact"/>
        <w:numPr>
          <w:ilvl w:val="0"/>
          <w:numId w:val="1004"/>
        </w:numPr>
      </w:pPr>
      <w:r>
        <w:t xml:space="preserve">Annexe II : État des engagements à prendre avant immatriculation —</w:t>
      </w:r>
      <w:r>
        <w:t xml:space="preserve"> </w:t>
      </w:r>
      <w:r>
        <w:rPr>
          <w:b/>
          <w:bCs/>
        </w:rPr>
        <w:t xml:space="preserve">néant</w:t>
      </w:r>
      <w:r>
        <w:t xml:space="preserve">.</w:t>
      </w:r>
    </w:p>
    <w:p>
      <w:r>
        <w:pict>
          <v:rect style="width:0;height:1.5pt" o:hralign="center" o:hrstd="t" o:hr="t"/>
        </w:pict>
      </w:r>
    </w:p>
    <w:p>
      <w:pPr>
        <w:pStyle w:val="FirstParagraph"/>
      </w:pPr>
      <w:r>
        <w:rPr>
          <w:i/>
          <w:iCs/>
        </w:rPr>
        <w:t xml:space="preserve">Document de travail v2 — passe de révision Renard 🦊 (2026-10-05). Validation notaire requise avant signature.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2026-10-05T18:20:38Z</dcterms:created>
  <dcterms:modified xsi:type="dcterms:W3CDTF">2026-10-05T18:20:38Z</dcterms:modified>
</cp:coreProperties>
</file>

<file path=docProps/custom.xml><?xml version="1.0" encoding="utf-8"?>
<Properties xmlns="http://schemas.openxmlformats.org/officeDocument/2006/custom-properties" xmlns:vt="http://schemas.openxmlformats.org/officeDocument/2006/docPropsVTypes"/>
</file>