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6AA9" w14:textId="77777777" w:rsidR="00F12B65" w:rsidRPr="00DE6988" w:rsidRDefault="00F12B65" w:rsidP="00F12B65">
      <w:pPr>
        <w:pStyle w:val="Heading1"/>
        <w:rPr>
          <w:rFonts w:ascii="Aptos" w:hAnsi="Aptos"/>
        </w:rPr>
      </w:pPr>
      <w:r w:rsidRPr="00DE6988">
        <w:rPr>
          <w:rFonts w:ascii="Aptos" w:hAnsi="Aptos"/>
        </w:rPr>
        <w:t>Investor Defensive Q&amp;A (France-Only Case)</w:t>
      </w:r>
    </w:p>
    <w:p w14:paraId="4C2D9FB9" w14:textId="77777777" w:rsidR="00F12B65" w:rsidRPr="00DE6988" w:rsidRDefault="00F12B65" w:rsidP="00F12B65">
      <w:pPr>
        <w:rPr>
          <w:rFonts w:ascii="Aptos" w:hAnsi="Aptos"/>
        </w:rPr>
      </w:pPr>
      <w:r w:rsidRPr="00DE6988">
        <w:rPr>
          <w:rFonts w:ascii="Aptos" w:hAnsi="Aptos"/>
        </w:rPr>
        <w:t>Q: Why start with France only?</w:t>
      </w:r>
    </w:p>
    <w:p w14:paraId="0D555D3E" w14:textId="77777777" w:rsidR="00F12B65" w:rsidRPr="00DE6988" w:rsidRDefault="00F12B65" w:rsidP="00F12B65">
      <w:pPr>
        <w:rPr>
          <w:rFonts w:ascii="Aptos" w:hAnsi="Aptos"/>
        </w:rPr>
      </w:pPr>
      <w:r w:rsidRPr="00DE6988">
        <w:rPr>
          <w:rFonts w:ascii="Aptos" w:hAnsi="Aptos"/>
        </w:rPr>
        <w:t>A: France offers sufficient market depth, a structured veterinary ecosystem, and regulatory clarity. Focusing on a single country reduces execution risk and preserves capital discipline.</w:t>
      </w:r>
    </w:p>
    <w:p w14:paraId="1EE6CF9E" w14:textId="77777777" w:rsidR="00F12B65" w:rsidRPr="00DE6988" w:rsidRDefault="00F12B65" w:rsidP="00F12B65">
      <w:pPr>
        <w:rPr>
          <w:rFonts w:ascii="Aptos" w:hAnsi="Aptos"/>
        </w:rPr>
      </w:pPr>
      <w:r w:rsidRPr="00DE6988">
        <w:rPr>
          <w:rFonts w:ascii="Aptos" w:hAnsi="Aptos"/>
        </w:rPr>
        <w:t>Q: Is the market large enough without EU expansion?</w:t>
      </w:r>
    </w:p>
    <w:p w14:paraId="17B7ADCD" w14:textId="77777777" w:rsidR="00F12B65" w:rsidRPr="00DE6988" w:rsidRDefault="00F12B65" w:rsidP="00F12B65">
      <w:pPr>
        <w:rPr>
          <w:rFonts w:ascii="Aptos" w:hAnsi="Aptos"/>
        </w:rPr>
      </w:pPr>
      <w:r w:rsidRPr="00DE6988">
        <w:rPr>
          <w:rFonts w:ascii="Aptos" w:hAnsi="Aptos"/>
        </w:rPr>
        <w:t>A: Yes. The financial model demonstrates that France alone can sustain the business. European expansion enhances upside but is not required for viability.</w:t>
      </w:r>
    </w:p>
    <w:p w14:paraId="7C935D4C" w14:textId="77777777" w:rsidR="00F12B65" w:rsidRPr="00DE6988" w:rsidRDefault="00F12B65" w:rsidP="00F12B65">
      <w:pPr>
        <w:rPr>
          <w:rFonts w:ascii="Aptos" w:hAnsi="Aptos"/>
        </w:rPr>
      </w:pPr>
      <w:r w:rsidRPr="00DE6988">
        <w:rPr>
          <w:rFonts w:ascii="Aptos" w:hAnsi="Aptos"/>
        </w:rPr>
        <w:t>Q: What protects margins?</w:t>
      </w:r>
    </w:p>
    <w:p w14:paraId="3C6F25EB" w14:textId="77777777" w:rsidR="00F12B65" w:rsidRPr="00DE6988" w:rsidRDefault="00F12B65" w:rsidP="00F12B65">
      <w:pPr>
        <w:rPr>
          <w:rFonts w:ascii="Aptos" w:hAnsi="Aptos"/>
        </w:rPr>
      </w:pPr>
      <w:r w:rsidRPr="00DE6988">
        <w:rPr>
          <w:rFonts w:ascii="Aptos" w:hAnsi="Aptos"/>
        </w:rPr>
        <w:t>A: Margins are protected through controlled pricing, outsourced manufacturing, and limited fixed costs. Gross margin improvement is volume-driven, not assumption-driven.</w:t>
      </w:r>
    </w:p>
    <w:p w14:paraId="0F0E8536" w14:textId="77777777" w:rsidR="00F12B65" w:rsidRPr="00DE6988" w:rsidRDefault="00F12B65" w:rsidP="00F12B65">
      <w:pPr>
        <w:rPr>
          <w:rFonts w:ascii="Aptos" w:hAnsi="Aptos"/>
        </w:rPr>
      </w:pPr>
      <w:r w:rsidRPr="00DE6988">
        <w:rPr>
          <w:rFonts w:ascii="Aptos" w:hAnsi="Aptos"/>
        </w:rPr>
        <w:t>Q: What is the main operational risk?</w:t>
      </w:r>
    </w:p>
    <w:p w14:paraId="3B191E1E" w14:textId="77777777" w:rsidR="00F12B65" w:rsidRPr="00DE6988" w:rsidRDefault="00F12B65" w:rsidP="00F12B65">
      <w:pPr>
        <w:rPr>
          <w:rFonts w:ascii="Aptos" w:hAnsi="Aptos"/>
        </w:rPr>
      </w:pPr>
      <w:r w:rsidRPr="00DE6988">
        <w:rPr>
          <w:rFonts w:ascii="Aptos" w:hAnsi="Aptos"/>
        </w:rPr>
        <w:t>A: Supplier dependency is the principal operational risk. This is mitigated through contractual safeguards and progressive volume commitments.</w:t>
      </w:r>
    </w:p>
    <w:p w14:paraId="4DA532E6" w14:textId="77777777" w:rsidR="00F12B65" w:rsidRPr="00DE6988" w:rsidRDefault="00F12B65" w:rsidP="00F12B65">
      <w:pPr>
        <w:rPr>
          <w:rFonts w:ascii="Aptos" w:hAnsi="Aptos"/>
        </w:rPr>
      </w:pPr>
      <w:r w:rsidRPr="00DE6988">
        <w:rPr>
          <w:rFonts w:ascii="Aptos" w:hAnsi="Aptos"/>
        </w:rPr>
        <w:t>Q: What happens if adoption is slower than expected?</w:t>
      </w:r>
    </w:p>
    <w:p w14:paraId="559E7EC4" w14:textId="77777777" w:rsidR="00F12B65" w:rsidRPr="00DE6988" w:rsidRDefault="00F12B65" w:rsidP="00F12B65">
      <w:pPr>
        <w:rPr>
          <w:rFonts w:ascii="Aptos" w:hAnsi="Aptos"/>
        </w:rPr>
      </w:pPr>
      <w:r w:rsidRPr="00DE6988">
        <w:rPr>
          <w:rFonts w:ascii="Aptos" w:hAnsi="Aptos"/>
        </w:rPr>
        <w:t>A: The cost structure is intentionally lean, allowing DIATECH to extend runway without structural damage. The model does not rely on aggressive adoption curves.</w:t>
      </w:r>
    </w:p>
    <w:p w14:paraId="3C71FD8B" w14:textId="77777777" w:rsidR="00F12B65" w:rsidRPr="00DE6988" w:rsidRDefault="00F12B65" w:rsidP="00F12B65">
      <w:pPr>
        <w:rPr>
          <w:rFonts w:ascii="Aptos" w:hAnsi="Aptos"/>
        </w:rPr>
      </w:pPr>
      <w:r w:rsidRPr="00DE6988">
        <w:rPr>
          <w:rFonts w:ascii="Aptos" w:hAnsi="Aptos"/>
        </w:rPr>
        <w:br w:type="page"/>
      </w:r>
    </w:p>
    <w:p w14:paraId="7C189D40" w14:textId="77777777" w:rsidR="00F12B65" w:rsidRPr="00DE6988" w:rsidRDefault="00F12B65" w:rsidP="00F12B65">
      <w:pPr>
        <w:pStyle w:val="Heading1"/>
        <w:rPr>
          <w:rFonts w:ascii="Aptos" w:hAnsi="Aptos"/>
        </w:rPr>
      </w:pPr>
      <w:r w:rsidRPr="00DE6988">
        <w:rPr>
          <w:rFonts w:ascii="Aptos" w:hAnsi="Aptos"/>
        </w:rPr>
        <w:lastRenderedPageBreak/>
        <w:t>Market Analysis and Commercial Rationale</w:t>
      </w:r>
    </w:p>
    <w:p w14:paraId="5755A5B2" w14:textId="77777777" w:rsidR="00F12B65" w:rsidRPr="00DE6988" w:rsidRDefault="00F12B65" w:rsidP="00F12B65">
      <w:pPr>
        <w:rPr>
          <w:rFonts w:ascii="Aptos" w:hAnsi="Aptos"/>
        </w:rPr>
      </w:pPr>
      <w:r w:rsidRPr="00DE6988">
        <w:rPr>
          <w:rFonts w:ascii="Aptos" w:hAnsi="Aptos"/>
        </w:rPr>
        <w:t>The market addressed by DIATECH sits at the intersection of three structural trends in companion animal healthcare: the sustained increase in pet ownership, the medicalization and humanization of pets, and the growing clinical focus on chronic conditions, particularly dermatological and allergic diseases. Together, these trends create a durable and recurring demand for diagnostic tools that can be integrated into routine veterinary practice rather than reserved for exceptional or referral-only cases.</w:t>
      </w:r>
    </w:p>
    <w:p w14:paraId="0BC28AD7" w14:textId="77777777" w:rsidR="00F12B65" w:rsidRPr="00DE6988" w:rsidRDefault="00F12B65" w:rsidP="00F12B65">
      <w:pPr>
        <w:rPr>
          <w:rFonts w:ascii="Aptos" w:hAnsi="Aptos"/>
        </w:rPr>
      </w:pPr>
      <w:r w:rsidRPr="00DE6988">
        <w:rPr>
          <w:rFonts w:ascii="Aptos" w:hAnsi="Aptos"/>
        </w:rPr>
        <w:t>Allergic conditions in companion animals are both common and underdiagnosed. Epidemiological data across European markets consistently indicate prevalence ranges of approximately 12 to 18 percent in dogs and 10 to 14 percent in cats. These figures are conservative, as they reflect diagnosed cases rather than the broader population of animals presenting with chronic pruritus, otitis, dermatitis, or gastrointestinal symptoms of uncertain origin.</w:t>
      </w:r>
    </w:p>
    <w:p w14:paraId="4155002B" w14:textId="77777777" w:rsidR="00F12B65" w:rsidRPr="00DE6988" w:rsidRDefault="00F12B65" w:rsidP="00F12B65">
      <w:pPr>
        <w:rPr>
          <w:rFonts w:ascii="Aptos" w:hAnsi="Aptos"/>
        </w:rPr>
      </w:pPr>
      <w:r w:rsidRPr="00DE6988">
        <w:rPr>
          <w:rFonts w:ascii="Aptos" w:hAnsi="Aptos"/>
        </w:rPr>
        <w:t>France has been deliberately selected as the reference market for initial commercialization, market validation, and financial modeling. The country combines a large and dense population of companion animal veterinary clinics with a mature distribution ecosystem and a high level of clinical autonomy at the clinic level. French veterinarians are accustomed to in-clinic diagnostics, which lowers behavioral barriers to the adoption of allergy testing when positioned appropriately.</w:t>
      </w:r>
    </w:p>
    <w:p w14:paraId="74F455F2" w14:textId="77777777" w:rsidR="00F12B65" w:rsidRPr="00DE6988" w:rsidRDefault="00F12B65" w:rsidP="00F12B65">
      <w:pPr>
        <w:rPr>
          <w:rFonts w:ascii="Aptos" w:hAnsi="Aptos"/>
        </w:rPr>
      </w:pPr>
      <w:r w:rsidRPr="00DE6988">
        <w:rPr>
          <w:rFonts w:ascii="Aptos" w:hAnsi="Aptos"/>
        </w:rPr>
        <w:t>Pricing benchmarks show centralized laboratory tests typically translating to end-client prices between 85 and 150 euros, while rapid tests generally occupy a lower price band. DIATECH positions its offering between these extremes, enabling routine clinical use while preserving sustainable margins.</w:t>
      </w:r>
    </w:p>
    <w:p w14:paraId="5C922D6F" w14:textId="77777777" w:rsidR="00F12B65" w:rsidRPr="00DE6988" w:rsidRDefault="00F12B65" w:rsidP="00F12B65">
      <w:pPr>
        <w:rPr>
          <w:rFonts w:ascii="Aptos" w:hAnsi="Aptos"/>
        </w:rPr>
      </w:pPr>
      <w:r w:rsidRPr="00DE6988">
        <w:rPr>
          <w:rFonts w:ascii="Aptos" w:hAnsi="Aptos"/>
        </w:rPr>
        <w:t>Adoption is modeled as a progressive behavioral process rather than an aggressive sales-driven curve. Clinics move from awareness to trial and repeat usage as confidence builds. This logic underpins conservative volume assumptions and aligns directly with the France-only Excel financial model.</w:t>
      </w:r>
    </w:p>
    <w:p w14:paraId="6EE5D336" w14:textId="77777777" w:rsidR="00F12B65" w:rsidRPr="00DE6988" w:rsidRDefault="00F12B65" w:rsidP="00F12B65">
      <w:pPr>
        <w:rPr>
          <w:rFonts w:ascii="Aptos" w:hAnsi="Aptos"/>
        </w:rPr>
      </w:pPr>
      <w:r w:rsidRPr="00DE6988">
        <w:rPr>
          <w:rFonts w:ascii="Aptos" w:hAnsi="Aptos"/>
        </w:rPr>
        <w:t>The competitive landscape remains fragmented between centralized laboratories, rapid-test providers, and complex array-based solutions. DIATECH differentiates itself through fitness-for-purpose: delivering a reliable, interpretable, and economically viable solution for everyday veterinary practice.</w:t>
      </w:r>
    </w:p>
    <w:p w14:paraId="01E4C14C" w14:textId="77777777" w:rsidR="00F12B65" w:rsidRPr="00DE6988" w:rsidRDefault="00F12B65" w:rsidP="00F12B65">
      <w:pPr>
        <w:rPr>
          <w:rFonts w:ascii="Aptos" w:hAnsi="Aptos"/>
        </w:rPr>
      </w:pPr>
      <w:r w:rsidRPr="00DE6988">
        <w:rPr>
          <w:rFonts w:ascii="Aptos" w:hAnsi="Aptos"/>
        </w:rPr>
        <w:t>European expansion remains structured upside. France alone supports the base investment case, while other markets represent incremental value creation rather than a prerequisite for viability.</w:t>
      </w:r>
    </w:p>
    <w:p w14:paraId="3FD82BB2" w14:textId="77777777" w:rsidR="00F12B65" w:rsidRPr="00DE6988" w:rsidRDefault="00F12B65" w:rsidP="00F12B65">
      <w:pPr>
        <w:rPr>
          <w:rFonts w:ascii="Aptos" w:hAnsi="Aptos"/>
        </w:rPr>
      </w:pPr>
      <w:r w:rsidRPr="00DE6988">
        <w:rPr>
          <w:rFonts w:ascii="Aptos" w:hAnsi="Aptos"/>
        </w:rPr>
        <w:br w:type="page"/>
      </w:r>
    </w:p>
    <w:p w14:paraId="63111026" w14:textId="77777777" w:rsidR="00F12B65" w:rsidRPr="00DE6988" w:rsidRDefault="00F12B65" w:rsidP="00F12B65">
      <w:pPr>
        <w:pStyle w:val="Heading1"/>
        <w:rPr>
          <w:rFonts w:ascii="Aptos" w:hAnsi="Aptos"/>
        </w:rPr>
      </w:pPr>
      <w:r w:rsidRPr="00DE6988">
        <w:rPr>
          <w:rFonts w:ascii="Aptos" w:hAnsi="Aptos"/>
        </w:rPr>
        <w:lastRenderedPageBreak/>
        <w:t>Investor Deep-Dive Appendix</w:t>
      </w:r>
    </w:p>
    <w:p w14:paraId="20A57366" w14:textId="77777777" w:rsidR="00F12B65" w:rsidRPr="00DE6988" w:rsidRDefault="00F12B65" w:rsidP="00F12B65">
      <w:pPr>
        <w:pStyle w:val="Heading2"/>
        <w:rPr>
          <w:rFonts w:ascii="Aptos" w:hAnsi="Aptos"/>
        </w:rPr>
      </w:pPr>
      <w:r w:rsidRPr="00DE6988">
        <w:rPr>
          <w:rFonts w:ascii="Aptos" w:hAnsi="Aptos"/>
        </w:rPr>
        <w:t>Adoption Curve Rationale</w:t>
      </w:r>
    </w:p>
    <w:p w14:paraId="0648D19F" w14:textId="77777777" w:rsidR="00F12B65" w:rsidRPr="00DE6988" w:rsidRDefault="00F12B65" w:rsidP="00F12B65">
      <w:pPr>
        <w:rPr>
          <w:rFonts w:ascii="Aptos" w:hAnsi="Aptos"/>
        </w:rPr>
      </w:pPr>
      <w:r w:rsidRPr="00DE6988">
        <w:rPr>
          <w:rFonts w:ascii="Aptos" w:hAnsi="Aptos"/>
        </w:rPr>
        <w:t>Adoption of allergy diagnostics in veterinary practice is fundamentally behavior-driven rather than promotion-driven. Veterinarians adopt new diagnostic tools when these tools demonstrably shorten diagnostic pathways, reduce uncertainty, and can be clearly explained to pet owners. Initial usage is typically selective, focused on complex or recurrent cases. As confidence in result consistency and interpretability grows, testing progressively becomes routine. This dynamic explains why adoption curves are gradual but durable, supporting repeat usage rather than one-off spikes.</w:t>
      </w:r>
    </w:p>
    <w:p w14:paraId="329E71C4" w14:textId="77777777" w:rsidR="00F12B65" w:rsidRPr="00DE6988" w:rsidRDefault="00F12B65" w:rsidP="00F12B65">
      <w:pPr>
        <w:pStyle w:val="Heading2"/>
        <w:rPr>
          <w:rFonts w:ascii="Aptos" w:hAnsi="Aptos"/>
        </w:rPr>
      </w:pPr>
      <w:r w:rsidRPr="00DE6988">
        <w:rPr>
          <w:rFonts w:ascii="Aptos" w:hAnsi="Aptos"/>
        </w:rPr>
        <w:t>Pricing Psychology and Clinical Value</w:t>
      </w:r>
    </w:p>
    <w:p w14:paraId="037F3E1B" w14:textId="77777777" w:rsidR="00F12B65" w:rsidRPr="00DE6988" w:rsidRDefault="00F12B65" w:rsidP="00F12B65">
      <w:pPr>
        <w:rPr>
          <w:rFonts w:ascii="Aptos" w:hAnsi="Aptos"/>
        </w:rPr>
      </w:pPr>
      <w:r w:rsidRPr="00DE6988">
        <w:rPr>
          <w:rFonts w:ascii="Aptos" w:hAnsi="Aptos"/>
        </w:rPr>
        <w:t>Veterinary pricing is governed less by absolute cost than by perceived clinical utility and owner acceptance. Tests priced too high are reserved for exceptional cases, while tests priced too low risk being perceived as unreliable. DIATECH’s pricing deliberately sits in an intermediate range that signals clinical seriousness while remaining compatible with routine use. This balance is essential to achieving sustainable volumes without eroding professional trust.</w:t>
      </w:r>
    </w:p>
    <w:p w14:paraId="437E3360" w14:textId="77777777" w:rsidR="00F12B65" w:rsidRPr="00DE6988" w:rsidRDefault="00F12B65" w:rsidP="00F12B65">
      <w:pPr>
        <w:pStyle w:val="Heading2"/>
        <w:rPr>
          <w:rFonts w:ascii="Aptos" w:hAnsi="Aptos"/>
        </w:rPr>
      </w:pPr>
      <w:r w:rsidRPr="00DE6988">
        <w:rPr>
          <w:rFonts w:ascii="Aptos" w:hAnsi="Aptos"/>
        </w:rPr>
        <w:t>Distributor Dependency and Mitigation</w:t>
      </w:r>
    </w:p>
    <w:p w14:paraId="5B85D219" w14:textId="77777777" w:rsidR="00F12B65" w:rsidRPr="00DE6988" w:rsidRDefault="00F12B65" w:rsidP="00F12B65">
      <w:pPr>
        <w:rPr>
          <w:rFonts w:ascii="Aptos" w:hAnsi="Aptos"/>
        </w:rPr>
      </w:pPr>
      <w:r w:rsidRPr="00DE6988">
        <w:rPr>
          <w:rFonts w:ascii="Aptos" w:hAnsi="Aptos"/>
        </w:rPr>
        <w:t>Distributor partnerships are a structural necessity in veterinary diagnostics, but they introduce dependency risk. DIATECH mitigates this risk through selective partner choice, clear contractual expectations, and gradual volume scaling. No single distributor is assumed to control the entirety of the French market in early phases. Over time, performance-based diversification remains an option without destabilizing the commercial model.</w:t>
      </w:r>
    </w:p>
    <w:p w14:paraId="37D9FC53" w14:textId="77777777" w:rsidR="00F12B65" w:rsidRPr="00DE6988" w:rsidRDefault="00F12B65" w:rsidP="00F12B65">
      <w:pPr>
        <w:pStyle w:val="Heading2"/>
        <w:rPr>
          <w:rFonts w:ascii="Aptos" w:hAnsi="Aptos"/>
        </w:rPr>
      </w:pPr>
      <w:r w:rsidRPr="00DE6988">
        <w:rPr>
          <w:rFonts w:ascii="Aptos" w:hAnsi="Aptos"/>
        </w:rPr>
        <w:t>Risk Asymmetry and Downside Protection</w:t>
      </w:r>
    </w:p>
    <w:p w14:paraId="40B1BD91" w14:textId="77777777" w:rsidR="00F12B65" w:rsidRPr="00DE6988" w:rsidRDefault="00F12B65" w:rsidP="00F12B65">
      <w:pPr>
        <w:rPr>
          <w:rFonts w:ascii="Aptos" w:hAnsi="Aptos"/>
        </w:rPr>
      </w:pPr>
      <w:r w:rsidRPr="00DE6988">
        <w:rPr>
          <w:rFonts w:ascii="Aptos" w:hAnsi="Aptos"/>
        </w:rPr>
        <w:t>The principal downside risks relate to slower adoption, supplier dependency, and delayed regulatory alignment in secondary markets. These risks are asymmetric: while they may slow growth, they do not structurally invalidate the business. The cost base remains sufficiently lean to preserve runway under conservative scenarios, while upside remains significant if adoption accelerates beyond base assumptions.</w:t>
      </w:r>
    </w:p>
    <w:p w14:paraId="7DC22D1A" w14:textId="77777777" w:rsidR="00F12B65" w:rsidRPr="00DE6988" w:rsidRDefault="00F12B65" w:rsidP="00F12B65">
      <w:pPr>
        <w:pStyle w:val="Heading2"/>
        <w:rPr>
          <w:rFonts w:ascii="Aptos" w:hAnsi="Aptos"/>
        </w:rPr>
      </w:pPr>
      <w:r w:rsidRPr="00DE6988">
        <w:rPr>
          <w:rFonts w:ascii="Aptos" w:hAnsi="Aptos"/>
        </w:rPr>
        <w:t>Why the France-Only Case Works</w:t>
      </w:r>
    </w:p>
    <w:p w14:paraId="1D493EF3" w14:textId="77777777" w:rsidR="00F12B65" w:rsidRPr="00DE6988" w:rsidRDefault="00F12B65" w:rsidP="00F12B65">
      <w:pPr>
        <w:rPr>
          <w:rFonts w:ascii="Aptos" w:hAnsi="Aptos"/>
        </w:rPr>
      </w:pPr>
      <w:r w:rsidRPr="00DE6988">
        <w:rPr>
          <w:rFonts w:ascii="Aptos" w:hAnsi="Aptos"/>
        </w:rPr>
        <w:t xml:space="preserve">The France-only case is not a </w:t>
      </w:r>
      <w:proofErr w:type="gramStart"/>
      <w:r w:rsidRPr="00DE6988">
        <w:rPr>
          <w:rFonts w:ascii="Aptos" w:hAnsi="Aptos"/>
        </w:rPr>
        <w:t>stepping stone</w:t>
      </w:r>
      <w:proofErr w:type="gramEnd"/>
      <w:r w:rsidRPr="00DE6988">
        <w:rPr>
          <w:rFonts w:ascii="Aptos" w:hAnsi="Aptos"/>
        </w:rPr>
        <w:t xml:space="preserve"> but a complete investment </w:t>
      </w:r>
      <w:proofErr w:type="gramStart"/>
      <w:r w:rsidRPr="00DE6988">
        <w:rPr>
          <w:rFonts w:ascii="Aptos" w:hAnsi="Aptos"/>
        </w:rPr>
        <w:t>logic in itself</w:t>
      </w:r>
      <w:proofErr w:type="gramEnd"/>
      <w:r w:rsidRPr="00DE6988">
        <w:rPr>
          <w:rFonts w:ascii="Aptos" w:hAnsi="Aptos"/>
        </w:rPr>
        <w:t>. Market depth, clinic density, and diagnostic maturity provide sufficient scale to validate the product and reach sustainability. European expansion enhances valuation but is not required to justify initial investment, reducing execution pressure.</w:t>
      </w:r>
    </w:p>
    <w:p w14:paraId="3003F158" w14:textId="77777777" w:rsidR="00F12B65" w:rsidRDefault="00F12B65"/>
    <w:sectPr w:rsidR="00F12B65" w:rsidSect="00F12B6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65"/>
    <w:rsid w:val="00035044"/>
    <w:rsid w:val="00F12B6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369E73D9"/>
  <w15:chartTrackingRefBased/>
  <w15:docId w15:val="{4920477D-0FD5-5741-8930-00C11228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65"/>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F12B6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BE"/>
      <w14:ligatures w14:val="standardContextual"/>
    </w:rPr>
  </w:style>
  <w:style w:type="paragraph" w:styleId="Heading2">
    <w:name w:val="heading 2"/>
    <w:basedOn w:val="Normal"/>
    <w:next w:val="Normal"/>
    <w:link w:val="Heading2Char"/>
    <w:uiPriority w:val="9"/>
    <w:unhideWhenUsed/>
    <w:qFormat/>
    <w:rsid w:val="00F12B6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BE"/>
      <w14:ligatures w14:val="standardContextual"/>
    </w:rPr>
  </w:style>
  <w:style w:type="paragraph" w:styleId="Heading3">
    <w:name w:val="heading 3"/>
    <w:basedOn w:val="Normal"/>
    <w:next w:val="Normal"/>
    <w:link w:val="Heading3Char"/>
    <w:uiPriority w:val="9"/>
    <w:semiHidden/>
    <w:unhideWhenUsed/>
    <w:qFormat/>
    <w:rsid w:val="00F12B65"/>
    <w:pPr>
      <w:keepNext/>
      <w:keepLines/>
      <w:spacing w:before="160" w:after="80" w:line="278" w:lineRule="auto"/>
      <w:outlineLvl w:val="2"/>
    </w:pPr>
    <w:rPr>
      <w:rFonts w:eastAsiaTheme="majorEastAsia" w:cstheme="majorBidi"/>
      <w:color w:val="0F4761" w:themeColor="accent1" w:themeShade="BF"/>
      <w:kern w:val="2"/>
      <w:sz w:val="28"/>
      <w:szCs w:val="28"/>
      <w:lang w:val="en-BE"/>
      <w14:ligatures w14:val="standardContextual"/>
    </w:rPr>
  </w:style>
  <w:style w:type="paragraph" w:styleId="Heading4">
    <w:name w:val="heading 4"/>
    <w:basedOn w:val="Normal"/>
    <w:next w:val="Normal"/>
    <w:link w:val="Heading4Char"/>
    <w:uiPriority w:val="9"/>
    <w:semiHidden/>
    <w:unhideWhenUsed/>
    <w:qFormat/>
    <w:rsid w:val="00F12B65"/>
    <w:pPr>
      <w:keepNext/>
      <w:keepLines/>
      <w:spacing w:before="80" w:after="40" w:line="278" w:lineRule="auto"/>
      <w:outlineLvl w:val="3"/>
    </w:pPr>
    <w:rPr>
      <w:rFonts w:eastAsiaTheme="majorEastAsia" w:cstheme="majorBidi"/>
      <w:i/>
      <w:iCs/>
      <w:color w:val="0F4761" w:themeColor="accent1" w:themeShade="BF"/>
      <w:kern w:val="2"/>
      <w:sz w:val="24"/>
      <w:szCs w:val="24"/>
      <w:lang w:val="en-BE"/>
      <w14:ligatures w14:val="standardContextual"/>
    </w:rPr>
  </w:style>
  <w:style w:type="paragraph" w:styleId="Heading5">
    <w:name w:val="heading 5"/>
    <w:basedOn w:val="Normal"/>
    <w:next w:val="Normal"/>
    <w:link w:val="Heading5Char"/>
    <w:uiPriority w:val="9"/>
    <w:semiHidden/>
    <w:unhideWhenUsed/>
    <w:qFormat/>
    <w:rsid w:val="00F12B65"/>
    <w:pPr>
      <w:keepNext/>
      <w:keepLines/>
      <w:spacing w:before="80" w:after="40" w:line="278" w:lineRule="auto"/>
      <w:outlineLvl w:val="4"/>
    </w:pPr>
    <w:rPr>
      <w:rFonts w:eastAsiaTheme="majorEastAsia" w:cstheme="majorBidi"/>
      <w:color w:val="0F4761" w:themeColor="accent1" w:themeShade="BF"/>
      <w:kern w:val="2"/>
      <w:sz w:val="24"/>
      <w:szCs w:val="24"/>
      <w:lang w:val="en-BE"/>
      <w14:ligatures w14:val="standardContextual"/>
    </w:rPr>
  </w:style>
  <w:style w:type="paragraph" w:styleId="Heading6">
    <w:name w:val="heading 6"/>
    <w:basedOn w:val="Normal"/>
    <w:next w:val="Normal"/>
    <w:link w:val="Heading6Char"/>
    <w:uiPriority w:val="9"/>
    <w:semiHidden/>
    <w:unhideWhenUsed/>
    <w:qFormat/>
    <w:rsid w:val="00F12B65"/>
    <w:pPr>
      <w:keepNext/>
      <w:keepLines/>
      <w:spacing w:before="40" w:after="0" w:line="278" w:lineRule="auto"/>
      <w:outlineLvl w:val="5"/>
    </w:pPr>
    <w:rPr>
      <w:rFonts w:eastAsiaTheme="majorEastAsia" w:cstheme="majorBidi"/>
      <w:i/>
      <w:iCs/>
      <w:color w:val="595959" w:themeColor="text1" w:themeTint="A6"/>
      <w:kern w:val="2"/>
      <w:sz w:val="24"/>
      <w:szCs w:val="24"/>
      <w:lang w:val="en-BE"/>
      <w14:ligatures w14:val="standardContextual"/>
    </w:rPr>
  </w:style>
  <w:style w:type="paragraph" w:styleId="Heading7">
    <w:name w:val="heading 7"/>
    <w:basedOn w:val="Normal"/>
    <w:next w:val="Normal"/>
    <w:link w:val="Heading7Char"/>
    <w:uiPriority w:val="9"/>
    <w:semiHidden/>
    <w:unhideWhenUsed/>
    <w:qFormat/>
    <w:rsid w:val="00F12B65"/>
    <w:pPr>
      <w:keepNext/>
      <w:keepLines/>
      <w:spacing w:before="40" w:after="0" w:line="278" w:lineRule="auto"/>
      <w:outlineLvl w:val="6"/>
    </w:pPr>
    <w:rPr>
      <w:rFonts w:eastAsiaTheme="majorEastAsia" w:cstheme="majorBidi"/>
      <w:color w:val="595959" w:themeColor="text1" w:themeTint="A6"/>
      <w:kern w:val="2"/>
      <w:sz w:val="24"/>
      <w:szCs w:val="24"/>
      <w:lang w:val="en-BE"/>
      <w14:ligatures w14:val="standardContextual"/>
    </w:rPr>
  </w:style>
  <w:style w:type="paragraph" w:styleId="Heading8">
    <w:name w:val="heading 8"/>
    <w:basedOn w:val="Normal"/>
    <w:next w:val="Normal"/>
    <w:link w:val="Heading8Char"/>
    <w:uiPriority w:val="9"/>
    <w:semiHidden/>
    <w:unhideWhenUsed/>
    <w:qFormat/>
    <w:rsid w:val="00F12B65"/>
    <w:pPr>
      <w:keepNext/>
      <w:keepLines/>
      <w:spacing w:after="0" w:line="278" w:lineRule="auto"/>
      <w:outlineLvl w:val="7"/>
    </w:pPr>
    <w:rPr>
      <w:rFonts w:eastAsiaTheme="majorEastAsia" w:cstheme="majorBidi"/>
      <w:i/>
      <w:iCs/>
      <w:color w:val="272727" w:themeColor="text1" w:themeTint="D8"/>
      <w:kern w:val="2"/>
      <w:sz w:val="24"/>
      <w:szCs w:val="24"/>
      <w:lang w:val="en-BE"/>
      <w14:ligatures w14:val="standardContextual"/>
    </w:rPr>
  </w:style>
  <w:style w:type="paragraph" w:styleId="Heading9">
    <w:name w:val="heading 9"/>
    <w:basedOn w:val="Normal"/>
    <w:next w:val="Normal"/>
    <w:link w:val="Heading9Char"/>
    <w:uiPriority w:val="9"/>
    <w:semiHidden/>
    <w:unhideWhenUsed/>
    <w:qFormat/>
    <w:rsid w:val="00F12B65"/>
    <w:pPr>
      <w:keepNext/>
      <w:keepLines/>
      <w:spacing w:after="0" w:line="278" w:lineRule="auto"/>
      <w:outlineLvl w:val="8"/>
    </w:pPr>
    <w:rPr>
      <w:rFonts w:eastAsiaTheme="majorEastAsia" w:cstheme="majorBidi"/>
      <w:color w:val="272727" w:themeColor="text1" w:themeTint="D8"/>
      <w:kern w:val="2"/>
      <w:sz w:val="24"/>
      <w:szCs w:val="24"/>
      <w:lang w:val="en-B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2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B65"/>
    <w:rPr>
      <w:rFonts w:eastAsiaTheme="majorEastAsia" w:cstheme="majorBidi"/>
      <w:color w:val="272727" w:themeColor="text1" w:themeTint="D8"/>
    </w:rPr>
  </w:style>
  <w:style w:type="paragraph" w:styleId="Title">
    <w:name w:val="Title"/>
    <w:basedOn w:val="Normal"/>
    <w:next w:val="Normal"/>
    <w:link w:val="TitleChar"/>
    <w:uiPriority w:val="10"/>
    <w:qFormat/>
    <w:rsid w:val="00F12B65"/>
    <w:pPr>
      <w:spacing w:after="80" w:line="240" w:lineRule="auto"/>
      <w:contextualSpacing/>
    </w:pPr>
    <w:rPr>
      <w:rFonts w:asciiTheme="majorHAnsi" w:eastAsiaTheme="majorEastAsia" w:hAnsiTheme="majorHAnsi" w:cstheme="majorBidi"/>
      <w:spacing w:val="-10"/>
      <w:kern w:val="28"/>
      <w:sz w:val="56"/>
      <w:szCs w:val="56"/>
      <w:lang w:val="en-BE"/>
      <w14:ligatures w14:val="standardContextual"/>
    </w:rPr>
  </w:style>
  <w:style w:type="character" w:customStyle="1" w:styleId="TitleChar">
    <w:name w:val="Title Char"/>
    <w:basedOn w:val="DefaultParagraphFont"/>
    <w:link w:val="Title"/>
    <w:uiPriority w:val="10"/>
    <w:rsid w:val="00F12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B65"/>
    <w:pPr>
      <w:numPr>
        <w:ilvl w:val="1"/>
      </w:numPr>
      <w:spacing w:after="160" w:line="278" w:lineRule="auto"/>
    </w:pPr>
    <w:rPr>
      <w:rFonts w:eastAsiaTheme="majorEastAsia" w:cstheme="majorBidi"/>
      <w:color w:val="595959" w:themeColor="text1" w:themeTint="A6"/>
      <w:spacing w:val="15"/>
      <w:kern w:val="2"/>
      <w:sz w:val="28"/>
      <w:szCs w:val="28"/>
      <w:lang w:val="en-BE"/>
      <w14:ligatures w14:val="standardContextual"/>
    </w:rPr>
  </w:style>
  <w:style w:type="character" w:customStyle="1" w:styleId="SubtitleChar">
    <w:name w:val="Subtitle Char"/>
    <w:basedOn w:val="DefaultParagraphFont"/>
    <w:link w:val="Subtitle"/>
    <w:uiPriority w:val="11"/>
    <w:rsid w:val="00F12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B65"/>
    <w:pPr>
      <w:spacing w:before="160" w:after="160" w:line="278" w:lineRule="auto"/>
      <w:jc w:val="center"/>
    </w:pPr>
    <w:rPr>
      <w:rFonts w:eastAsiaTheme="minorHAnsi"/>
      <w:i/>
      <w:iCs/>
      <w:color w:val="404040" w:themeColor="text1" w:themeTint="BF"/>
      <w:kern w:val="2"/>
      <w:sz w:val="24"/>
      <w:szCs w:val="24"/>
      <w:lang w:val="en-BE"/>
      <w14:ligatures w14:val="standardContextual"/>
    </w:rPr>
  </w:style>
  <w:style w:type="character" w:customStyle="1" w:styleId="QuoteChar">
    <w:name w:val="Quote Char"/>
    <w:basedOn w:val="DefaultParagraphFont"/>
    <w:link w:val="Quote"/>
    <w:uiPriority w:val="29"/>
    <w:rsid w:val="00F12B65"/>
    <w:rPr>
      <w:i/>
      <w:iCs/>
      <w:color w:val="404040" w:themeColor="text1" w:themeTint="BF"/>
    </w:rPr>
  </w:style>
  <w:style w:type="paragraph" w:styleId="ListParagraph">
    <w:name w:val="List Paragraph"/>
    <w:basedOn w:val="Normal"/>
    <w:uiPriority w:val="34"/>
    <w:qFormat/>
    <w:rsid w:val="00F12B65"/>
    <w:pPr>
      <w:spacing w:after="160" w:line="278" w:lineRule="auto"/>
      <w:ind w:left="720"/>
      <w:contextualSpacing/>
    </w:pPr>
    <w:rPr>
      <w:rFonts w:eastAsiaTheme="minorHAnsi"/>
      <w:kern w:val="2"/>
      <w:sz w:val="24"/>
      <w:szCs w:val="24"/>
      <w:lang w:val="en-BE"/>
      <w14:ligatures w14:val="standardContextual"/>
    </w:rPr>
  </w:style>
  <w:style w:type="character" w:styleId="IntenseEmphasis">
    <w:name w:val="Intense Emphasis"/>
    <w:basedOn w:val="DefaultParagraphFont"/>
    <w:uiPriority w:val="21"/>
    <w:qFormat/>
    <w:rsid w:val="00F12B65"/>
    <w:rPr>
      <w:i/>
      <w:iCs/>
      <w:color w:val="0F4761" w:themeColor="accent1" w:themeShade="BF"/>
    </w:rPr>
  </w:style>
  <w:style w:type="paragraph" w:styleId="IntenseQuote">
    <w:name w:val="Intense Quote"/>
    <w:basedOn w:val="Normal"/>
    <w:next w:val="Normal"/>
    <w:link w:val="IntenseQuoteChar"/>
    <w:uiPriority w:val="30"/>
    <w:qFormat/>
    <w:rsid w:val="00F12B6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BE"/>
      <w14:ligatures w14:val="standardContextual"/>
    </w:rPr>
  </w:style>
  <w:style w:type="character" w:customStyle="1" w:styleId="IntenseQuoteChar">
    <w:name w:val="Intense Quote Char"/>
    <w:basedOn w:val="DefaultParagraphFont"/>
    <w:link w:val="IntenseQuote"/>
    <w:uiPriority w:val="30"/>
    <w:rsid w:val="00F12B65"/>
    <w:rPr>
      <w:i/>
      <w:iCs/>
      <w:color w:val="0F4761" w:themeColor="accent1" w:themeShade="BF"/>
    </w:rPr>
  </w:style>
  <w:style w:type="character" w:styleId="IntenseReference">
    <w:name w:val="Intense Reference"/>
    <w:basedOn w:val="DefaultParagraphFont"/>
    <w:uiPriority w:val="32"/>
    <w:qFormat/>
    <w:rsid w:val="00F12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Havaux - JCHyTech</dc:creator>
  <cp:keywords/>
  <dc:description/>
  <cp:lastModifiedBy>Jean-Claude Havaux - JCHyTech</cp:lastModifiedBy>
  <cp:revision>1</cp:revision>
  <dcterms:created xsi:type="dcterms:W3CDTF">2026-01-14T14:03:00Z</dcterms:created>
  <dcterms:modified xsi:type="dcterms:W3CDTF">2026-01-14T14:04:00Z</dcterms:modified>
</cp:coreProperties>
</file>