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508ca818d3b152c555b4282142b55e84c8e9d3"/>
    <w:p>
      <w:pPr>
        <w:pStyle w:val="Heading1"/>
      </w:pPr>
      <w:r>
        <w:t xml:space="preserve">CONVENTION DE BLOC DES FONDATEURS — VETALYX SRL</w:t>
      </w:r>
    </w:p>
    <w:p>
      <w:pPr>
        <w:pStyle w:val="FirstParagraph"/>
      </w:pPr>
      <w:r>
        <w:rPr>
          <w:b/>
          <w:bCs/>
        </w:rPr>
        <w:t xml:space="preserve">Document séparé — réservé aux quatre Fondateurs (non soumis à DIAHO)</w:t>
      </w:r>
      <w:r>
        <w:t xml:space="preserve"> </w:t>
      </w:r>
      <w:r>
        <w:rPr>
          <w:b/>
          <w:bCs/>
        </w:rPr>
        <w:t xml:space="preserve">Version v2 — 2026-10-05</w:t>
      </w:r>
      <w:r>
        <w:t xml:space="preserve"> </w:t>
      </w:r>
      <w:r>
        <w:rPr>
          <w:b/>
          <w:bCs/>
        </w:rPr>
        <w:t xml:space="preserve">Rédigé par :</w:t>
      </w:r>
      <w:r>
        <w:t xml:space="preserve"> </w:t>
      </w:r>
      <w:r>
        <w:t xml:space="preserve">Renard 🦊 (passe de révision v2) — orchestré par Dobby 🦉</w:t>
      </w:r>
      <w:r>
        <w:t xml:space="preserve"> </w:t>
      </w:r>
      <w:r>
        <w:rPr>
          <w:b/>
          <w:bCs/>
        </w:rPr>
        <w:t xml:space="preserve">Statut :</w:t>
      </w:r>
      <w:r>
        <w:t xml:space="preserve"> </w:t>
      </w:r>
      <w:r>
        <w:t xml:space="preserve">Projet de travail — non signé</w:t>
      </w:r>
    </w:p>
    <w:p>
      <w:pPr>
        <w:pStyle w:val="BlockText"/>
      </w:pPr>
      <w:r>
        <w:rPr>
          <w:b/>
          <w:bCs/>
        </w:rPr>
        <w:t xml:space="preserve">Langue :</w:t>
      </w:r>
      <w:r>
        <w:t xml:space="preserve"> </w:t>
      </w:r>
      <w:r>
        <w:t xml:space="preserve">rédigée en français uniquement. Le texte français fait foi.</w:t>
      </w:r>
      <w:r>
        <w:t xml:space="preserve"> </w:t>
      </w:r>
      <w:r>
        <w:rPr>
          <w:b/>
          <w:bCs/>
        </w:rPr>
        <w:t xml:space="preserve">Articulation :</w:t>
      </w:r>
      <w:r>
        <w:t xml:space="preserve"> </w:t>
      </w:r>
      <w:r>
        <w:t xml:space="preserve">la présente Convention régit les</w:t>
      </w:r>
      <w:r>
        <w:t xml:space="preserve"> </w:t>
      </w:r>
      <w:r>
        <w:rPr>
          <w:b/>
          <w:bCs/>
        </w:rPr>
        <w:t xml:space="preserve">seuls rapports internes entre les quatre Fondateurs</w:t>
      </w:r>
      <w:r>
        <w:t xml:space="preserve">. Elle est subordonnée au Pacte d’Actionnaires (couche 1) : en cas de conflit, le Pacte d’Actionnaires prévaut à l’égard de la Société et de DIAHO ; la présente Convention ne peut pas y déroger.</w:t>
      </w:r>
    </w:p>
    <w:p>
      <w:r>
        <w:pict>
          <v:rect style="width:0;height:1.5pt" o:hralign="center" o:hrstd="t" o:hr="t"/>
        </w:pict>
      </w:r>
    </w:p>
    <w:bookmarkStart w:id="9" w:name="X47b65689acfe8635e407a09a96668377a226200"/>
    <w:p>
      <w:pPr>
        <w:pStyle w:val="Heading2"/>
      </w:pPr>
      <w:r>
        <w:t xml:space="preserve">TABLE DE CONCORDANCE AVEC LE PACTE D’ACTIONNAIRES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Thème</w:t>
            </w:r>
          </w:p>
        </w:tc>
        <w:tc>
          <w:tcPr/>
          <w:p>
            <w:pPr>
              <w:pStyle w:val="Compact"/>
            </w:pPr>
            <w:r>
              <w:t xml:space="preserve">Convention</w:t>
            </w:r>
          </w:p>
        </w:tc>
        <w:tc>
          <w:tcPr/>
          <w:p>
            <w:pPr>
              <w:pStyle w:val="Compact"/>
            </w:pPr>
            <w:r>
              <w:t xml:space="preserve">Pacte d’actionnaires</w:t>
            </w:r>
          </w:p>
        </w:tc>
        <w:tc>
          <w:tcPr/>
          <w:p>
            <w:pPr>
              <w:pStyle w:val="Compact"/>
            </w:pPr>
            <w:r>
              <w:t xml:space="preserve">Concordance</w:t>
            </w:r>
          </w:p>
        </w:tc>
      </w:tr>
      <w:tr>
        <w:tc>
          <w:tcPr/>
          <w:p>
            <w:pPr>
              <w:pStyle w:val="Compact"/>
            </w:pPr>
            <w:r>
              <w:t xml:space="preserve">Vote en bloc / décisions internes</w:t>
            </w:r>
          </w:p>
        </w:tc>
        <w:tc>
          <w:tcPr/>
          <w:p>
            <w:pPr>
              <w:pStyle w:val="Compact"/>
            </w:pPr>
            <w:r>
              <w:t xml:space="preserve">Art. 3-5</w:t>
            </w:r>
          </w:p>
        </w:tc>
        <w:tc>
          <w:tcPr/>
          <w:p>
            <w:pPr>
              <w:pStyle w:val="Compact"/>
            </w:pPr>
            <w:r>
              <w:t xml:space="preserve">Art. 6</w:t>
            </w:r>
          </w:p>
        </w:tc>
        <w:tc>
          <w:tcPr/>
          <w:p>
            <w:pPr>
              <w:pStyle w:val="Compact"/>
            </w:pPr>
            <w:r>
              <w:t xml:space="preserve">✅</w:t>
            </w:r>
          </w:p>
        </w:tc>
      </w:tr>
      <w:tr>
        <w:tc>
          <w:tcPr/>
          <w:p>
            <w:pPr>
              <w:pStyle w:val="Compact"/>
            </w:pPr>
            <w:r>
              <w:t xml:space="preserve">Lock-up</w:t>
            </w:r>
          </w:p>
        </w:tc>
        <w:tc>
          <w:tcPr/>
          <w:p>
            <w:pPr>
              <w:pStyle w:val="Compact"/>
            </w:pPr>
            <w:r>
              <w:t xml:space="preserve">Art. 8</w:t>
            </w:r>
          </w:p>
        </w:tc>
        <w:tc>
          <w:tcPr/>
          <w:p>
            <w:pPr>
              <w:pStyle w:val="Compact"/>
            </w:pPr>
            <w:r>
              <w:t xml:space="preserve">Art. 9</w:t>
            </w:r>
          </w:p>
        </w:tc>
        <w:tc>
          <w:tcPr/>
          <w:p>
            <w:pPr>
              <w:pStyle w:val="Compact"/>
            </w:pPr>
            <w:r>
              <w:t xml:space="preserve">✅ (3 ans)</w:t>
            </w:r>
          </w:p>
        </w:tc>
      </w:tr>
      <w:tr>
        <w:tc>
          <w:tcPr/>
          <w:p>
            <w:pPr>
              <w:pStyle w:val="Compact"/>
            </w:pPr>
            <w:r>
              <w:t xml:space="preserve">Préemption interne</w:t>
            </w:r>
          </w:p>
        </w:tc>
        <w:tc>
          <w:tcPr/>
          <w:p>
            <w:pPr>
              <w:pStyle w:val="Compact"/>
            </w:pPr>
            <w:r>
              <w:t xml:space="preserve">Art. 9</w:t>
            </w:r>
          </w:p>
        </w:tc>
        <w:tc>
          <w:tcPr/>
          <w:p>
            <w:pPr>
              <w:pStyle w:val="Compact"/>
            </w:pPr>
            <w:r>
              <w:t xml:space="preserve">Art. 10</w:t>
            </w:r>
          </w:p>
        </w:tc>
        <w:tc>
          <w:tcPr/>
          <w:p>
            <w:pPr>
              <w:pStyle w:val="Compact"/>
            </w:pPr>
            <w:r>
              <w:t xml:space="preserve">✅</w:t>
            </w:r>
          </w:p>
        </w:tc>
      </w:tr>
      <w:tr>
        <w:tc>
          <w:tcPr/>
          <w:p>
            <w:pPr>
              <w:pStyle w:val="Compact"/>
            </w:pPr>
            <w:r>
              <w:t xml:space="preserve">Agrément interne</w:t>
            </w:r>
          </w:p>
        </w:tc>
        <w:tc>
          <w:tcPr/>
          <w:p>
            <w:pPr>
              <w:pStyle w:val="Compact"/>
            </w:pPr>
            <w:r>
              <w:t xml:space="preserve">Art. 10</w:t>
            </w:r>
          </w:p>
        </w:tc>
        <w:tc>
          <w:tcPr/>
          <w:p>
            <w:pPr>
              <w:pStyle w:val="Compact"/>
            </w:pPr>
            <w:r>
              <w:t xml:space="preserve">Art. 11 (50 %)</w:t>
            </w:r>
          </w:p>
        </w:tc>
        <w:tc>
          <w:tcPr/>
          <w:p>
            <w:pPr>
              <w:pStyle w:val="Compact"/>
            </w:pPr>
            <w:r>
              <w:t xml:space="preserve">✅ (aligné 50 %)</w:t>
            </w:r>
          </w:p>
        </w:tc>
      </w:tr>
      <w:tr>
        <w:tc>
          <w:tcPr/>
          <w:p>
            <w:pPr>
              <w:pStyle w:val="Compact"/>
            </w:pPr>
            <w:r>
              <w:t xml:space="preserve">Exclusion</w:t>
            </w:r>
          </w:p>
        </w:tc>
        <w:tc>
          <w:tcPr/>
          <w:p>
            <w:pPr>
              <w:pStyle w:val="Compact"/>
            </w:pPr>
            <w:r>
              <w:t xml:space="preserve">Art. 11</w:t>
            </w:r>
          </w:p>
        </w:tc>
        <w:tc>
          <w:tcPr/>
          <w:p>
            <w:pPr>
              <w:pStyle w:val="Compact"/>
            </w:pPr>
            <w:r>
              <w:t xml:space="preserve">Art. 13</w:t>
            </w:r>
          </w:p>
        </w:tc>
        <w:tc>
          <w:tcPr/>
          <w:p>
            <w:pPr>
              <w:pStyle w:val="Compact"/>
            </w:pPr>
            <w:r>
              <w:t xml:space="preserve">✅</w:t>
            </w:r>
          </w:p>
        </w:tc>
      </w:tr>
      <w:tr>
        <w:tc>
          <w:tcPr/>
          <w:p>
            <w:pPr>
              <w:pStyle w:val="Compact"/>
            </w:pPr>
            <w:r>
              <w:t xml:space="preserve">Évaluation des parts</w:t>
            </w:r>
          </w:p>
        </w:tc>
        <w:tc>
          <w:tcPr/>
          <w:p>
            <w:pPr>
              <w:pStyle w:val="Compact"/>
            </w:pPr>
            <w:r>
              <w:t xml:space="preserve">Art. 12</w:t>
            </w:r>
          </w:p>
        </w:tc>
        <w:tc>
          <w:tcPr/>
          <w:p>
            <w:pPr>
              <w:pStyle w:val="Compact"/>
            </w:pPr>
            <w:r>
              <w:t xml:space="preserve">Art. 14</w:t>
            </w:r>
          </w:p>
        </w:tc>
        <w:tc>
          <w:tcPr/>
          <w:p>
            <w:pPr>
              <w:pStyle w:val="Compact"/>
            </w:pPr>
            <w:r>
              <w:t xml:space="preserve">✅</w:t>
            </w:r>
          </w:p>
        </w:tc>
      </w:tr>
      <w:tr>
        <w:tc>
          <w:tcPr/>
          <w:p>
            <w:pPr>
              <w:pStyle w:val="Compact"/>
            </w:pPr>
            <w:r>
              <w:t xml:space="preserve">Good/Bad Leaver</w:t>
            </w:r>
          </w:p>
        </w:tc>
        <w:tc>
          <w:tcPr/>
          <w:p>
            <w:pPr>
              <w:pStyle w:val="Compact"/>
            </w:pPr>
            <w:r>
              <w:t xml:space="preserve">Art. 13</w:t>
            </w:r>
          </w:p>
        </w:tc>
        <w:tc>
          <w:tcPr/>
          <w:p>
            <w:pPr>
              <w:pStyle w:val="Compact"/>
            </w:pPr>
            <w:r>
              <w:t xml:space="preserve">Art. 20</w:t>
            </w:r>
          </w:p>
        </w:tc>
        <w:tc>
          <w:tcPr/>
          <w:p>
            <w:pPr>
              <w:pStyle w:val="Compact"/>
            </w:pPr>
            <w:r>
              <w:t xml:space="preserve">✅</w:t>
            </w:r>
          </w:p>
        </w:tc>
      </w:tr>
      <w:tr>
        <w:tc>
          <w:tcPr/>
          <w:p>
            <w:pPr>
              <w:pStyle w:val="Compact"/>
            </w:pPr>
            <w:r>
              <w:t xml:space="preserve">Décès / incapacité</w:t>
            </w:r>
          </w:p>
        </w:tc>
        <w:tc>
          <w:tcPr/>
          <w:p>
            <w:pPr>
              <w:pStyle w:val="Compact"/>
            </w:pPr>
            <w:r>
              <w:t xml:space="preserve">Art. 14</w:t>
            </w:r>
          </w:p>
        </w:tc>
        <w:tc>
          <w:tcPr/>
          <w:p>
            <w:pPr>
              <w:pStyle w:val="Compact"/>
            </w:pPr>
            <w:r>
              <w:t xml:space="preserve">Art. 19</w:t>
            </w:r>
          </w:p>
        </w:tc>
        <w:tc>
          <w:tcPr/>
          <w:p>
            <w:pPr>
              <w:pStyle w:val="Compact"/>
            </w:pPr>
            <w:r>
              <w:t xml:space="preserve">✅</w:t>
            </w:r>
          </w:p>
        </w:tc>
      </w:tr>
      <w:tr>
        <w:tc>
          <w:tcPr/>
          <w:p>
            <w:pPr>
              <w:pStyle w:val="Compact"/>
            </w:pPr>
            <w:r>
              <w:t xml:space="preserve">Non-concurrence / confidentialité</w:t>
            </w:r>
          </w:p>
        </w:tc>
        <w:tc>
          <w:tcPr/>
          <w:p>
            <w:pPr>
              <w:pStyle w:val="Compact"/>
            </w:pPr>
            <w:r>
              <w:t xml:space="preserve">Art. 15-16</w:t>
            </w:r>
          </w:p>
        </w:tc>
        <w:tc>
          <w:tcPr/>
          <w:p>
            <w:pPr>
              <w:pStyle w:val="Compact"/>
            </w:pPr>
            <w:r>
              <w:t xml:space="preserve">Art. 16-17</w:t>
            </w:r>
          </w:p>
        </w:tc>
        <w:tc>
          <w:tcPr/>
          <w:p>
            <w:pPr>
              <w:pStyle w:val="Compact"/>
            </w:pPr>
            <w:r>
              <w:t xml:space="preserve">✅</w:t>
            </w:r>
          </w:p>
        </w:tc>
      </w:tr>
      <w:tr>
        <w:tc>
          <w:tcPr/>
          <w:p>
            <w:pPr>
              <w:pStyle w:val="Compact"/>
            </w:pPr>
            <w:r>
              <w:t xml:space="preserve">Deadlock interne</w:t>
            </w:r>
          </w:p>
        </w:tc>
        <w:tc>
          <w:tcPr/>
          <w:p>
            <w:pPr>
              <w:pStyle w:val="Compact"/>
            </w:pPr>
            <w:r>
              <w:t xml:space="preserve">Art. 19</w:t>
            </w:r>
          </w:p>
        </w:tc>
        <w:tc>
          <w:tcPr/>
          <w:p>
            <w:pPr>
              <w:pStyle w:val="Compact"/>
            </w:pPr>
            <w:r>
              <w:t xml:space="preserve">Art. 23</w:t>
            </w:r>
          </w:p>
        </w:tc>
        <w:tc>
          <w:tcPr/>
          <w:p>
            <w:pPr>
              <w:pStyle w:val="Compact"/>
            </w:pPr>
            <w:r>
              <w:t xml:space="preserve">✅</w:t>
            </w:r>
          </w:p>
        </w:tc>
      </w:tr>
    </w:tbl>
    <w:p>
      <w:r>
        <w:pict>
          <v:rect style="width:0;height:1.5pt" o:hralign="center" o:hrstd="t" o:hr="t"/>
        </w:pict>
      </w:r>
    </w:p>
    <w:bookmarkEnd w:id="9"/>
    <w:bookmarkStart w:id="10" w:name="préambule"/>
    <w:p>
      <w:pPr>
        <w:pStyle w:val="Heading2"/>
      </w:pPr>
      <w:r>
        <w:t xml:space="preserve">PRÉAMBULE</w:t>
      </w:r>
    </w:p>
    <w:p>
      <w:pPr>
        <w:pStyle w:val="FirstParagraph"/>
      </w:pPr>
      <w:r>
        <w:t xml:space="preserve">La présente Convention de bloc (ci-après la « Convention ») est conclue entre les quatre Fondateurs de VETALYX SRL, qui détiennent collectivement</w:t>
      </w:r>
      <w:r>
        <w:t xml:space="preserve"> </w:t>
      </w:r>
      <w:r>
        <w:rPr>
          <w:b/>
          <w:bCs/>
        </w:rPr>
        <w:t xml:space="preserve">60 %</w:t>
      </w:r>
      <w:r>
        <w:t xml:space="preserve"> </w:t>
      </w:r>
      <w:r>
        <w:t xml:space="preserve">du capital (4 × 15 %), face à DIAHO qui détient</w:t>
      </w:r>
      <w:r>
        <w:t xml:space="preserve"> </w:t>
      </w:r>
      <w:r>
        <w:rPr>
          <w:b/>
          <w:bCs/>
        </w:rPr>
        <w:t xml:space="preserve">40 %</w:t>
      </w:r>
      <w:r>
        <w:t xml:space="preserve">.</w:t>
      </w:r>
    </w:p>
    <w:p>
      <w:pPr>
        <w:pStyle w:val="BodyText"/>
      </w:pPr>
      <w:r>
        <w:t xml:space="preserve">Les Fondateurs reconnaissent que leur force réside dans leur unité : séparés, chacun ne détient que 15 % — inférieur au seuil de blocage de 25 % et au véto de DIAHO. Groupés, ils forment un bloc de 60 % capable de peser sur toute décision.</w:t>
      </w:r>
    </w:p>
    <w:p>
      <w:pPr>
        <w:pStyle w:val="BodyText"/>
      </w:pPr>
      <w:r>
        <w:t xml:space="preserve">La présente Convention organise la coordination du bloc : vote groupé, lock-up, préemption interne, sortie et cohésion.</w:t>
      </w:r>
    </w:p>
    <w:p>
      <w:r>
        <w:pict>
          <v:rect style="width:0;height:1.5pt" o:hralign="center" o:hrstd="t" o:hr="t"/>
        </w:pict>
      </w:r>
    </w:p>
    <w:bookmarkEnd w:id="10"/>
    <w:bookmarkStart w:id="13" w:name="titre-i-parties-et-objet"/>
    <w:p>
      <w:pPr>
        <w:pStyle w:val="Heading2"/>
      </w:pPr>
      <w:r>
        <w:t xml:space="preserve">TITRE I — PARTIES ET OBJET</w:t>
      </w:r>
    </w:p>
    <w:bookmarkStart w:id="11" w:name="article-1-parties"/>
    <w:p>
      <w:pPr>
        <w:pStyle w:val="Heading3"/>
      </w:pPr>
      <w:r>
        <w:t xml:space="preserve">Article 1 — Parties</w:t>
      </w:r>
    </w:p>
    <w:p>
      <w:pPr>
        <w:pStyle w:val="FirstParagraph"/>
      </w:pPr>
      <w:r>
        <w:t xml:space="preserve">Sont Parties à la Convention les quatre Fondateurs (ci-après les « Fondateurs »)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Fondateur</w:t>
            </w:r>
          </w:p>
        </w:tc>
        <w:tc>
          <w:tcPr/>
          <w:p>
            <w:pPr>
              <w:pStyle w:val="Compact"/>
            </w:pPr>
            <w:r>
              <w:t xml:space="preserve">Parts</w:t>
            </w:r>
          </w:p>
        </w:tc>
        <w:tc>
          <w:tcPr/>
          <w:p>
            <w:pPr>
              <w:pStyle w:val="Compact"/>
            </w:pPr>
            <w:r>
              <w:t xml:space="preserve">% capital</w:t>
            </w:r>
          </w:p>
        </w:tc>
      </w:tr>
      <w:tr>
        <w:tc>
          <w:tcPr/>
          <w:p>
            <w:pPr>
              <w:pStyle w:val="Compact"/>
            </w:pPr>
            <w:r>
              <w:t xml:space="preserve">AB Advices (Alain Bosseloir)</w:t>
            </w:r>
          </w:p>
        </w:tc>
        <w:tc>
          <w:tcPr/>
          <w:p>
            <w:pPr>
              <w:pStyle w:val="Compact"/>
            </w:pPr>
            <w:r>
              <w:t xml:space="preserve">600 parts</w:t>
            </w:r>
          </w:p>
        </w:tc>
        <w:tc>
          <w:tcPr/>
          <w:p>
            <w:pPr>
              <w:pStyle w:val="Compact"/>
            </w:pPr>
            <w:r>
              <w:t xml:space="preserve">15 %</w:t>
            </w:r>
          </w:p>
        </w:tc>
      </w:tr>
      <w:tr>
        <w:tc>
          <w:tcPr/>
          <w:p>
            <w:pPr>
              <w:pStyle w:val="Compact"/>
            </w:pPr>
            <w:r>
              <w:t xml:space="preserve">Jean-Claude HAVAUX</w:t>
            </w:r>
          </w:p>
        </w:tc>
        <w:tc>
          <w:tcPr/>
          <w:p>
            <w:pPr>
              <w:pStyle w:val="Compact"/>
            </w:pPr>
            <w:r>
              <w:t xml:space="preserve">600 parts</w:t>
            </w:r>
          </w:p>
        </w:tc>
        <w:tc>
          <w:tcPr/>
          <w:p>
            <w:pPr>
              <w:pStyle w:val="Compact"/>
            </w:pPr>
            <w:r>
              <w:t xml:space="preserve">15 %</w:t>
            </w:r>
          </w:p>
        </w:tc>
      </w:tr>
      <w:tr>
        <w:tc>
          <w:tcPr/>
          <w:p>
            <w:pPr>
              <w:pStyle w:val="Compact"/>
            </w:pPr>
            <w:r>
              <w:t xml:space="preserve">Peiwen QI</w:t>
            </w:r>
          </w:p>
        </w:tc>
        <w:tc>
          <w:tcPr/>
          <w:p>
            <w:pPr>
              <w:pStyle w:val="Compact"/>
            </w:pPr>
            <w:r>
              <w:t xml:space="preserve">600 parts</w:t>
            </w:r>
          </w:p>
        </w:tc>
        <w:tc>
          <w:tcPr/>
          <w:p>
            <w:pPr>
              <w:pStyle w:val="Compact"/>
            </w:pPr>
            <w:r>
              <w:t xml:space="preserve">15 %</w:t>
            </w:r>
          </w:p>
        </w:tc>
      </w:tr>
      <w:tr>
        <w:tc>
          <w:tcPr/>
          <w:p>
            <w:pPr>
              <w:pStyle w:val="Compact"/>
            </w:pPr>
            <w:r>
              <w:t xml:space="preserve">Jacques NOURY</w:t>
            </w:r>
          </w:p>
        </w:tc>
        <w:tc>
          <w:tcPr/>
          <w:p>
            <w:pPr>
              <w:pStyle w:val="Compact"/>
            </w:pPr>
            <w:r>
              <w:t xml:space="preserve">600 parts</w:t>
            </w:r>
          </w:p>
        </w:tc>
        <w:tc>
          <w:tcPr/>
          <w:p>
            <w:pPr>
              <w:pStyle w:val="Compact"/>
            </w:pPr>
            <w:r>
              <w:t xml:space="preserve">15 %</w:t>
            </w:r>
          </w:p>
        </w:tc>
      </w:tr>
      <w:tr>
        <w:tc>
          <w:tcPr/>
          <w:p>
            <w:pPr>
              <w:pStyle w:val="Compact"/>
            </w:pPr>
            <w:r>
              <w:rPr>
                <w:b/>
                <w:bCs/>
              </w:rPr>
              <w:t xml:space="preserve">Total bloc</w:t>
            </w:r>
          </w:p>
        </w:tc>
        <w:tc>
          <w:tcPr/>
          <w:p>
            <w:pPr>
              <w:pStyle w:val="Compact"/>
            </w:pPr>
            <w:r>
              <w:rPr>
                <w:b/>
                <w:bCs/>
              </w:rPr>
              <w:t xml:space="preserve">2 400 parts</w:t>
            </w:r>
          </w:p>
        </w:tc>
        <w:tc>
          <w:tcPr/>
          <w:p>
            <w:pPr>
              <w:pStyle w:val="Compact"/>
            </w:pPr>
            <w:r>
              <w:rPr>
                <w:b/>
                <w:bCs/>
              </w:rPr>
              <w:t xml:space="preserve">60 %</w:t>
            </w:r>
          </w:p>
        </w:tc>
      </w:tr>
    </w:tbl>
    <w:bookmarkEnd w:id="11"/>
    <w:bookmarkStart w:id="12" w:name="article-2-objet"/>
    <w:p>
      <w:pPr>
        <w:pStyle w:val="Heading3"/>
      </w:pPr>
      <w:r>
        <w:t xml:space="preserve">Article 2 — Objet</w:t>
      </w:r>
    </w:p>
    <w:p>
      <w:pPr>
        <w:pStyle w:val="FirstParagraph"/>
      </w:pPr>
      <w:r>
        <w:t xml:space="preserve">La Convention a pour objet d’organiser la coordination du bloc des Fondateurs au sein de la Société, notamment : la délibération et le vote groupés, la préemption interne, la cohésion pendant la phase de développement et la sortie ordonnée d’un Fondateur.</w:t>
      </w:r>
    </w:p>
    <w:p>
      <w:r>
        <w:pict>
          <v:rect style="width:0;height:1.5pt" o:hralign="center" o:hrstd="t" o:hr="t"/>
        </w:pict>
      </w:r>
    </w:p>
    <w:bookmarkEnd w:id="12"/>
    <w:bookmarkEnd w:id="13"/>
    <w:bookmarkStart w:id="19" w:name="titre-ii-coordination-du-bloc"/>
    <w:p>
      <w:pPr>
        <w:pStyle w:val="Heading2"/>
      </w:pPr>
      <w:r>
        <w:t xml:space="preserve">TITRE II — COORDINATION DU BLOC</w:t>
      </w:r>
    </w:p>
    <w:bookmarkStart w:id="14" w:name="article-3-principe-de-vote-en-bloc"/>
    <w:p>
      <w:pPr>
        <w:pStyle w:val="Heading3"/>
      </w:pPr>
      <w:r>
        <w:t xml:space="preserve">Article 3 — Principe de vote en bloc</w:t>
      </w:r>
    </w:p>
    <w:p>
      <w:pPr>
        <w:pStyle w:val="FirstParagraph"/>
      </w:pPr>
      <w:r>
        <w:t xml:space="preserve">Sur toute décision soumise à l’assemblée générale ou au conseil d’administration, les Fondateurs s’engagent à délibérer préalablement entre eux et à voter</w:t>
      </w:r>
      <w:r>
        <w:t xml:space="preserve"> </w:t>
      </w:r>
      <w:r>
        <w:rPr>
          <w:b/>
          <w:bCs/>
        </w:rPr>
        <w:t xml:space="preserve">d’un bloc</w:t>
      </w:r>
      <w:r>
        <w:t xml:space="preserve">, conformément à la position arrêtée en interne (Art. 4-5). Aucun Fondateur ne vote de manière divergente sans l’accord des autres.</w:t>
      </w:r>
    </w:p>
    <w:bookmarkEnd w:id="14"/>
    <w:bookmarkStart w:id="15" w:name="article-4-décisions-internes-du-bloc"/>
    <w:p>
      <w:pPr>
        <w:pStyle w:val="Heading3"/>
      </w:pPr>
      <w:r>
        <w:t xml:space="preserve">Article 4 — Décisions internes du bloc</w:t>
      </w:r>
    </w:p>
    <w:p>
      <w:pPr>
        <w:pStyle w:val="FirstParagraph"/>
      </w:pPr>
      <w:r>
        <w:t xml:space="preserve">La position du bloc est arrêtée à la</w:t>
      </w:r>
      <w:r>
        <w:t xml:space="preserve"> </w:t>
      </w:r>
      <w:r>
        <w:rPr>
          <w:b/>
          <w:bCs/>
        </w:rPr>
        <w:t xml:space="preserve">majorité des trois quarts (3/4)</w:t>
      </w:r>
      <w:r>
        <w:t xml:space="preserve">, soit trois Fondateurs sur quatre. En cas d’égalité persistante, il est recouru à la procédure de l’Article 19.</w:t>
      </w:r>
    </w:p>
    <w:bookmarkEnd w:id="15"/>
    <w:bookmarkStart w:id="16" w:name="X7b356c4537455a0d9c650241f4adf8634cea8b7"/>
    <w:p>
      <w:pPr>
        <w:pStyle w:val="Heading3"/>
      </w:pPr>
      <w:r>
        <w:t xml:space="preserve">Article 5 — Décisions internes à l’unanimité</w:t>
      </w:r>
    </w:p>
    <w:p>
      <w:pPr>
        <w:pStyle w:val="FirstParagraph"/>
      </w:pPr>
      <w:r>
        <w:t xml:space="preserve">Les décisions suivantes requièrent l’</w:t>
      </w:r>
      <w:r>
        <w:rPr>
          <w:b/>
          <w:bCs/>
        </w:rPr>
        <w:t xml:space="preserve">unanimité des quatre Fondateurs</w:t>
      </w:r>
      <w:r>
        <w:t xml:space="preserve"> </w:t>
      </w:r>
      <w:r>
        <w:t xml:space="preserve">:</w:t>
      </w:r>
    </w:p>
    <w:p>
      <w:pPr>
        <w:pStyle w:val="Compact"/>
        <w:numPr>
          <w:ilvl w:val="0"/>
          <w:numId w:val="1001"/>
        </w:numPr>
      </w:pPr>
      <w:r>
        <w:t xml:space="preserve">Modification de la présente Convention.</w:t>
      </w:r>
    </w:p>
    <w:p>
      <w:pPr>
        <w:pStyle w:val="Compact"/>
        <w:numPr>
          <w:ilvl w:val="0"/>
          <w:numId w:val="1001"/>
        </w:numPr>
      </w:pPr>
      <w:r>
        <w:t xml:space="preserve">Admission d’un nouveau Fondateur au sein du bloc.</w:t>
      </w:r>
    </w:p>
    <w:p>
      <w:pPr>
        <w:pStyle w:val="Compact"/>
        <w:numPr>
          <w:ilvl w:val="0"/>
          <w:numId w:val="1001"/>
        </w:numPr>
      </w:pPr>
      <w:r>
        <w:t xml:space="preserve">Cession interne de parts entre Fondateurs (Art. 9).</w:t>
      </w:r>
    </w:p>
    <w:p>
      <w:pPr>
        <w:pStyle w:val="Compact"/>
        <w:numPr>
          <w:ilvl w:val="0"/>
          <w:numId w:val="1001"/>
        </w:numPr>
      </w:pPr>
      <w:r>
        <w:t xml:space="preserve">Position du bloc sur les décisions réservées du Pacte d’Actionnaires (Art. 6 du Pacte).</w:t>
      </w:r>
    </w:p>
    <w:p>
      <w:pPr>
        <w:pStyle w:val="Compact"/>
        <w:numPr>
          <w:ilvl w:val="0"/>
          <w:numId w:val="1001"/>
        </w:numPr>
      </w:pPr>
      <w:r>
        <w:t xml:space="preserve">Exercice d’une option de rachat en cas de sortie d’un Fondateur.</w:t>
      </w:r>
    </w:p>
    <w:bookmarkEnd w:id="16"/>
    <w:bookmarkStart w:id="17" w:name="article-6-comité-des-fondateurs"/>
    <w:p>
      <w:pPr>
        <w:pStyle w:val="Heading3"/>
      </w:pPr>
      <w:r>
        <w:t xml:space="preserve">Article 6 — Comité des Fondateurs</w:t>
      </w:r>
    </w:p>
    <w:p>
      <w:pPr>
        <w:pStyle w:val="FirstParagraph"/>
      </w:pPr>
      <w:r>
        <w:t xml:space="preserve">Un Comité des Fondateurs, composé des quatre Fondateurs, se réunit au minimum une fois par trimestre. Il prépare les positions du bloc, suit la situation de la Société et arbitre les désaccords internes. Il se coordonne avec le conseil d’administration sans s’y substituer.</w:t>
      </w:r>
    </w:p>
    <w:bookmarkEnd w:id="17"/>
    <w:bookmarkStart w:id="18" w:name="article-7-représentation-au-conseil"/>
    <w:p>
      <w:pPr>
        <w:pStyle w:val="Heading3"/>
      </w:pPr>
      <w:r>
        <w:t xml:space="preserve">Article 7 — Représentation au conseil</w:t>
      </w:r>
    </w:p>
    <w:p>
      <w:pPr>
        <w:pStyle w:val="FirstParagraph"/>
      </w:pPr>
      <w:r>
        <w:t xml:space="preserve">Les Fondateurs conviennent de la répartition de leurs représentants au conseil d’administration —</w:t>
      </w:r>
      <w:r>
        <w:t xml:space="preserve"> </w:t>
      </w:r>
      <w:r>
        <w:rPr>
          <w:b/>
          <w:bCs/>
        </w:rPr>
        <w:t xml:space="preserve">deux (2) administrateurs issus des Fondateurs</w:t>
      </w:r>
      <w:r>
        <w:t xml:space="preserve"> </w:t>
      </w:r>
      <w:r>
        <w:t xml:space="preserve">(sur les trois au total, le troisième étant désigné par DIAHO). Chaque désignation ou révocation d’un administrateur issu des Fondateurs est décidée en bloc (Art. 4).</w:t>
      </w:r>
    </w:p>
    <w:p>
      <w:r>
        <w:pict>
          <v:rect style="width:0;height:1.5pt" o:hralign="center" o:hrstd="t" o:hr="t"/>
        </w:pict>
      </w:r>
    </w:p>
    <w:bookmarkEnd w:id="18"/>
    <w:bookmarkEnd w:id="19"/>
    <w:bookmarkStart w:id="25" w:name="X369f1c28e0d2f9c5a4128c6bbdb5849984afb4e"/>
    <w:p>
      <w:pPr>
        <w:pStyle w:val="Heading2"/>
      </w:pPr>
      <w:r>
        <w:t xml:space="preserve">TITRE III — TRANSFERTS INTERNES ET PROTECTION</w:t>
      </w:r>
    </w:p>
    <w:bookmarkStart w:id="20" w:name="article-8-lock-up"/>
    <w:p>
      <w:pPr>
        <w:pStyle w:val="Heading3"/>
      </w:pPr>
      <w:r>
        <w:t xml:space="preserve">Article 8 — Lock-up</w:t>
      </w:r>
    </w:p>
    <w:p>
      <w:pPr>
        <w:pStyle w:val="FirstParagraph"/>
      </w:pPr>
      <w:r>
        <w:t xml:space="preserve">Pendant une période de</w:t>
      </w:r>
      <w:r>
        <w:t xml:space="preserve"> </w:t>
      </w:r>
      <w:r>
        <w:rPr>
          <w:b/>
          <w:bCs/>
        </w:rPr>
        <w:t xml:space="preserve">trois (3) ans</w:t>
      </w:r>
      <w:r>
        <w:t xml:space="preserve"> </w:t>
      </w:r>
      <w:r>
        <w:t xml:space="preserve">à compter de la signature, aucun Fondateur ne peut céder, apporter, nantir ou transférer tout ou partie de ses parts sans l’accord unanime des trois autres Fondateurs.</w:t>
      </w:r>
    </w:p>
    <w:bookmarkEnd w:id="20"/>
    <w:bookmarkStart w:id="21" w:name="article-9-préemption-interne"/>
    <w:p>
      <w:pPr>
        <w:pStyle w:val="Heading3"/>
      </w:pPr>
      <w:r>
        <w:t xml:space="preserve">Article 9 — Préemption interne</w:t>
      </w:r>
    </w:p>
    <w:p>
      <w:pPr>
        <w:pStyle w:val="FirstParagraph"/>
      </w:pPr>
      <w:r>
        <w:t xml:space="preserve">À l’expiration du lock-up, tout Fondateur souhaitant céder ses parts en notifie les autres Fondateurs (lettre recommandée) avec nombre de parts, prix, identité du cessionnaire et conditions. Les autres Fondateurs disposent de</w:t>
      </w:r>
      <w:r>
        <w:t xml:space="preserve"> </w:t>
      </w:r>
      <w:r>
        <w:rPr>
          <w:b/>
          <w:bCs/>
        </w:rPr>
        <w:t xml:space="preserve">trente (30) jours</w:t>
      </w:r>
      <w:r>
        <w:t xml:space="preserve"> </w:t>
      </w:r>
      <w:r>
        <w:t xml:space="preserve">pour exercer leur préemption, au prorata de leur participation. Les parts ne sont proposées à DIAHO ou à des tiers qu’en cas de renonciation totale des Fondateurs — et dans le respect du Pacte d’Actionnaires (Art. 10).</w:t>
      </w:r>
    </w:p>
    <w:bookmarkEnd w:id="21"/>
    <w:bookmarkStart w:id="22" w:name="article-10-agrément-interne"/>
    <w:p>
      <w:pPr>
        <w:pStyle w:val="Heading3"/>
      </w:pPr>
      <w:r>
        <w:t xml:space="preserve">Article 10 — Agrément interne</w:t>
      </w:r>
    </w:p>
    <w:p>
      <w:pPr>
        <w:pStyle w:val="FirstParagraph"/>
      </w:pPr>
      <w:r>
        <w:t xml:space="preserve">Toute cession de parts à une personne extérieure au bloc est soumise à l’agrément unanime des autres Fondateurs, préalablement à l’agrément statutaire (</w:t>
      </w:r>
      <w:r>
        <w:rPr>
          <w:b/>
          <w:bCs/>
        </w:rPr>
        <w:t xml:space="preserve">50 %</w:t>
      </w:r>
      <w:r>
        <w:t xml:space="preserve">).</w:t>
      </w:r>
    </w:p>
    <w:bookmarkEnd w:id="22"/>
    <w:bookmarkStart w:id="23" w:name="article-11-exclusion"/>
    <w:p>
      <w:pPr>
        <w:pStyle w:val="Heading3"/>
      </w:pPr>
      <w:r>
        <w:t xml:space="preserve">Article 11 — Exclusion</w:t>
      </w:r>
    </w:p>
    <w:p>
      <w:pPr>
        <w:pStyle w:val="FirstParagraph"/>
      </w:pPr>
      <w:r>
        <w:t xml:space="preserve">Un Fondateur peut être exclu du bloc, sur décision unanime des trois autres, dans les cas suivants :</w:t>
      </w:r>
    </w:p>
    <w:p>
      <w:pPr>
        <w:pStyle w:val="Compact"/>
        <w:numPr>
          <w:ilvl w:val="0"/>
          <w:numId w:val="1002"/>
        </w:numPr>
      </w:pPr>
      <w:r>
        <w:t xml:space="preserve">Condamnation pénale définitive portant atteinte à l’honorabilité commerciale.</w:t>
      </w:r>
    </w:p>
    <w:p>
      <w:pPr>
        <w:pStyle w:val="Compact"/>
        <w:numPr>
          <w:ilvl w:val="0"/>
          <w:numId w:val="1002"/>
        </w:numPr>
      </w:pPr>
      <w:r>
        <w:t xml:space="preserve">Violation grave et répétée de la Convention ou du Pacte d’Actionnaires, non corrigée sous trente (30) jours après mise en demeure.</w:t>
      </w:r>
    </w:p>
    <w:p>
      <w:pPr>
        <w:pStyle w:val="Compact"/>
        <w:numPr>
          <w:ilvl w:val="0"/>
          <w:numId w:val="1002"/>
        </w:numPr>
      </w:pPr>
      <w:r>
        <w:t xml:space="preserve">Concurrence déloyale directe.</w:t>
      </w:r>
    </w:p>
    <w:p>
      <w:pPr>
        <w:pStyle w:val="Compact"/>
        <w:numPr>
          <w:ilvl w:val="0"/>
          <w:numId w:val="1002"/>
        </w:numPr>
      </w:pPr>
      <w:r>
        <w:t xml:space="preserve">Comportement gravement préjudiciable à la réputation ou aux intérêts de la Société.</w:t>
      </w:r>
    </w:p>
    <w:p>
      <w:pPr>
        <w:pStyle w:val="FirstParagraph"/>
      </w:pPr>
      <w:r>
        <w:t xml:space="preserve">Le rachat s’effectue selon le Pacte d’Actionnaires (Art. 14), avec une décote de</w:t>
      </w:r>
      <w:r>
        <w:t xml:space="preserve"> </w:t>
      </w:r>
      <w:r>
        <w:rPr>
          <w:b/>
          <w:bCs/>
        </w:rPr>
        <w:t xml:space="preserve">15 %</w:t>
      </w:r>
      <w:r>
        <w:t xml:space="preserve">.</w:t>
      </w:r>
    </w:p>
    <w:bookmarkEnd w:id="23"/>
    <w:bookmarkStart w:id="24" w:name="article-12-évaluation-des-parts"/>
    <w:p>
      <w:pPr>
        <w:pStyle w:val="Heading3"/>
      </w:pPr>
      <w:r>
        <w:t xml:space="preserve">Article 12 — Évaluation des parts</w:t>
      </w:r>
    </w:p>
    <w:p>
      <w:pPr>
        <w:pStyle w:val="FirstParagraph"/>
      </w:pPr>
      <w:r>
        <w:t xml:space="preserve">La valeur des parts est déterminée selon les méthodes du Pacte d’Actionnaires (Art. 14) : EBITDA (40 %), patrimoniale (30 %), DCF (30 %), avec plancher pré-revenus. Aucune méthode divergente ne peut être appliquée entre Fondateurs.</w:t>
      </w:r>
    </w:p>
    <w:p>
      <w:r>
        <w:pict>
          <v:rect style="width:0;height:1.5pt" o:hralign="center" o:hrstd="t" o:hr="t"/>
        </w:pict>
      </w:r>
    </w:p>
    <w:bookmarkEnd w:id="24"/>
    <w:bookmarkEnd w:id="25"/>
    <w:bookmarkStart w:id="28" w:name="titre-iv-sortie-et-départ"/>
    <w:p>
      <w:pPr>
        <w:pStyle w:val="Heading2"/>
      </w:pPr>
      <w:r>
        <w:t xml:space="preserve">TITRE IV — SORTIE ET DÉPART</w:t>
      </w:r>
    </w:p>
    <w:bookmarkStart w:id="26" w:name="article-13-good-leaver-bad-leaver"/>
    <w:p>
      <w:pPr>
        <w:pStyle w:val="Heading3"/>
      </w:pPr>
      <w:r>
        <w:t xml:space="preserve">Article 13 — Good Leaver / Bad Leaver</w:t>
      </w:r>
    </w:p>
    <w:p>
      <w:pPr>
        <w:pStyle w:val="Compact"/>
        <w:numPr>
          <w:ilvl w:val="0"/>
          <w:numId w:val="1003"/>
        </w:numPr>
      </w:pPr>
      <w:r>
        <w:rPr>
          <w:b/>
          <w:bCs/>
        </w:rPr>
        <w:t xml:space="preserve">Good Leaver</w:t>
      </w:r>
      <w:r>
        <w:t xml:space="preserve"> </w:t>
      </w:r>
      <w:r>
        <w:t xml:space="preserve">(départ pour raisons personnelles, de santé, ou accord amiable) : rachat à</w:t>
      </w:r>
      <w:r>
        <w:t xml:space="preserve"> </w:t>
      </w:r>
      <w:r>
        <w:rPr>
          <w:b/>
          <w:bCs/>
        </w:rPr>
        <w:t xml:space="preserve">100 %</w:t>
      </w:r>
      <w:r>
        <w:t xml:space="preserve"> </w:t>
      </w:r>
      <w:r>
        <w:t xml:space="preserve">de la valeur.</w:t>
      </w:r>
    </w:p>
    <w:p>
      <w:pPr>
        <w:pStyle w:val="Compact"/>
        <w:numPr>
          <w:ilvl w:val="0"/>
          <w:numId w:val="1003"/>
        </w:numPr>
      </w:pPr>
      <w:r>
        <w:rPr>
          <w:b/>
          <w:bCs/>
        </w:rPr>
        <w:t xml:space="preserve">Bad Leaver</w:t>
      </w:r>
      <w:r>
        <w:t xml:space="preserve"> </w:t>
      </w:r>
      <w:r>
        <w:t xml:space="preserve">: décote de</w:t>
      </w:r>
      <w:r>
        <w:t xml:space="preserve"> </w:t>
      </w:r>
      <w:r>
        <w:rPr>
          <w:b/>
          <w:bCs/>
        </w:rPr>
        <w:t xml:space="preserve">25 %</w:t>
      </w:r>
      <w:r>
        <w:t xml:space="preserve"> </w:t>
      </w:r>
      <w:r>
        <w:t xml:space="preserve">(départ en violation de la Convention) ou</w:t>
      </w:r>
      <w:r>
        <w:t xml:space="preserve"> </w:t>
      </w:r>
      <w:r>
        <w:rPr>
          <w:b/>
          <w:bCs/>
        </w:rPr>
        <w:t xml:space="preserve">50 %</w:t>
      </w:r>
      <w:r>
        <w:t xml:space="preserve"> </w:t>
      </w:r>
      <w:r>
        <w:t xml:space="preserve">(faute lourde, détournement, concurrence déloyale).</w:t>
      </w:r>
    </w:p>
    <w:bookmarkEnd w:id="26"/>
    <w:bookmarkStart w:id="27" w:name="article-14-décès-et-incapacité"/>
    <w:p>
      <w:pPr>
        <w:pStyle w:val="Heading3"/>
      </w:pPr>
      <w:r>
        <w:t xml:space="preserve">Article 14 — Décès et incapacité</w:t>
      </w:r>
    </w:p>
    <w:p>
      <w:pPr>
        <w:pStyle w:val="FirstParagraph"/>
      </w:pPr>
      <w:r>
        <w:t xml:space="preserve">En cas de décès, les héritiers sont soumis à l’agrément des Fondateurs survivants. En cas de refus, les parts sont rachetées dans un délai de six (6) mois. En cas d’incapacité permanente, le Comité des Fondateurs se réunit dans les trente (30) jours pour définir les modalités de maintien ou de rachat, sans décote.</w:t>
      </w:r>
    </w:p>
    <w:p>
      <w:r>
        <w:pict>
          <v:rect style="width:0;height:1.5pt" o:hralign="center" o:hrstd="t" o:hr="t"/>
        </w:pict>
      </w:r>
    </w:p>
    <w:bookmarkEnd w:id="27"/>
    <w:bookmarkEnd w:id="28"/>
    <w:bookmarkStart w:id="33" w:name="titre-v-engagements-des-fondateurs"/>
    <w:p>
      <w:pPr>
        <w:pStyle w:val="Heading2"/>
      </w:pPr>
      <w:r>
        <w:t xml:space="preserve">TITRE V — ENGAGEMENTS DES FONDATEURS</w:t>
      </w:r>
    </w:p>
    <w:bookmarkStart w:id="29" w:name="article-15-non-concurrence"/>
    <w:p>
      <w:pPr>
        <w:pStyle w:val="Heading3"/>
      </w:pPr>
      <w:r>
        <w:t xml:space="preserve">Article 15 — Non-concurrence</w:t>
      </w:r>
    </w:p>
    <w:p>
      <w:pPr>
        <w:pStyle w:val="FirstParagraph"/>
      </w:pPr>
      <w:r>
        <w:t xml:space="preserve">Chaque Fondateur s’interdit, pendant toute la durée de sa participation et pendant</w:t>
      </w:r>
      <w:r>
        <w:t xml:space="preserve"> </w:t>
      </w:r>
      <w:r>
        <w:rPr>
          <w:b/>
          <w:bCs/>
        </w:rPr>
        <w:t xml:space="preserve">un (1) an</w:t>
      </w:r>
      <w:r>
        <w:t xml:space="preserve"> </w:t>
      </w:r>
      <w:r>
        <w:t xml:space="preserve">suivant sa sortie, d’exercer directement ou indirectement une activité concurrente de celle de la Société sur le territoire européen.</w:t>
      </w:r>
    </w:p>
    <w:bookmarkEnd w:id="29"/>
    <w:bookmarkStart w:id="30" w:name="article-16-confidentialité"/>
    <w:p>
      <w:pPr>
        <w:pStyle w:val="Heading3"/>
      </w:pPr>
      <w:r>
        <w:t xml:space="preserve">Article 16 — Confidentialité</w:t>
      </w:r>
    </w:p>
    <w:p>
      <w:pPr>
        <w:pStyle w:val="FirstParagraph"/>
      </w:pPr>
      <w:r>
        <w:t xml:space="preserve">Les Fondateurs traitent comme strictement confidentielles toutes les informations relatives à la Société, à la PI et aux délibérations du bloc. Cette obligation survit</w:t>
      </w:r>
      <w:r>
        <w:t xml:space="preserve"> </w:t>
      </w:r>
      <w:r>
        <w:rPr>
          <w:b/>
          <w:bCs/>
        </w:rPr>
        <w:t xml:space="preserve">trois (3) ans</w:t>
      </w:r>
      <w:r>
        <w:t xml:space="preserve"> </w:t>
      </w:r>
      <w:r>
        <w:t xml:space="preserve">à la sortie.</w:t>
      </w:r>
    </w:p>
    <w:bookmarkEnd w:id="30"/>
    <w:bookmarkStart w:id="31" w:name="article-17-implication-minimale"/>
    <w:p>
      <w:pPr>
        <w:pStyle w:val="Heading3"/>
      </w:pPr>
      <w:r>
        <w:t xml:space="preserve">Article 17 — Implication minimale</w:t>
      </w:r>
    </w:p>
    <w:p>
      <w:pPr>
        <w:pStyle w:val="FirstParagraph"/>
      </w:pPr>
      <w:r>
        <w:t xml:space="preserve">Chaque Fondateur s’engage à participer aux réunions du Comité (au moins trois sur quatre par an), à répondre aux sollicitations des cofondateurs dans un délai de cinq (5) jours ouvrés, et à ne pas exercer d’activité principale incompatible avec les intérêts de la Société sans en informer préalablement le Comité.</w:t>
      </w:r>
    </w:p>
    <w:bookmarkEnd w:id="31"/>
    <w:bookmarkStart w:id="32" w:name="X4d85cdf0cc9e0d77e690401bbc1bff15a6ed7ee"/>
    <w:p>
      <w:pPr>
        <w:pStyle w:val="Heading3"/>
      </w:pPr>
      <w:r>
        <w:t xml:space="preserve">Article 18 — Rôle de coordination de Peiwen QI</w:t>
      </w:r>
    </w:p>
    <w:p>
      <w:pPr>
        <w:pStyle w:val="FirstParagraph"/>
      </w:pPr>
      <w:r>
        <w:t xml:space="preserve">Peiwen QI est désignée</w:t>
      </w:r>
      <w:r>
        <w:t xml:space="preserve"> </w:t>
      </w:r>
      <w:r>
        <w:rPr>
          <w:b/>
          <w:bCs/>
        </w:rPr>
        <w:t xml:space="preserve">administratrice de DIAHO</w:t>
      </w:r>
      <w:r>
        <w:t xml:space="preserve"> </w:t>
      </w:r>
      <w:r>
        <w:t xml:space="preserve">au conseil d’administration et assure la</w:t>
      </w:r>
      <w:r>
        <w:t xml:space="preserve"> </w:t>
      </w:r>
      <w:r>
        <w:rPr>
          <w:b/>
          <w:bCs/>
        </w:rPr>
        <w:t xml:space="preserve">coordination des relations actionnariales</w:t>
      </w:r>
      <w:r>
        <w:t xml:space="preserve"> </w:t>
      </w:r>
      <w:r>
        <w:t xml:space="preserve">entre les Fondateurs et DIAHO. Cette double qualité (Fondateur à 15 % et administratrice désignée de DIAHO) est connue et acceptée par les Fondateurs.</w:t>
      </w:r>
    </w:p>
    <w:p>
      <w:r>
        <w:pict>
          <v:rect style="width:0;height:1.5pt" o:hralign="center" o:hrstd="t" o:hr="t"/>
        </w:pict>
      </w:r>
    </w:p>
    <w:bookmarkEnd w:id="32"/>
    <w:bookmarkEnd w:id="33"/>
    <w:bookmarkStart w:id="35" w:name="titre-vi-deadlock-interne"/>
    <w:p>
      <w:pPr>
        <w:pStyle w:val="Heading2"/>
      </w:pPr>
      <w:r>
        <w:t xml:space="preserve">TITRE VI — DEADLOCK INTERNE</w:t>
      </w:r>
    </w:p>
    <w:bookmarkStart w:id="34" w:name="article-19-blocage-interne"/>
    <w:p>
      <w:pPr>
        <w:pStyle w:val="Heading3"/>
      </w:pPr>
      <w:r>
        <w:t xml:space="preserve">Article 19 — Blocage interne</w:t>
      </w:r>
    </w:p>
    <w:p>
      <w:pPr>
        <w:pStyle w:val="FirstParagraph"/>
      </w:pPr>
      <w:r>
        <w:t xml:space="preserve">En cas de blocage persistant entre Fondateurs excédant</w:t>
      </w:r>
      <w:r>
        <w:t xml:space="preserve"> </w:t>
      </w:r>
      <w:r>
        <w:rPr>
          <w:b/>
          <w:bCs/>
        </w:rPr>
        <w:t xml:space="preserve">quatre-vingt-dix (90) jours</w:t>
      </w:r>
      <w:r>
        <w:t xml:space="preserve"> </w:t>
      </w:r>
      <w:r>
        <w:t xml:space="preserve">sur une décision du bloc, tout Fondateur peut proposer une solution amiable, puis un médiateur. À défaut, une procédure de Buy-Sell interne est applicable : un Fondateur fixe un prix par part ; les autres choisissent de racheter à ce prix ou de lui vendre leurs parts à ce même prix. Mesure de dernier recours, limitée aux rapports internes du bloc.</w:t>
      </w:r>
    </w:p>
    <w:p>
      <w:r>
        <w:pict>
          <v:rect style="width:0;height:1.5pt" o:hralign="center" o:hrstd="t" o:hr="t"/>
        </w:pict>
      </w:r>
    </w:p>
    <w:bookmarkEnd w:id="34"/>
    <w:bookmarkEnd w:id="35"/>
    <w:bookmarkStart w:id="40" w:name="titre-vii-dispositions-finales"/>
    <w:p>
      <w:pPr>
        <w:pStyle w:val="Heading2"/>
      </w:pPr>
      <w:r>
        <w:t xml:space="preserve">TITRE VII — DISPOSITIONS FINALES</w:t>
      </w:r>
    </w:p>
    <w:bookmarkStart w:id="36" w:name="article-20-durée-et-modification"/>
    <w:p>
      <w:pPr>
        <w:pStyle w:val="Heading3"/>
      </w:pPr>
      <w:r>
        <w:t xml:space="preserve">Article 20 — Durée et modification</w:t>
      </w:r>
    </w:p>
    <w:p>
      <w:pPr>
        <w:pStyle w:val="FirstParagraph"/>
      </w:pPr>
      <w:r>
        <w:t xml:space="preserve">La Convention est conclue pour une durée indéterminée, jusqu’à dissolution de la Société ou accord unanime des Fondateurs. Toute modification requiert l’unanimité des quatre Fondateurs.</w:t>
      </w:r>
    </w:p>
    <w:bookmarkEnd w:id="36"/>
    <w:bookmarkStart w:id="37" w:name="article-21-hiérarchie"/>
    <w:p>
      <w:pPr>
        <w:pStyle w:val="Heading3"/>
      </w:pPr>
      <w:r>
        <w:t xml:space="preserve">Article 21 — Hiérarchie</w:t>
      </w:r>
    </w:p>
    <w:p>
      <w:pPr>
        <w:pStyle w:val="FirstParagraph"/>
      </w:pPr>
      <w:r>
        <w:t xml:space="preserve">La présente Convention est subordonnée au Pacte d’Actionnaires (couche 1) et aux Statuts. En cas de conflit, le Pacte d’Actionnaires prévaut à l’égard de la Société et de DIAHO. La Convention n’est pas opposable à DIAHO ni aux tiers.</w:t>
      </w:r>
    </w:p>
    <w:bookmarkEnd w:id="37"/>
    <w:bookmarkStart w:id="38" w:name="X10f69b8e3038d454e31c38481f32eaf27b7d642"/>
    <w:p>
      <w:pPr>
        <w:pStyle w:val="Heading3"/>
      </w:pPr>
      <w:r>
        <w:t xml:space="preserve">Article 22 — Droit applicable et juridiction</w:t>
      </w:r>
    </w:p>
    <w:p>
      <w:pPr>
        <w:pStyle w:val="FirstParagraph"/>
      </w:pPr>
      <w:r>
        <w:t xml:space="preserve">La Convention est régie par le droit belge. À défaut de résolution amiable, compétence exclusive des tribunaux de l’entreprise belges, ou arbitrage selon le Pacte d’Actionnaires (Art. 24).</w:t>
      </w:r>
    </w:p>
    <w:bookmarkEnd w:id="38"/>
    <w:bookmarkStart w:id="39" w:name="article-23-notifications"/>
    <w:p>
      <w:pPr>
        <w:pStyle w:val="Heading3"/>
      </w:pPr>
      <w:r>
        <w:t xml:space="preserve">Article 23 — Notifications</w:t>
      </w:r>
    </w:p>
    <w:p>
      <w:pPr>
        <w:pStyle w:val="FirstParagraph"/>
      </w:pPr>
      <w:r>
        <w:t xml:space="preserve">Toute notification est effectuée par lettre recommandée avec accusé de réception, ou par tout moyen établissant la date de réception avec certitude.</w:t>
      </w:r>
    </w:p>
    <w:p>
      <w:r>
        <w:pict>
          <v:rect style="width:0;height:1.5pt" o:hralign="center" o:hrstd="t" o:hr="t"/>
        </w:pict>
      </w:r>
    </w:p>
    <w:bookmarkEnd w:id="39"/>
    <w:bookmarkEnd w:id="40"/>
    <w:bookmarkStart w:id="41" w:name="signatures"/>
    <w:p>
      <w:pPr>
        <w:pStyle w:val="Heading2"/>
      </w:pPr>
      <w:r>
        <w:t xml:space="preserve">SIGNATURES</w:t>
      </w:r>
    </w:p>
    <w:p>
      <w:pPr>
        <w:pStyle w:val="FirstParagraph"/>
      </w:pPr>
      <w:r>
        <w:t xml:space="preserve">Fait à _____________, le ___ _________ 2026, en quatre exemplaires originaux.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Fondateur</w:t>
            </w:r>
          </w:p>
        </w:tc>
        <w:tc>
          <w:tcPr/>
          <w:p>
            <w:pPr>
              <w:pStyle w:val="Compact"/>
            </w:pPr>
            <w:r>
              <w:t xml:space="preserve">Signature</w:t>
            </w:r>
          </w:p>
        </w:tc>
      </w:tr>
      <w:tr>
        <w:tc>
          <w:tcPr/>
          <w:p>
            <w:pPr>
              <w:pStyle w:val="Compact"/>
            </w:pPr>
            <w:r>
              <w:t xml:space="preserve">AB Advices (Alain Bosseloir)</w:t>
            </w:r>
          </w:p>
        </w:tc>
        <w:tc>
          <w:tcPr/>
          <w:p>
            <w:pPr>
              <w:pStyle w:val="Compact"/>
            </w:pPr>
          </w:p>
        </w:tc>
      </w:tr>
      <w:tr>
        <w:tc>
          <w:tcPr/>
          <w:p>
            <w:pPr>
              <w:pStyle w:val="Compact"/>
            </w:pPr>
            <w:r>
              <w:t xml:space="preserve">Jean-Claude HAVAUX</w:t>
            </w:r>
          </w:p>
        </w:tc>
        <w:tc>
          <w:tcPr/>
          <w:p>
            <w:pPr>
              <w:pStyle w:val="Compact"/>
            </w:pPr>
          </w:p>
        </w:tc>
      </w:tr>
      <w:tr>
        <w:tc>
          <w:tcPr/>
          <w:p>
            <w:pPr>
              <w:pStyle w:val="Compact"/>
            </w:pPr>
            <w:r>
              <w:t xml:space="preserve">Peiwen QI</w:t>
            </w:r>
          </w:p>
        </w:tc>
        <w:tc>
          <w:tcPr/>
          <w:p>
            <w:pPr>
              <w:pStyle w:val="Compact"/>
            </w:pPr>
          </w:p>
        </w:tc>
      </w:tr>
      <w:tr>
        <w:tc>
          <w:tcPr/>
          <w:p>
            <w:pPr>
              <w:pStyle w:val="Compact"/>
            </w:pPr>
            <w:r>
              <w:t xml:space="preserve">Jacques NOURY</w:t>
            </w:r>
          </w:p>
        </w:tc>
        <w:tc>
          <w:tcPr/>
          <w:p>
            <w:pPr>
              <w:pStyle w:val="Compact"/>
            </w:pPr>
          </w:p>
        </w:tc>
      </w:tr>
    </w:tbl>
    <w:p>
      <w:r>
        <w:pict>
          <v:rect style="width:0;height:1.5pt" o:hralign="center" o:hrstd="t" o:hr="t"/>
        </w:pict>
      </w:r>
    </w:p>
    <w:p>
      <w:pPr>
        <w:pStyle w:val="FirstParagraph"/>
      </w:pPr>
      <w:r>
        <w:rPr>
          <w:i/>
          <w:iCs/>
        </w:rPr>
        <w:t xml:space="preserve">Document de travail v2 — passe de révision Renard 🦊 (2026-10-05). Document confidentiel — réservé aux Fondateurs, non transmissible à DIAHO. Validation notaire requise avant signature.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2026-10-06T13:21:25Z</dcterms:created>
  <dcterms:modified xsi:type="dcterms:W3CDTF">2026-10-06T13:21:25Z</dcterms:modified>
</cp:coreProperties>
</file>

<file path=docProps/custom.xml><?xml version="1.0" encoding="utf-8"?>
<Properties xmlns="http://schemas.openxmlformats.org/officeDocument/2006/custom-properties" xmlns:vt="http://schemas.openxmlformats.org/officeDocument/2006/docPropsVTypes"/>
</file>