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acte-dactionnaires-vetalyx-srl"/>
    <w:p>
      <w:pPr>
        <w:pStyle w:val="Heading1"/>
      </w:pPr>
      <w:r>
        <w:t xml:space="preserve">PACTE D’ACTIONNAIRES — VETALYX SRL</w:t>
      </w:r>
    </w:p>
    <w:p>
      <w:pPr>
        <w:pStyle w:val="FirstParagraph"/>
      </w:pPr>
      <w:r>
        <w:rPr>
          <w:b/>
          <w:bCs/>
        </w:rPr>
        <w:t xml:space="preserve">Société à responsabilité limitée de droit belge (CSA)</w:t>
      </w:r>
      <w:r>
        <w:t xml:space="preserve"> </w:t>
      </w:r>
      <w:r>
        <w:rPr>
          <w:b/>
          <w:bCs/>
        </w:rPr>
        <w:t xml:space="preserve">Version v2 — passe de révision Renard (décisions JC 01/10 + 05/10)</w:t>
      </w:r>
      <w:r>
        <w:t xml:space="preserve"> </w:t>
      </w:r>
      <w:r>
        <w:rPr>
          <w:b/>
          <w:bCs/>
        </w:rPr>
        <w:t xml:space="preserve">Date :</w:t>
      </w:r>
      <w:r>
        <w:t xml:space="preserve"> </w:t>
      </w:r>
      <w:r>
        <w:t xml:space="preserve">2026-10-05</w:t>
      </w:r>
      <w:r>
        <w:t xml:space="preserve"> </w:t>
      </w:r>
      <w:r>
        <w:rPr>
          <w:b/>
          <w:bCs/>
        </w:rPr>
        <w:t xml:space="preserve">Rédigé par :</w:t>
      </w:r>
      <w:r>
        <w:t xml:space="preserve"> </w:t>
      </w:r>
      <w:r>
        <w:t xml:space="preserve">Renard 🦊 (passe de révision v2) — orchestré par Dobby 🦉</w:t>
      </w:r>
      <w:r>
        <w:t xml:space="preserve"> </w:t>
      </w:r>
      <w:r>
        <w:rPr>
          <w:b/>
          <w:bCs/>
        </w:rPr>
        <w:t xml:space="preserve">Statut :</w:t>
      </w:r>
      <w:r>
        <w:t xml:space="preserve"> </w:t>
      </w:r>
      <w:r>
        <w:t xml:space="preserve">Projet de travail — non signé</w:t>
      </w:r>
    </w:p>
    <w:p>
      <w:pPr>
        <w:pStyle w:val="BlockText"/>
      </w:pPr>
      <w:r>
        <w:rPr>
          <w:b/>
          <w:bCs/>
        </w:rPr>
        <w:t xml:space="preserve">Langue :</w:t>
      </w:r>
      <w:r>
        <w:t xml:space="preserve"> </w:t>
      </w:r>
      <w:r>
        <w:t xml:space="preserve">Le présent Pacte est rédigé en français. Toute version anglaise (EN) est une</w:t>
      </w:r>
      <w:r>
        <w:t xml:space="preserve"> </w:t>
      </w:r>
      <w:r>
        <w:rPr>
          <w:b/>
          <w:bCs/>
        </w:rPr>
        <w:t xml:space="preserve">traduction de travail non opposable</w:t>
      </w:r>
      <w:r>
        <w:t xml:space="preserve"> </w:t>
      </w:r>
      <w:r>
        <w:t xml:space="preserve">; le texte français fait foi.</w:t>
      </w:r>
      <w:r>
        <w:t xml:space="preserve"> </w:t>
      </w:r>
      <w:r>
        <w:rPr>
          <w:b/>
          <w:bCs/>
        </w:rPr>
        <w:t xml:space="preserve">Hiérarchie :</w:t>
      </w:r>
      <w:r>
        <w:t xml:space="preserve"> </w:t>
      </w:r>
      <w:r>
        <w:t xml:space="preserve">Conformément à l’Article 32 des Statuts, en cas de contradiction entre les Statuts et le présent Pacte,</w:t>
      </w:r>
      <w:r>
        <w:t xml:space="preserve"> </w:t>
      </w:r>
      <w:r>
        <w:rPr>
          <w:b/>
          <w:bCs/>
        </w:rPr>
        <w:t xml:space="preserve">le Pacte prévaut entre les Associés</w:t>
      </w:r>
      <w:r>
        <w:t xml:space="preserve"> </w:t>
      </w:r>
      <w:r>
        <w:t xml:space="preserve">(non opposable aux tiers).</w:t>
      </w:r>
    </w:p>
    <w:p>
      <w:r>
        <w:pict>
          <v:rect style="width:0;height:1.5pt" o:hralign="center" o:hrstd="t" o:hr="t"/>
        </w:pict>
      </w:r>
    </w:p>
    <w:bookmarkStart w:id="9" w:name="table-de-concordance-avec-les-statuts"/>
    <w:p>
      <w:pPr>
        <w:pStyle w:val="Heading2"/>
      </w:pPr>
      <w:r>
        <w:t xml:space="preserve">TABLE DE CONCORDANCE AVEC LES STATUTS</w:t>
      </w:r>
    </w:p>
    <w:tbl>
      <w:tblPr>
        <w:tblStyle w:val="Table"/>
        <w:tblW w:type="pct" w:w="5000"/>
        <w:tblLayout w:type="fixed"/>
        <w:tblLook w:firstRow="1" w:lastRow="0" w:firstColumn="0" w:lastColumn="0" w:noHBand="0" w:noVBand="0" w:val="0020"/>
      </w:tblPr>
      <w:tblGrid>
        <w:gridCol w:w="1540"/>
        <w:gridCol w:w="1540"/>
        <w:gridCol w:w="1980"/>
        <w:gridCol w:w="2860"/>
      </w:tblGrid>
      <w:tr>
        <w:trPr>
          <w:tblHeader w:val="on"/>
        </w:trPr>
        <w:tc>
          <w:tcPr/>
          <w:p>
            <w:pPr>
              <w:pStyle w:val="Compact"/>
            </w:pPr>
            <w:r>
              <w:t xml:space="preserve">Thème</w:t>
            </w:r>
          </w:p>
        </w:tc>
        <w:tc>
          <w:tcPr/>
          <w:p>
            <w:pPr>
              <w:pStyle w:val="Compact"/>
            </w:pPr>
            <w:r>
              <w:t xml:space="preserve">Pacte</w:t>
            </w:r>
          </w:p>
        </w:tc>
        <w:tc>
          <w:tcPr/>
          <w:p>
            <w:pPr>
              <w:pStyle w:val="Compact"/>
            </w:pPr>
            <w:r>
              <w:t xml:space="preserve">Statuts</w:t>
            </w:r>
          </w:p>
        </w:tc>
        <w:tc>
          <w:tcPr/>
          <w:p>
            <w:pPr>
              <w:pStyle w:val="Compact"/>
            </w:pPr>
            <w:r>
              <w:t xml:space="preserve">Concordance</w:t>
            </w:r>
          </w:p>
        </w:tc>
      </w:tr>
      <w:tr>
        <w:tc>
          <w:tcPr/>
          <w:p>
            <w:pPr>
              <w:pStyle w:val="Compact"/>
            </w:pPr>
            <w:r>
              <w:t xml:space="preserve">Capital / apports</w:t>
            </w:r>
          </w:p>
        </w:tc>
        <w:tc>
          <w:tcPr/>
          <w:p>
            <w:pPr>
              <w:pStyle w:val="Compact"/>
            </w:pPr>
            <w:r>
              <w:t xml:space="preserve">Art. 2</w:t>
            </w:r>
          </w:p>
        </w:tc>
        <w:tc>
          <w:tcPr/>
          <w:p>
            <w:pPr>
              <w:pStyle w:val="Compact"/>
            </w:pPr>
            <w:r>
              <w:t xml:space="preserve">Art. 7-8</w:t>
            </w:r>
          </w:p>
        </w:tc>
        <w:tc>
          <w:tcPr/>
          <w:p>
            <w:pPr>
              <w:pStyle w:val="Compact"/>
            </w:pPr>
            <w:r>
              <w:t xml:space="preserve">✅ (DIAHO en numéraire, 10 000 € souscrit / 4 000 € libéré)</w:t>
            </w:r>
          </w:p>
        </w:tc>
      </w:tr>
      <w:tr>
        <w:tc>
          <w:tcPr/>
          <w:p>
            <w:pPr>
              <w:pStyle w:val="Compact"/>
            </w:pPr>
            <w:r>
              <w:t xml:space="preserve">Conseil d’administration</w:t>
            </w:r>
          </w:p>
        </w:tc>
        <w:tc>
          <w:tcPr/>
          <w:p>
            <w:pPr>
              <w:pStyle w:val="Compact"/>
            </w:pPr>
            <w:r>
              <w:t xml:space="preserve">Art. 4</w:t>
            </w:r>
          </w:p>
        </w:tc>
        <w:tc>
          <w:tcPr/>
          <w:p>
            <w:pPr>
              <w:pStyle w:val="Compact"/>
            </w:pPr>
            <w:r>
              <w:t xml:space="preserve">Art. 14-17</w:t>
            </w:r>
          </w:p>
        </w:tc>
        <w:tc>
          <w:tcPr/>
          <w:p>
            <w:pPr>
              <w:pStyle w:val="Compact"/>
            </w:pPr>
            <w:r>
              <w:t xml:space="preserve">✅</w:t>
            </w:r>
          </w:p>
        </w:tc>
      </w:tr>
      <w:tr>
        <w:tc>
          <w:tcPr/>
          <w:p>
            <w:pPr>
              <w:pStyle w:val="Compact"/>
            </w:pPr>
            <w:r>
              <w:t xml:space="preserve">Décisions réservées</w:t>
            </w:r>
          </w:p>
        </w:tc>
        <w:tc>
          <w:tcPr/>
          <w:p>
            <w:pPr>
              <w:pStyle w:val="Compact"/>
            </w:pPr>
            <w:r>
              <w:t xml:space="preserve">Art. 5-6</w:t>
            </w:r>
          </w:p>
        </w:tc>
        <w:tc>
          <w:tcPr/>
          <w:p>
            <w:pPr>
              <w:pStyle w:val="Compact"/>
            </w:pPr>
            <w:r>
              <w:t xml:space="preserve">Art. 21 (3/4 standard)</w:t>
            </w:r>
          </w:p>
        </w:tc>
        <w:tc>
          <w:tcPr/>
          <w:p>
            <w:pPr>
              <w:pStyle w:val="Compact"/>
            </w:pPr>
            <w:r>
              <w:t xml:space="preserve">✅ (au Pacte uniquement — ISC-clean)</w:t>
            </w:r>
          </w:p>
        </w:tc>
      </w:tr>
      <w:tr>
        <w:tc>
          <w:tcPr/>
          <w:p>
            <w:pPr>
              <w:pStyle w:val="Compact"/>
            </w:pPr>
            <w:r>
              <w:t xml:space="preserve">Cession entre associés</w:t>
            </w:r>
          </w:p>
        </w:tc>
        <w:tc>
          <w:tcPr/>
          <w:p>
            <w:pPr>
              <w:pStyle w:val="Compact"/>
            </w:pPr>
            <w:r>
              <w:t xml:space="preserve">Art. 10</w:t>
            </w:r>
          </w:p>
        </w:tc>
        <w:tc>
          <w:tcPr/>
          <w:p>
            <w:pPr>
              <w:pStyle w:val="Compact"/>
            </w:pPr>
            <w:r>
              <w:t xml:space="preserve">Art. 10</w:t>
            </w:r>
          </w:p>
        </w:tc>
        <w:tc>
          <w:tcPr/>
          <w:p>
            <w:pPr>
              <w:pStyle w:val="Compact"/>
            </w:pPr>
            <w:r>
              <w:t xml:space="preserve">✅</w:t>
            </w:r>
          </w:p>
        </w:tc>
      </w:tr>
      <w:tr>
        <w:tc>
          <w:tcPr/>
          <w:p>
            <w:pPr>
              <w:pStyle w:val="Compact"/>
            </w:pPr>
            <w:r>
              <w:t xml:space="preserve">Agrément / tiers</w:t>
            </w:r>
          </w:p>
        </w:tc>
        <w:tc>
          <w:tcPr/>
          <w:p>
            <w:pPr>
              <w:pStyle w:val="Compact"/>
            </w:pPr>
            <w:r>
              <w:t xml:space="preserve">Art. 11 (50 %)</w:t>
            </w:r>
          </w:p>
        </w:tc>
        <w:tc>
          <w:tcPr/>
          <w:p>
            <w:pPr>
              <w:pStyle w:val="Compact"/>
            </w:pPr>
            <w:r>
              <w:t xml:space="preserve">Art. 11 (50 %)</w:t>
            </w:r>
          </w:p>
        </w:tc>
        <w:tc>
          <w:tcPr/>
          <w:p>
            <w:pPr>
              <w:pStyle w:val="Compact"/>
            </w:pPr>
            <w:r>
              <w:t xml:space="preserve">✅ (aligné)</w:t>
            </w:r>
          </w:p>
        </w:tc>
      </w:tr>
      <w:tr>
        <w:tc>
          <w:tcPr/>
          <w:p>
            <w:pPr>
              <w:pStyle w:val="Compact"/>
            </w:pPr>
            <w:r>
              <w:t xml:space="preserve">Décès / héritiers</w:t>
            </w:r>
          </w:p>
        </w:tc>
        <w:tc>
          <w:tcPr/>
          <w:p>
            <w:pPr>
              <w:pStyle w:val="Compact"/>
            </w:pPr>
            <w:r>
              <w:t xml:space="preserve">Art. 19</w:t>
            </w:r>
          </w:p>
        </w:tc>
        <w:tc>
          <w:tcPr/>
          <w:p>
            <w:pPr>
              <w:pStyle w:val="Compact"/>
            </w:pPr>
            <w:r>
              <w:t xml:space="preserve">Art. 12</w:t>
            </w:r>
          </w:p>
        </w:tc>
        <w:tc>
          <w:tcPr/>
          <w:p>
            <w:pPr>
              <w:pStyle w:val="Compact"/>
            </w:pPr>
            <w:r>
              <w:t xml:space="preserve">✅</w:t>
            </w:r>
          </w:p>
        </w:tc>
      </w:tr>
      <w:tr>
        <w:tc>
          <w:tcPr/>
          <w:p>
            <w:pPr>
              <w:pStyle w:val="Compact"/>
            </w:pPr>
            <w:r>
              <w:t xml:space="preserve">Conventions réglementées</w:t>
            </w:r>
          </w:p>
        </w:tc>
        <w:tc>
          <w:tcPr/>
          <w:p>
            <w:pPr>
              <w:pStyle w:val="Compact"/>
            </w:pPr>
            <w:r>
              <w:t xml:space="preserve">Art. 8</w:t>
            </w:r>
          </w:p>
        </w:tc>
        <w:tc>
          <w:tcPr/>
          <w:p>
            <w:pPr>
              <w:pStyle w:val="Compact"/>
            </w:pPr>
            <w:r>
              <w:t xml:space="preserve">Art. 18</w:t>
            </w:r>
          </w:p>
        </w:tc>
        <w:tc>
          <w:tcPr/>
          <w:p>
            <w:pPr>
              <w:pStyle w:val="Compact"/>
            </w:pPr>
            <w:r>
              <w:t xml:space="preserve">✅ (aligné)</w:t>
            </w:r>
          </w:p>
        </w:tc>
      </w:tr>
      <w:tr>
        <w:tc>
          <w:tcPr/>
          <w:p>
            <w:pPr>
              <w:pStyle w:val="Compact"/>
            </w:pPr>
            <w:r>
              <w:t xml:space="preserve">Contestations</w:t>
            </w:r>
          </w:p>
        </w:tc>
        <w:tc>
          <w:tcPr/>
          <w:p>
            <w:pPr>
              <w:pStyle w:val="Compact"/>
            </w:pPr>
            <w:r>
              <w:t xml:space="preserve">Art. 22-24</w:t>
            </w:r>
          </w:p>
        </w:tc>
        <w:tc>
          <w:tcPr/>
          <w:p>
            <w:pPr>
              <w:pStyle w:val="Compact"/>
            </w:pPr>
            <w:r>
              <w:t xml:space="preserve">Art. 28 (renvoi au Pacte)</w:t>
            </w:r>
          </w:p>
        </w:tc>
        <w:tc>
          <w:tcPr/>
          <w:p>
            <w:pPr>
              <w:pStyle w:val="Compact"/>
            </w:pPr>
            <w:r>
              <w:t xml:space="preserve">✅</w:t>
            </w:r>
          </w:p>
        </w:tc>
      </w:tr>
      <w:tr>
        <w:tc>
          <w:tcPr/>
          <w:p>
            <w:pPr>
              <w:pStyle w:val="Compact"/>
            </w:pPr>
            <w:r>
              <w:t xml:space="preserve">Dissolution</w:t>
            </w:r>
          </w:p>
        </w:tc>
        <w:tc>
          <w:tcPr/>
          <w:p>
            <w:pPr>
              <w:pStyle w:val="Compact"/>
            </w:pPr>
            <w:r>
              <w:t xml:space="preserve">—</w:t>
            </w:r>
          </w:p>
        </w:tc>
        <w:tc>
          <w:tcPr/>
          <w:p>
            <w:pPr>
              <w:pStyle w:val="Compact"/>
            </w:pPr>
            <w:r>
              <w:t xml:space="preserve">Art. 26 (AGE)</w:t>
            </w:r>
          </w:p>
        </w:tc>
        <w:tc>
          <w:tcPr/>
          <w:p>
            <w:pPr>
              <w:pStyle w:val="Compact"/>
            </w:pPr>
            <w:r>
              <w:t xml:space="preserve">✅ (3/4 statutaire, pas de véto DIAHO)</w:t>
            </w:r>
          </w:p>
        </w:tc>
      </w:tr>
      <w:tr>
        <w:tc>
          <w:tcPr/>
          <w:p>
            <w:pPr>
              <w:pStyle w:val="Compact"/>
            </w:pPr>
            <w:r>
              <w:t xml:space="preserve">Droit applicable</w:t>
            </w:r>
          </w:p>
        </w:tc>
        <w:tc>
          <w:tcPr/>
          <w:p>
            <w:pPr>
              <w:pStyle w:val="Compact"/>
            </w:pPr>
            <w:r>
              <w:t xml:space="preserve">Art. 28</w:t>
            </w:r>
          </w:p>
        </w:tc>
        <w:tc>
          <w:tcPr/>
          <w:p>
            <w:pPr>
              <w:pStyle w:val="Compact"/>
            </w:pPr>
            <w:r>
              <w:t xml:space="preserve">Art. 32</w:t>
            </w:r>
          </w:p>
        </w:tc>
        <w:tc>
          <w:tcPr/>
          <w:p>
            <w:pPr>
              <w:pStyle w:val="Compact"/>
            </w:pPr>
            <w:r>
              <w:t xml:space="preserve">✅</w:t>
            </w:r>
          </w:p>
        </w:tc>
      </w:tr>
    </w:tbl>
    <w:p>
      <w:r>
        <w:pict>
          <v:rect style="width:0;height:1.5pt" o:hralign="center" o:hrstd="t" o:hr="t"/>
        </w:pict>
      </w:r>
    </w:p>
    <w:bookmarkEnd w:id="9"/>
    <w:bookmarkStart w:id="10" w:name="préambule"/>
    <w:p>
      <w:pPr>
        <w:pStyle w:val="Heading2"/>
      </w:pPr>
      <w:r>
        <w:t xml:space="preserve">PRÉAMBULE</w:t>
      </w:r>
    </w:p>
    <w:p>
      <w:pPr>
        <w:pStyle w:val="FirstParagraph"/>
      </w:pPr>
      <w:r>
        <w:t xml:space="preserve">Le présent Pacte d’Actionnaires (ci-après le « Pacte ») est conclu entre les cinq (5) actionnaires fondateurs de la société VETALYX SRL (ci-après la « Société »), société à responsabilité limitée de droit belge dont le siège social est établi à Novalis Science Park, Rue de la Science, 6900 Marche-en-Famenne.</w:t>
      </w:r>
    </w:p>
    <w:p>
      <w:pPr>
        <w:pStyle w:val="BodyText"/>
      </w:pPr>
      <w:r>
        <w:t xml:space="preserve">VETALYX a pour vocation de devenir un hub européen de référence dans le secteur des diagnostics vétérinaires rapides, compléments alimentaires, médicaments et services liés, en combinant expertise opérationnelle et capacité d’accueil de partenaires internationaux souhaitant s’implanter sur le marché européen.</w:t>
      </w:r>
    </w:p>
    <w:p>
      <w:pPr>
        <w:pStyle w:val="BodyText"/>
      </w:pPr>
      <w:r>
        <w:t xml:space="preserve">Les Parties partagent la vision d’une évolution en trois phases :</w:t>
      </w:r>
      <w:r>
        <w:t xml:space="preserve"> </w:t>
      </w:r>
      <w:r>
        <w:rPr>
          <w:b/>
          <w:bCs/>
        </w:rPr>
        <w:t xml:space="preserve">(1)</w:t>
      </w:r>
      <w:r>
        <w:t xml:space="preserve"> </w:t>
      </w:r>
      <w:r>
        <w:t xml:space="preserve">consolidation opérationnelle et premier seuil de rentabilité ;</w:t>
      </w:r>
      <w:r>
        <w:t xml:space="preserve"> </w:t>
      </w:r>
      <w:r>
        <w:rPr>
          <w:b/>
          <w:bCs/>
        </w:rPr>
        <w:t xml:space="preserve">(2)</w:t>
      </w:r>
      <w:r>
        <w:t xml:space="preserve"> </w:t>
      </w:r>
      <w:r>
        <w:t xml:space="preserve">augmentations de capital successives et accueil d’investisseurs tiers ;</w:t>
      </w:r>
      <w:r>
        <w:t xml:space="preserve"> </w:t>
      </w:r>
      <w:r>
        <w:rPr>
          <w:b/>
          <w:bCs/>
        </w:rPr>
        <w:t xml:space="preserve">(3)</w:t>
      </w:r>
      <w:r>
        <w:t xml:space="preserve"> </w:t>
      </w:r>
      <w:r>
        <w:t xml:space="preserve">conclusion d’accords de représentation et de distribution avec des sociétés étrangères utilisant VETALYX comme véhicule d’entrée sur le marché européen.</w:t>
      </w:r>
    </w:p>
    <w:p>
      <w:pPr>
        <w:pStyle w:val="BodyText"/>
      </w:pPr>
      <w:r>
        <w:t xml:space="preserve">DIAHO (société de droit chinois) entre au capital</w:t>
      </w:r>
      <w:r>
        <w:t xml:space="preserve"> </w:t>
      </w:r>
      <w:r>
        <w:rPr>
          <w:b/>
          <w:bCs/>
        </w:rPr>
        <w:t xml:space="preserve">dès la constitution</w:t>
      </w:r>
      <w:r>
        <w:t xml:space="preserve"> </w:t>
      </w:r>
      <w:r>
        <w:t xml:space="preserve">en qualité d’actionnaire fondateur à hauteur de</w:t>
      </w:r>
      <w:r>
        <w:t xml:space="preserve"> </w:t>
      </w:r>
      <w:r>
        <w:rPr>
          <w:b/>
          <w:bCs/>
        </w:rPr>
        <w:t xml:space="preserve">40 %</w:t>
      </w:r>
      <w:r>
        <w:t xml:space="preserve">, par apport en</w:t>
      </w:r>
      <w:r>
        <w:t xml:space="preserve"> </w:t>
      </w:r>
      <w:r>
        <w:rPr>
          <w:b/>
          <w:bCs/>
        </w:rPr>
        <w:t xml:space="preserve">numéraire</w:t>
      </w:r>
      <w:r>
        <w:t xml:space="preserve">. Les quatre fondateurs européens détiennent collectivement</w:t>
      </w:r>
      <w:r>
        <w:t xml:space="preserve"> </w:t>
      </w:r>
      <w:r>
        <w:rPr>
          <w:b/>
          <w:bCs/>
        </w:rPr>
        <w:t xml:space="preserve">60 %</w:t>
      </w:r>
      <w:r>
        <w:t xml:space="preserve"> </w:t>
      </w:r>
      <w:r>
        <w:t xml:space="preserve">(4 × 15 %).</w:t>
      </w:r>
    </w:p>
    <w:p>
      <w:pPr>
        <w:pStyle w:val="BodyText"/>
      </w:pPr>
      <w:r>
        <w:t xml:space="preserve">Le présent Pacte a pour objet d’encadrer la gouvernance, la prévention de la dilution, les transferts de parts et la sortie des Associés, dans l’intérêt commun de la Société.</w:t>
      </w:r>
    </w:p>
    <w:p>
      <w:r>
        <w:pict>
          <v:rect style="width:0;height:1.5pt" o:hralign="center" o:hrstd="t" o:hr="t"/>
        </w:pict>
      </w:r>
    </w:p>
    <w:bookmarkEnd w:id="10"/>
    <w:bookmarkStart w:id="14" w:name="titre-i-parties-et-capital"/>
    <w:p>
      <w:pPr>
        <w:pStyle w:val="Heading2"/>
      </w:pPr>
      <w:r>
        <w:t xml:space="preserve">TITRE I — PARTIES ET CAPITAL</w:t>
      </w:r>
    </w:p>
    <w:bookmarkStart w:id="11" w:name="article-1-identification-des-parties"/>
    <w:p>
      <w:pPr>
        <w:pStyle w:val="Heading3"/>
      </w:pPr>
      <w:r>
        <w:t xml:space="preserve">Article 1 — Identification des Parties</w:t>
      </w:r>
    </w:p>
    <w:p>
      <w:pPr>
        <w:pStyle w:val="FirstParagraph"/>
      </w:pPr>
      <w:r>
        <w:t xml:space="preserve">Sont Parties au présent Pacte (ci-après les « Associés ») :</w:t>
      </w:r>
    </w:p>
    <w:tbl>
      <w:tblPr>
        <w:tblStyle w:val="Table"/>
        <w:tblW w:type="pct" w:w="5000"/>
        <w:tblLayout w:type="fixed"/>
        <w:tblLook w:firstRow="1" w:lastRow="0" w:firstColumn="0" w:lastColumn="0" w:noHBand="0" w:noVBand="0" w:val="0020"/>
      </w:tblPr>
      <w:tblGrid>
        <w:gridCol w:w="1980"/>
        <w:gridCol w:w="1980"/>
        <w:gridCol w:w="1540"/>
        <w:gridCol w:w="2420"/>
      </w:tblGrid>
      <w:tr>
        <w:trPr>
          <w:tblHeader w:val="on"/>
        </w:trPr>
        <w:tc>
          <w:tcPr/>
          <w:p>
            <w:pPr>
              <w:pStyle w:val="Compact"/>
            </w:pPr>
            <w:r>
              <w:t xml:space="preserve">Associé</w:t>
            </w:r>
          </w:p>
        </w:tc>
        <w:tc>
          <w:tcPr/>
          <w:p>
            <w:pPr>
              <w:pStyle w:val="Compact"/>
            </w:pPr>
            <w:r>
              <w:t xml:space="preserve">Qualité</w:t>
            </w:r>
          </w:p>
        </w:tc>
        <w:tc>
          <w:tcPr/>
          <w:p>
            <w:pPr>
              <w:pStyle w:val="Compact"/>
            </w:pPr>
            <w:r>
              <w:t xml:space="preserve">Parts</w:t>
            </w:r>
          </w:p>
        </w:tc>
        <w:tc>
          <w:tcPr/>
          <w:p>
            <w:pPr>
              <w:pStyle w:val="Compact"/>
            </w:pPr>
            <w:r>
              <w:t xml:space="preserve">% capital</w:t>
            </w:r>
          </w:p>
        </w:tc>
      </w:tr>
      <w:tr>
        <w:tc>
          <w:tcPr/>
          <w:p>
            <w:pPr>
              <w:pStyle w:val="Compact"/>
            </w:pPr>
            <w:r>
              <w:t xml:space="preserve">DIAHO (Chine)</w:t>
            </w:r>
          </w:p>
        </w:tc>
        <w:tc>
          <w:tcPr/>
          <w:p>
            <w:pPr>
              <w:pStyle w:val="Compact"/>
            </w:pPr>
            <w:r>
              <w:t xml:space="preserve">Fondateur — apport numéraire</w:t>
            </w:r>
          </w:p>
        </w:tc>
        <w:tc>
          <w:tcPr/>
          <w:p>
            <w:pPr>
              <w:pStyle w:val="Compact"/>
            </w:pPr>
            <w:r>
              <w:t xml:space="preserve">1 600 parts</w:t>
            </w:r>
          </w:p>
        </w:tc>
        <w:tc>
          <w:tcPr/>
          <w:p>
            <w:pPr>
              <w:pStyle w:val="Compact"/>
            </w:pPr>
            <w:r>
              <w:t xml:space="preserve">40 %</w:t>
            </w:r>
          </w:p>
        </w:tc>
      </w:tr>
      <w:tr>
        <w:tc>
          <w:tcPr/>
          <w:p>
            <w:pPr>
              <w:pStyle w:val="Compact"/>
            </w:pPr>
            <w:r>
              <w:t xml:space="preserve">AB Advices (Alain Bosseloir)</w:t>
            </w:r>
          </w:p>
        </w:tc>
        <w:tc>
          <w:tcPr/>
          <w:p>
            <w:pPr>
              <w:pStyle w:val="Compact"/>
            </w:pPr>
            <w:r>
              <w:t xml:space="preserve">Fondateur — investisseur</w:t>
            </w:r>
          </w:p>
        </w:tc>
        <w:tc>
          <w:tcPr/>
          <w:p>
            <w:pPr>
              <w:pStyle w:val="Compact"/>
            </w:pPr>
            <w:r>
              <w:t xml:space="preserve">600 parts</w:t>
            </w:r>
          </w:p>
        </w:tc>
        <w:tc>
          <w:tcPr/>
          <w:p>
            <w:pPr>
              <w:pStyle w:val="Compact"/>
            </w:pPr>
            <w:r>
              <w:t xml:space="preserve">15 %</w:t>
            </w:r>
          </w:p>
        </w:tc>
      </w:tr>
      <w:tr>
        <w:tc>
          <w:tcPr/>
          <w:p>
            <w:pPr>
              <w:pStyle w:val="Compact"/>
            </w:pPr>
            <w:r>
              <w:t xml:space="preserve">Jean-Claude HAVAUX</w:t>
            </w:r>
          </w:p>
        </w:tc>
        <w:tc>
          <w:tcPr/>
          <w:p>
            <w:pPr>
              <w:pStyle w:val="Compact"/>
            </w:pPr>
            <w:r>
              <w:t xml:space="preserve">Fondateur</w:t>
            </w:r>
          </w:p>
        </w:tc>
        <w:tc>
          <w:tcPr/>
          <w:p>
            <w:pPr>
              <w:pStyle w:val="Compact"/>
            </w:pPr>
            <w:r>
              <w:t xml:space="preserve">600 parts</w:t>
            </w:r>
          </w:p>
        </w:tc>
        <w:tc>
          <w:tcPr/>
          <w:p>
            <w:pPr>
              <w:pStyle w:val="Compact"/>
            </w:pPr>
            <w:r>
              <w:t xml:space="preserve">15 %</w:t>
            </w:r>
          </w:p>
        </w:tc>
      </w:tr>
      <w:tr>
        <w:tc>
          <w:tcPr/>
          <w:p>
            <w:pPr>
              <w:pStyle w:val="Compact"/>
            </w:pPr>
            <w:r>
              <w:t xml:space="preserve">Peiwen QI</w:t>
            </w:r>
          </w:p>
        </w:tc>
        <w:tc>
          <w:tcPr/>
          <w:p>
            <w:pPr>
              <w:pStyle w:val="Compact"/>
            </w:pPr>
            <w:r>
              <w:t xml:space="preserve">Fondateur</w:t>
            </w:r>
          </w:p>
        </w:tc>
        <w:tc>
          <w:tcPr/>
          <w:p>
            <w:pPr>
              <w:pStyle w:val="Compact"/>
            </w:pPr>
            <w:r>
              <w:t xml:space="preserve">600 parts</w:t>
            </w:r>
          </w:p>
        </w:tc>
        <w:tc>
          <w:tcPr/>
          <w:p>
            <w:pPr>
              <w:pStyle w:val="Compact"/>
            </w:pPr>
            <w:r>
              <w:t xml:space="preserve">15 %</w:t>
            </w:r>
          </w:p>
        </w:tc>
      </w:tr>
      <w:tr>
        <w:tc>
          <w:tcPr/>
          <w:p>
            <w:pPr>
              <w:pStyle w:val="Compact"/>
            </w:pPr>
            <w:r>
              <w:t xml:space="preserve">Jacques NOURY</w:t>
            </w:r>
          </w:p>
        </w:tc>
        <w:tc>
          <w:tcPr/>
          <w:p>
            <w:pPr>
              <w:pStyle w:val="Compact"/>
            </w:pPr>
            <w:r>
              <w:t xml:space="preserve">Fondateur</w:t>
            </w:r>
          </w:p>
        </w:tc>
        <w:tc>
          <w:tcPr/>
          <w:p>
            <w:pPr>
              <w:pStyle w:val="Compact"/>
            </w:pPr>
            <w:r>
              <w:t xml:space="preserve">600 parts</w:t>
            </w:r>
          </w:p>
        </w:tc>
        <w:tc>
          <w:tcPr/>
          <w:p>
            <w:pPr>
              <w:pStyle w:val="Compact"/>
            </w:pPr>
            <w:r>
              <w:t xml:space="preserve">15 %</w:t>
            </w:r>
          </w:p>
        </w:tc>
      </w:tr>
      <w:tr>
        <w:tc>
          <w:tcPr/>
          <w:p>
            <w:pPr>
              <w:pStyle w:val="Compact"/>
            </w:pPr>
            <w:r>
              <w:rPr>
                <w:b/>
                <w:bCs/>
              </w:rPr>
              <w:t xml:space="preserve">Total</w:t>
            </w:r>
          </w:p>
        </w:tc>
        <w:tc>
          <w:tcPr/>
          <w:p>
            <w:pPr>
              <w:pStyle w:val="Compact"/>
            </w:pPr>
          </w:p>
        </w:tc>
        <w:tc>
          <w:tcPr/>
          <w:p>
            <w:pPr>
              <w:pStyle w:val="Compact"/>
            </w:pPr>
            <w:r>
              <w:rPr>
                <w:b/>
                <w:bCs/>
              </w:rPr>
              <w:t xml:space="preserve">4 000 parts</w:t>
            </w:r>
          </w:p>
        </w:tc>
        <w:tc>
          <w:tcPr/>
          <w:p>
            <w:pPr>
              <w:pStyle w:val="Compact"/>
            </w:pPr>
            <w:r>
              <w:rPr>
                <w:b/>
                <w:bCs/>
              </w:rPr>
              <w:t xml:space="preserve">100 %</w:t>
            </w:r>
          </w:p>
        </w:tc>
      </w:tr>
    </w:tbl>
    <w:bookmarkEnd w:id="11"/>
    <w:bookmarkStart w:id="12" w:name="article-2-capital-et-apports"/>
    <w:p>
      <w:pPr>
        <w:pStyle w:val="Heading3"/>
      </w:pPr>
      <w:r>
        <w:t xml:space="preserve">Article 2 — Capital et apports</w:t>
      </w:r>
    </w:p>
    <w:p>
      <w:pPr>
        <w:pStyle w:val="FirstParagraph"/>
      </w:pPr>
      <w:r>
        <w:t xml:space="preserve">Le capital social souscrit est de</w:t>
      </w:r>
      <w:r>
        <w:t xml:space="preserve"> </w:t>
      </w:r>
      <w:r>
        <w:rPr>
          <w:b/>
          <w:bCs/>
        </w:rPr>
        <w:t xml:space="preserve">10 000 (dix mille) euros</w:t>
      </w:r>
      <w:r>
        <w:t xml:space="preserve">, dont</w:t>
      </w:r>
      <w:r>
        <w:t xml:space="preserve"> </w:t>
      </w:r>
      <w:r>
        <w:rPr>
          <w:b/>
          <w:bCs/>
        </w:rPr>
        <w:t xml:space="preserve">4 000 euros sont libérés</w:t>
      </w:r>
      <w:r>
        <w:t xml:space="preserve"> </w:t>
      </w:r>
      <w:r>
        <w:t xml:space="preserve">à la constitution et</w:t>
      </w:r>
      <w:r>
        <w:t xml:space="preserve"> </w:t>
      </w:r>
      <w:r>
        <w:rPr>
          <w:b/>
          <w:bCs/>
        </w:rPr>
        <w:t xml:space="preserve">6 000 euros seront libérés</w:t>
      </w:r>
      <w:r>
        <w:t xml:space="preserve"> </w:t>
      </w:r>
      <w:r>
        <w:t xml:space="preserve">sur appel du conseil d’administration (Statuts, Art. 7 note + Art. 8).</w:t>
      </w:r>
    </w:p>
    <w:p>
      <w:pPr>
        <w:pStyle w:val="Compact"/>
        <w:numPr>
          <w:ilvl w:val="0"/>
          <w:numId w:val="1001"/>
        </w:numPr>
      </w:pPr>
      <w:r>
        <w:rPr>
          <w:b/>
          <w:bCs/>
        </w:rPr>
        <w:t xml:space="preserve">DIAHO</w:t>
      </w:r>
      <w:r>
        <w:t xml:space="preserve"> </w:t>
      </w:r>
      <w:r>
        <w:t xml:space="preserve">apporte en</w:t>
      </w:r>
      <w:r>
        <w:t xml:space="preserve"> </w:t>
      </w:r>
      <w:r>
        <w:rPr>
          <w:b/>
          <w:bCs/>
        </w:rPr>
        <w:t xml:space="preserve">numéraire</w:t>
      </w:r>
      <w:r>
        <w:t xml:space="preserve"> </w:t>
      </w:r>
      <w:r>
        <w:t xml:space="preserve">la somme de</w:t>
      </w:r>
      <w:r>
        <w:t xml:space="preserve"> </w:t>
      </w:r>
      <w:r>
        <w:rPr>
          <w:b/>
          <w:bCs/>
        </w:rPr>
        <w:t xml:space="preserve">1 600 euros</w:t>
      </w:r>
      <w:r>
        <w:t xml:space="preserve"> </w:t>
      </w:r>
      <w:r>
        <w:t xml:space="preserve">(40 %).</w:t>
      </w:r>
    </w:p>
    <w:p>
      <w:pPr>
        <w:pStyle w:val="Compact"/>
        <w:numPr>
          <w:ilvl w:val="0"/>
          <w:numId w:val="1001"/>
        </w:numPr>
      </w:pPr>
      <w:r>
        <w:rPr>
          <w:b/>
          <w:bCs/>
        </w:rPr>
        <w:t xml:space="preserve">Chaque fondateur</w:t>
      </w:r>
      <w:r>
        <w:t xml:space="preserve"> </w:t>
      </w:r>
      <w:r>
        <w:t xml:space="preserve">apporte en</w:t>
      </w:r>
      <w:r>
        <w:t xml:space="preserve"> </w:t>
      </w:r>
      <w:r>
        <w:rPr>
          <w:b/>
          <w:bCs/>
        </w:rPr>
        <w:t xml:space="preserve">numéraire</w:t>
      </w:r>
      <w:r>
        <w:t xml:space="preserve"> </w:t>
      </w:r>
      <w:r>
        <w:t xml:space="preserve">la somme de</w:t>
      </w:r>
      <w:r>
        <w:t xml:space="preserve"> </w:t>
      </w:r>
      <w:r>
        <w:rPr>
          <w:b/>
          <w:bCs/>
        </w:rPr>
        <w:t xml:space="preserve">600 euros</w:t>
      </w:r>
      <w:r>
        <w:t xml:space="preserve"> </w:t>
      </w:r>
      <w:r>
        <w:t xml:space="preserve">(15 %).</w:t>
      </w:r>
    </w:p>
    <w:p>
      <w:pPr>
        <w:pStyle w:val="BlockText"/>
      </w:pPr>
      <w:r>
        <w:t xml:space="preserve">⚠️</w:t>
      </w:r>
      <w:r>
        <w:t xml:space="preserve"> </w:t>
      </w:r>
      <w:r>
        <w:rPr>
          <w:b/>
          <w:bCs/>
        </w:rPr>
        <w:t xml:space="preserve">Mécanique des 6 000 €</w:t>
      </w:r>
      <w:r>
        <w:t xml:space="preserve"> </w:t>
      </w:r>
      <w:r>
        <w:t xml:space="preserve">: répartition (au prorata 40 % / 15 % × 4) et matérialisation en parts à valider par le notaire — voir</w:t>
      </w:r>
      <w:r>
        <w:t xml:space="preserve"> </w:t>
      </w:r>
      <w:r>
        <w:rPr>
          <w:rStyle w:val="VerbatimChar"/>
        </w:rPr>
        <w:t xml:space="preserve">note-points-restants.md</w:t>
      </w:r>
      <w:r>
        <w:t xml:space="preserve">.</w:t>
      </w:r>
    </w:p>
    <w:bookmarkEnd w:id="12"/>
    <w:bookmarkStart w:id="13" w:name="article-3-droits-attachés-aux-parts"/>
    <w:p>
      <w:pPr>
        <w:pStyle w:val="Heading3"/>
      </w:pPr>
      <w:r>
        <w:t xml:space="preserve">Article 3 — Droits attachés aux parts</w:t>
      </w:r>
    </w:p>
    <w:p>
      <w:pPr>
        <w:pStyle w:val="FirstParagraph"/>
      </w:pPr>
      <w:r>
        <w:t xml:space="preserve">Chaque part donne droit à une part proportionnelle dans l’actif social, les bénéfices et une voix en assemblée (Statuts, Art. 9). Les parts sont indivisibles à l’égard de la Société.</w:t>
      </w:r>
    </w:p>
    <w:p>
      <w:r>
        <w:pict>
          <v:rect style="width:0;height:1.5pt" o:hralign="center" o:hrstd="t" o:hr="t"/>
        </w:pict>
      </w:r>
    </w:p>
    <w:bookmarkEnd w:id="13"/>
    <w:bookmarkEnd w:id="14"/>
    <w:bookmarkStart w:id="20" w:name="titre-ii-gouvernance"/>
    <w:p>
      <w:pPr>
        <w:pStyle w:val="Heading2"/>
      </w:pPr>
      <w:r>
        <w:t xml:space="preserve">TITRE II — GOUVERNANCE</w:t>
      </w:r>
    </w:p>
    <w:bookmarkStart w:id="15" w:name="article-4-conseil-dadministration"/>
    <w:p>
      <w:pPr>
        <w:pStyle w:val="Heading3"/>
      </w:pPr>
      <w:r>
        <w:t xml:space="preserve">Article 4 — Conseil d’administration</w:t>
      </w:r>
    </w:p>
    <w:p>
      <w:pPr>
        <w:pStyle w:val="FirstParagraph"/>
      </w:pPr>
      <w:r>
        <w:t xml:space="preserve">La Société est administrée par un conseil d’administration (Statuts, Art. 14). Les Associés conviennent des modalités suivantes :</w:t>
      </w:r>
    </w:p>
    <w:p>
      <w:pPr>
        <w:pStyle w:val="Compact"/>
        <w:numPr>
          <w:ilvl w:val="0"/>
          <w:numId w:val="1002"/>
        </w:numPr>
      </w:pPr>
      <w:r>
        <w:t xml:space="preserve">Le conseil est composé de</w:t>
      </w:r>
      <w:r>
        <w:t xml:space="preserve"> </w:t>
      </w:r>
      <w:r>
        <w:rPr>
          <w:b/>
          <w:bCs/>
        </w:rPr>
        <w:t xml:space="preserve">trois (3) administrateurs</w:t>
      </w:r>
      <w:r>
        <w:t xml:space="preserve"> </w:t>
      </w:r>
      <w:r>
        <w:t xml:space="preserve">:</w:t>
      </w:r>
      <w:r>
        <w:t xml:space="preserve"> </w:t>
      </w:r>
      <w:r>
        <w:rPr>
          <w:b/>
          <w:bCs/>
        </w:rPr>
        <w:t xml:space="preserve">un (1) désigné par DIAHO</w:t>
      </w:r>
      <w:r>
        <w:t xml:space="preserve"> </w:t>
      </w:r>
      <w:r>
        <w:t xml:space="preserve">et</w:t>
      </w:r>
      <w:r>
        <w:t xml:space="preserve"> </w:t>
      </w:r>
      <w:r>
        <w:rPr>
          <w:b/>
          <w:bCs/>
        </w:rPr>
        <w:t xml:space="preserve">deux (2) désignés par les fondateurs européens</w:t>
      </w:r>
      <w:r>
        <w:t xml:space="preserve"> </w:t>
      </w:r>
      <w:r>
        <w:t xml:space="preserve">(via la Convention de bloc des Fondateurs).</w:t>
      </w:r>
    </w:p>
    <w:p>
      <w:pPr>
        <w:pStyle w:val="Compact"/>
        <w:numPr>
          <w:ilvl w:val="0"/>
          <w:numId w:val="1002"/>
        </w:numPr>
      </w:pPr>
      <w:r>
        <w:rPr>
          <w:b/>
          <w:bCs/>
        </w:rPr>
        <w:t xml:space="preserve">DIAHO désigne Peiwen QI comme son administrateur</w:t>
      </w:r>
      <w:r>
        <w:t xml:space="preserve">, chargée de la coordination des relations actionnariales entre VETALYX et DIAHO.</w:t>
      </w:r>
    </w:p>
    <w:p>
      <w:pPr>
        <w:pStyle w:val="Compact"/>
        <w:numPr>
          <w:ilvl w:val="0"/>
          <w:numId w:val="1002"/>
        </w:numPr>
      </w:pPr>
      <w:r>
        <w:t xml:space="preserve">Toute dépense supérieure à</w:t>
      </w:r>
      <w:r>
        <w:t xml:space="preserve"> </w:t>
      </w:r>
      <w:r>
        <w:rPr>
          <w:b/>
          <w:bCs/>
        </w:rPr>
        <w:t xml:space="preserve">10 000 €</w:t>
      </w:r>
      <w:r>
        <w:t xml:space="preserve"> </w:t>
      </w:r>
      <w:r>
        <w:t xml:space="preserve">requiert la signature de deux (2) administrateurs ; toute dépense supérieure à</w:t>
      </w:r>
      <w:r>
        <w:t xml:space="preserve"> </w:t>
      </w:r>
      <w:r>
        <w:rPr>
          <w:b/>
          <w:bCs/>
        </w:rPr>
        <w:t xml:space="preserve">30 000 €</w:t>
      </w:r>
      <w:r>
        <w:t xml:space="preserve"> </w:t>
      </w:r>
      <w:r>
        <w:t xml:space="preserve">requiert l’approbation du conseil (Statuts, Art. 15).</w:t>
      </w:r>
    </w:p>
    <w:bookmarkEnd w:id="15"/>
    <w:bookmarkStart w:id="16" w:name="Xdedc5f49cb4e44395d4d9184be84705f186a6c9"/>
    <w:p>
      <w:pPr>
        <w:pStyle w:val="Heading3"/>
      </w:pPr>
      <w:r>
        <w:t xml:space="preserve">Article 5 — Décisions réservées — Consentement de DIAHO requis</w:t>
      </w:r>
    </w:p>
    <w:p>
      <w:pPr>
        <w:pStyle w:val="FirstParagraph"/>
      </w:pPr>
      <w:r>
        <w:t xml:space="preserve">Les décisions suivantes requièrent, outre la majorité statutaire,</w:t>
      </w:r>
      <w:r>
        <w:t xml:space="preserve"> </w:t>
      </w:r>
      <w:r>
        <w:rPr>
          <w:b/>
          <w:bCs/>
        </w:rPr>
        <w:t xml:space="preserve">le vote favorable de DIAHO</w:t>
      </w:r>
      <w:r>
        <w:t xml:space="preserve"> </w:t>
      </w:r>
      <w:r>
        <w:t xml:space="preserve">(véto de protection à 40 %) :</w:t>
      </w:r>
    </w:p>
    <w:p>
      <w:pPr>
        <w:pStyle w:val="Compact"/>
        <w:numPr>
          <w:ilvl w:val="0"/>
          <w:numId w:val="1003"/>
        </w:numPr>
      </w:pPr>
      <w:r>
        <w:t xml:space="preserve">Modification de l’objet social (Statuts, Art. 5) —</w:t>
      </w:r>
      <w:r>
        <w:t xml:space="preserve"> </w:t>
      </w:r>
      <w:r>
        <w:rPr>
          <w:b/>
          <w:bCs/>
        </w:rPr>
        <w:t xml:space="preserve">sauf modifications exigées par les autorités, qui ne sont pas opposables</w:t>
      </w:r>
      <w:r>
        <w:t xml:space="preserve">.</w:t>
      </w:r>
    </w:p>
    <w:p>
      <w:pPr>
        <w:pStyle w:val="Compact"/>
        <w:numPr>
          <w:ilvl w:val="0"/>
          <w:numId w:val="1003"/>
        </w:numPr>
      </w:pPr>
      <w:r>
        <w:t xml:space="preserve">Transfert du siège social hors de Belgique (Statuts, Art. 3).</w:t>
      </w:r>
    </w:p>
    <w:p>
      <w:pPr>
        <w:pStyle w:val="Compact"/>
        <w:numPr>
          <w:ilvl w:val="0"/>
          <w:numId w:val="1003"/>
        </w:numPr>
      </w:pPr>
      <w:r>
        <w:t xml:space="preserve">Cession ou apport de la totalité ou d’une branche essentielle de l’activité.</w:t>
      </w:r>
    </w:p>
    <w:p>
      <w:pPr>
        <w:pStyle w:val="Compact"/>
        <w:numPr>
          <w:ilvl w:val="0"/>
          <w:numId w:val="1003"/>
        </w:numPr>
      </w:pPr>
      <w:r>
        <w:t xml:space="preserve">Modification du présent Pacte.</w:t>
      </w:r>
    </w:p>
    <w:p>
      <w:pPr>
        <w:pStyle w:val="Compact"/>
        <w:numPr>
          <w:ilvl w:val="0"/>
          <w:numId w:val="1003"/>
        </w:numPr>
      </w:pPr>
      <w:r>
        <w:t xml:space="preserve">Endettement supérieur à</w:t>
      </w:r>
      <w:r>
        <w:t xml:space="preserve"> </w:t>
      </w:r>
      <w:r>
        <w:rPr>
          <w:b/>
          <w:bCs/>
        </w:rPr>
        <w:t xml:space="preserve">175 000 €</w:t>
      </w:r>
      <w:r>
        <w:t xml:space="preserve"> </w:t>
      </w:r>
      <w:r>
        <w:t xml:space="preserve">hors gestion courante.</w:t>
      </w:r>
    </w:p>
    <w:p>
      <w:pPr>
        <w:pStyle w:val="Compact"/>
        <w:numPr>
          <w:ilvl w:val="0"/>
          <w:numId w:val="1003"/>
        </w:numPr>
      </w:pPr>
      <w:r>
        <w:t xml:space="preserve">Création de filiales ou succursales (Statuts, Art. 6).</w:t>
      </w:r>
    </w:p>
    <w:bookmarkEnd w:id="16"/>
    <w:bookmarkStart w:id="17" w:name="Xe67e873f8298db64d1ac7675822a08ca0a02a29"/>
    <w:p>
      <w:pPr>
        <w:pStyle w:val="Heading3"/>
      </w:pPr>
      <w:r>
        <w:t xml:space="preserve">Article 6 — Décisions réservées — Bloc des Fondateurs</w:t>
      </w:r>
    </w:p>
    <w:p>
      <w:pPr>
        <w:pStyle w:val="FirstParagraph"/>
      </w:pPr>
      <w:r>
        <w:t xml:space="preserve">Les quatre fondateurs conviennent de délibérer et de voter</w:t>
      </w:r>
      <w:r>
        <w:t xml:space="preserve"> </w:t>
      </w:r>
      <w:r>
        <w:rPr>
          <w:b/>
          <w:bCs/>
        </w:rPr>
        <w:t xml:space="preserve">en bloc</w:t>
      </w:r>
      <w:r>
        <w:t xml:space="preserve"> </w:t>
      </w:r>
      <w:r>
        <w:t xml:space="preserve">sur les décisions suivantes (protection du 60 %), via la Convention de bloc des Fondateurs (document séparé — couche 2) :</w:t>
      </w:r>
    </w:p>
    <w:p>
      <w:pPr>
        <w:pStyle w:val="Compact"/>
        <w:numPr>
          <w:ilvl w:val="0"/>
          <w:numId w:val="1004"/>
        </w:numPr>
      </w:pPr>
      <w:r>
        <w:t xml:space="preserve">Nomination et révocation des administrateurs désignés par les fondateurs.</w:t>
      </w:r>
    </w:p>
    <w:p>
      <w:pPr>
        <w:pStyle w:val="Compact"/>
        <w:numPr>
          <w:ilvl w:val="0"/>
          <w:numId w:val="1004"/>
        </w:numPr>
      </w:pPr>
      <w:r>
        <w:t xml:space="preserve">Admission de tout nouvel associé (agrément, cf. Art. 11).</w:t>
      </w:r>
    </w:p>
    <w:p>
      <w:pPr>
        <w:pStyle w:val="Compact"/>
        <w:numPr>
          <w:ilvl w:val="0"/>
          <w:numId w:val="1004"/>
        </w:numPr>
      </w:pPr>
      <w:r>
        <w:t xml:space="preserve">Adoption du plan stratégique annuel et du budget.</w:t>
      </w:r>
    </w:p>
    <w:p>
      <w:pPr>
        <w:pStyle w:val="Compact"/>
        <w:numPr>
          <w:ilvl w:val="0"/>
          <w:numId w:val="1004"/>
        </w:numPr>
      </w:pPr>
      <w:r>
        <w:t xml:space="preserve">Exercice de l’option de rachat en cas de sortie d’un fondateur.</w:t>
      </w:r>
    </w:p>
    <w:bookmarkEnd w:id="17"/>
    <w:bookmarkStart w:id="18" w:name="article-7-comité-des-fondateurs"/>
    <w:p>
      <w:pPr>
        <w:pStyle w:val="Heading3"/>
      </w:pPr>
      <w:r>
        <w:t xml:space="preserve">Article 7 — Comité des Fondateurs</w:t>
      </w:r>
    </w:p>
    <w:p>
      <w:pPr>
        <w:pStyle w:val="FirstParagraph"/>
      </w:pPr>
      <w:r>
        <w:t xml:space="preserve">Un Comité des Fondateurs (les quatre fondateurs) se réunit au minimum une fois par trimestre pour préparer les positions du bloc et arbitrer les désaccords internes. Il ne lie la Société que dans les limites des pouvoirs délégués par le conseil.</w:t>
      </w:r>
    </w:p>
    <w:bookmarkEnd w:id="18"/>
    <w:bookmarkStart w:id="19" w:name="article-8-conflits-dintérêts"/>
    <w:p>
      <w:pPr>
        <w:pStyle w:val="Heading3"/>
      </w:pPr>
      <w:r>
        <w:t xml:space="preserve">Article 8 — Conflits d’intérêts</w:t>
      </w:r>
    </w:p>
    <w:p>
      <w:pPr>
        <w:pStyle w:val="FirstParagraph"/>
      </w:pPr>
      <w:r>
        <w:t xml:space="preserve">Tout Associé en situation de conflit d’intérêts, direct ou indirect, avec une décision soumise au conseil ou à l’assemblée, doit en informer les autres Associés sans délai et s’abstenir de voter (Statuts, Art. 18 pour les administrateurs ; CSA, Art. 5:76-5:78).</w:t>
      </w:r>
    </w:p>
    <w:p>
      <w:pPr>
        <w:pStyle w:val="BodyText"/>
      </w:pPr>
      <w:r>
        <w:rPr>
          <w:b/>
          <w:bCs/>
        </w:rPr>
        <w:t xml:space="preserve">Disposition spécifique DIAHO</w:t>
      </w:r>
      <w:r>
        <w:t xml:space="preserve"> </w:t>
      </w:r>
      <w:r>
        <w:t xml:space="preserve">: DIAHO étant à la fois actionnaire et cocontractant commercial de la Société (contrat-cadre, mission de préparation stratégique), toute convention entre la Société et DIAHO (ou ses affiliés) est soumise à l’autorisation préalable du conseil,</w:t>
      </w:r>
      <w:r>
        <w:t xml:space="preserve"> </w:t>
      </w:r>
      <w:r>
        <w:rPr>
          <w:b/>
          <w:bCs/>
        </w:rPr>
        <w:t xml:space="preserve">DIAHO s’abstenant de voter</w:t>
      </w:r>
      <w:r>
        <w:t xml:space="preserve"> </w:t>
      </w:r>
      <w:r>
        <w:t xml:space="preserve">sur cette convention. Les conditions (prix, exclusivité) sont documentées et portées à l’assemblée générale dans le rapport de gestion.</w:t>
      </w:r>
    </w:p>
    <w:p>
      <w:r>
        <w:pict>
          <v:rect style="width:0;height:1.5pt" o:hralign="center" o:hrstd="t" o:hr="t"/>
        </w:pict>
      </w:r>
    </w:p>
    <w:bookmarkEnd w:id="19"/>
    <w:bookmarkEnd w:id="20"/>
    <w:bookmarkStart w:id="27" w:name="titre-iii-transferts-de-parts"/>
    <w:p>
      <w:pPr>
        <w:pStyle w:val="Heading2"/>
      </w:pPr>
      <w:r>
        <w:t xml:space="preserve">TITRE III — TRANSFERTS DE PARTS</w:t>
      </w:r>
    </w:p>
    <w:bookmarkStart w:id="21" w:name="article-9-lock-up"/>
    <w:p>
      <w:pPr>
        <w:pStyle w:val="Heading3"/>
      </w:pPr>
      <w:r>
        <w:t xml:space="preserve">Article 9 — Lock-up</w:t>
      </w:r>
    </w:p>
    <w:p>
      <w:pPr>
        <w:pStyle w:val="FirstParagraph"/>
      </w:pPr>
      <w:r>
        <w:t xml:space="preserve">Pendant une période de</w:t>
      </w:r>
      <w:r>
        <w:t xml:space="preserve"> </w:t>
      </w:r>
      <w:r>
        <w:rPr>
          <w:b/>
          <w:bCs/>
        </w:rPr>
        <w:t xml:space="preserve">trois (3) ans</w:t>
      </w:r>
      <w:r>
        <w:t xml:space="preserve"> </w:t>
      </w:r>
      <w:r>
        <w:t xml:space="preserve">à compter de la signature du Pacte, aucun Associé ne peut céder, apporter, nantir ou transférer tout ou partie de ses parts sans l’accord unanime des autres Associés.</w:t>
      </w:r>
    </w:p>
    <w:bookmarkEnd w:id="21"/>
    <w:bookmarkStart w:id="22" w:name="article-10-droit-de-préemption"/>
    <w:p>
      <w:pPr>
        <w:pStyle w:val="Heading3"/>
      </w:pPr>
      <w:r>
        <w:t xml:space="preserve">Article 10 — Droit de préemption</w:t>
      </w:r>
    </w:p>
    <w:p>
      <w:pPr>
        <w:pStyle w:val="FirstParagraph"/>
      </w:pPr>
      <w:r>
        <w:t xml:space="preserve">À l’expiration du lock-up, tout Associé souhaitant céder ses parts notifie son intention aux autres Associés (lettre recommandée), en indiquant nombre de parts, prix, identité du cessionnaire et conditions. Les autres Associés disposent de</w:t>
      </w:r>
      <w:r>
        <w:t xml:space="preserve"> </w:t>
      </w:r>
      <w:r>
        <w:rPr>
          <w:b/>
          <w:bCs/>
        </w:rPr>
        <w:t xml:space="preserve">trente (30) jours</w:t>
      </w:r>
      <w:r>
        <w:t xml:space="preserve"> </w:t>
      </w:r>
      <w:r>
        <w:t xml:space="preserve">pour exercer leur préemption, au prorata de leur participation. Ordre de priorité : fondateurs (en bloc) → DIAHO → tiers.</w:t>
      </w:r>
    </w:p>
    <w:bookmarkEnd w:id="22"/>
    <w:bookmarkStart w:id="23" w:name="article-11-agrément"/>
    <w:p>
      <w:pPr>
        <w:pStyle w:val="Heading3"/>
      </w:pPr>
      <w:r>
        <w:t xml:space="preserve">Article 11 — Agrément</w:t>
      </w:r>
    </w:p>
    <w:p>
      <w:pPr>
        <w:pStyle w:val="FirstParagraph"/>
      </w:pPr>
      <w:r>
        <w:t xml:space="preserve">Toute cession à un tiers non-Associé est soumise à l’agrément des Associés représentant</w:t>
      </w:r>
      <w:r>
        <w:t xml:space="preserve"> </w:t>
      </w:r>
      <w:r>
        <w:rPr>
          <w:b/>
          <w:bCs/>
        </w:rPr>
        <w:t xml:space="preserve">au moins 50 % du capital</w:t>
      </w:r>
      <w:r>
        <w:t xml:space="preserve">. En cas de refus, les Associés restants rachètent les parts dans un délai de</w:t>
      </w:r>
      <w:r>
        <w:t xml:space="preserve"> </w:t>
      </w:r>
      <w:r>
        <w:rPr>
          <w:b/>
          <w:bCs/>
        </w:rPr>
        <w:t xml:space="preserve">trois (3) mois</w:t>
      </w:r>
      <w:r>
        <w:t xml:space="preserve"> </w:t>
      </w:r>
      <w:r>
        <w:t xml:space="preserve">; à défaut, l’agrément est réputé accordé.</w:t>
      </w:r>
    </w:p>
    <w:bookmarkEnd w:id="23"/>
    <w:bookmarkStart w:id="24" w:name="article-12-tag-along-drag-along"/>
    <w:p>
      <w:pPr>
        <w:pStyle w:val="Heading3"/>
      </w:pPr>
      <w:r>
        <w:t xml:space="preserve">Article 12 — Tag-along / Drag-along</w:t>
      </w:r>
    </w:p>
    <w:p>
      <w:pPr>
        <w:pStyle w:val="Compact"/>
        <w:numPr>
          <w:ilvl w:val="0"/>
          <w:numId w:val="1005"/>
        </w:numPr>
      </w:pPr>
      <w:r>
        <w:rPr>
          <w:b/>
          <w:bCs/>
        </w:rPr>
        <w:t xml:space="preserve">Tag-along</w:t>
      </w:r>
      <w:r>
        <w:t xml:space="preserve"> </w:t>
      </w:r>
      <w:r>
        <w:t xml:space="preserve">: en cas de cession de plus de 50 % du capital par un Associé à un tiers, les autres Associés disposent d’un droit de sortie conjointe aux mêmes conditions.</w:t>
      </w:r>
    </w:p>
    <w:p>
      <w:pPr>
        <w:pStyle w:val="Compact"/>
        <w:numPr>
          <w:ilvl w:val="0"/>
          <w:numId w:val="1005"/>
        </w:numPr>
      </w:pPr>
      <w:r>
        <w:rPr>
          <w:b/>
          <w:bCs/>
        </w:rPr>
        <w:t xml:space="preserve">Drag-along</w:t>
      </w:r>
      <w:r>
        <w:t xml:space="preserve"> </w:t>
      </w:r>
      <w:r>
        <w:t xml:space="preserve">: les Associés représentant ensemble au moins</w:t>
      </w:r>
      <w:r>
        <w:t xml:space="preserve"> </w:t>
      </w:r>
      <w:r>
        <w:rPr>
          <w:b/>
          <w:bCs/>
        </w:rPr>
        <w:t xml:space="preserve">[75 %]</w:t>
      </w:r>
      <w:r>
        <w:t xml:space="preserve"> </w:t>
      </w:r>
      <w:r>
        <w:t xml:space="preserve">du capital peuvent contraindre les Associés minoritaires à céder leurs parts aux mêmes conditions qu’une offre ferme d’un tiers de bonne foi.</w:t>
      </w:r>
    </w:p>
    <w:bookmarkEnd w:id="24"/>
    <w:bookmarkStart w:id="25" w:name="article-13-exclusion"/>
    <w:p>
      <w:pPr>
        <w:pStyle w:val="Heading3"/>
      </w:pPr>
      <w:r>
        <w:t xml:space="preserve">Article 13 — Exclusion</w:t>
      </w:r>
    </w:p>
    <w:p>
      <w:pPr>
        <w:pStyle w:val="FirstParagraph"/>
      </w:pPr>
      <w:r>
        <w:t xml:space="preserve">Un Associé peut être exclu dans les cas limitatifs suivants, sur décision des Associés représentant au moins</w:t>
      </w:r>
      <w:r>
        <w:t xml:space="preserve"> </w:t>
      </w:r>
      <w:r>
        <w:rPr>
          <w:b/>
          <w:bCs/>
        </w:rPr>
        <w:t xml:space="preserve">50 % des voix</w:t>
      </w:r>
      <w:r>
        <w:t xml:space="preserve"> </w:t>
      </w:r>
      <w:r>
        <w:t xml:space="preserve">(l’Associé concerné ne prenant pas part au vote) :</w:t>
      </w:r>
    </w:p>
    <w:p>
      <w:pPr>
        <w:pStyle w:val="Compact"/>
        <w:numPr>
          <w:ilvl w:val="0"/>
          <w:numId w:val="1006"/>
        </w:numPr>
      </w:pPr>
      <w:r>
        <w:t xml:space="preserve">Condamnation pénale définitive portant atteinte à l’honorabilité commerciale.</w:t>
      </w:r>
    </w:p>
    <w:p>
      <w:pPr>
        <w:pStyle w:val="Compact"/>
        <w:numPr>
          <w:ilvl w:val="0"/>
          <w:numId w:val="1006"/>
        </w:numPr>
      </w:pPr>
      <w:r>
        <w:t xml:space="preserve">Violation grave et répétée du Pacte, non corrigée dans un délai de trente (30) jours après mise en demeure.</w:t>
      </w:r>
    </w:p>
    <w:p>
      <w:pPr>
        <w:pStyle w:val="Compact"/>
        <w:numPr>
          <w:ilvl w:val="0"/>
          <w:numId w:val="1006"/>
        </w:numPr>
      </w:pPr>
      <w:r>
        <w:t xml:space="preserve">Concurrence déloyale directe.</w:t>
      </w:r>
    </w:p>
    <w:p>
      <w:pPr>
        <w:pStyle w:val="Compact"/>
        <w:numPr>
          <w:ilvl w:val="0"/>
          <w:numId w:val="1006"/>
        </w:numPr>
      </w:pPr>
      <w:r>
        <w:t xml:space="preserve">Pour DIAHO spécifiquement : manquement substantiel au contrat-cadre, ou sanction au titre de l’ISC/UBO.</w:t>
      </w:r>
    </w:p>
    <w:p>
      <w:pPr>
        <w:pStyle w:val="FirstParagraph"/>
      </w:pPr>
      <w:r>
        <w:t xml:space="preserve">Le rachat s’effectue selon l’Article 14, avec une décote de</w:t>
      </w:r>
      <w:r>
        <w:t xml:space="preserve"> </w:t>
      </w:r>
      <w:r>
        <w:rPr>
          <w:b/>
          <w:bCs/>
        </w:rPr>
        <w:t xml:space="preserve">15 %</w:t>
      </w:r>
      <w:r>
        <w:t xml:space="preserve">.</w:t>
      </w:r>
    </w:p>
    <w:bookmarkEnd w:id="25"/>
    <w:bookmarkStart w:id="26" w:name="article-14-évaluation-des-parts"/>
    <w:p>
      <w:pPr>
        <w:pStyle w:val="Heading3"/>
      </w:pPr>
      <w:r>
        <w:t xml:space="preserve">Article 14 — Évaluation des parts</w:t>
      </w:r>
    </w:p>
    <w:p>
      <w:pPr>
        <w:pStyle w:val="FirstParagraph"/>
      </w:pPr>
      <w:r>
        <w:t xml:space="preserve">En cas de cession forcée (exclusion, décès, incapacité) ou de désaccord sur le prix, la valeur des parts est déterminée par combinaison :</w:t>
      </w:r>
    </w:p>
    <w:p>
      <w:pPr>
        <w:pStyle w:val="Compact"/>
        <w:numPr>
          <w:ilvl w:val="0"/>
          <w:numId w:val="1007"/>
        </w:numPr>
      </w:pPr>
      <w:r>
        <w:rPr>
          <w:b/>
          <w:bCs/>
        </w:rPr>
        <w:t xml:space="preserve">EBITDA</w:t>
      </w:r>
      <w:r>
        <w:t xml:space="preserve"> </w:t>
      </w:r>
      <w:r>
        <w:t xml:space="preserve">(pondération 40 %) : multiple sectoriel sur le résultat opérationnel brut des douze derniers mois ;</w:t>
      </w:r>
    </w:p>
    <w:p>
      <w:pPr>
        <w:pStyle w:val="Compact"/>
        <w:numPr>
          <w:ilvl w:val="0"/>
          <w:numId w:val="1007"/>
        </w:numPr>
      </w:pPr>
      <w:r>
        <w:rPr>
          <w:b/>
          <w:bCs/>
        </w:rPr>
        <w:t xml:space="preserve">Patrimoniale</w:t>
      </w:r>
      <w:r>
        <w:t xml:space="preserve"> </w:t>
      </w:r>
      <w:r>
        <w:t xml:space="preserve">(pondération 30 %) : actif net réévalué ;</w:t>
      </w:r>
    </w:p>
    <w:p>
      <w:pPr>
        <w:pStyle w:val="Compact"/>
        <w:numPr>
          <w:ilvl w:val="0"/>
          <w:numId w:val="1007"/>
        </w:numPr>
      </w:pPr>
      <w:r>
        <w:rPr>
          <w:b/>
          <w:bCs/>
        </w:rPr>
        <w:t xml:space="preserve">DCF</w:t>
      </w:r>
      <w:r>
        <w:t xml:space="preserve"> </w:t>
      </w:r>
      <w:r>
        <w:t xml:space="preserve">(pondération 30 %) : flux de trésorerie actualisés sur cinq ans.</w:t>
      </w:r>
    </w:p>
    <w:p>
      <w:pPr>
        <w:pStyle w:val="FirstParagraph"/>
      </w:pPr>
      <w:r>
        <w:rPr>
          <w:b/>
          <w:bCs/>
        </w:rPr>
        <w:t xml:space="preserve">Plancher pré-revenus</w:t>
      </w:r>
      <w:r>
        <w:t xml:space="preserve"> </w:t>
      </w:r>
      <w:r>
        <w:t xml:space="preserve">(CA &lt; 100 000 € sur douze mois) : actif net réévalué, multiple entre 1 et 3, jamais inférieur au capital libéré augmenté des apports en compte courant.</w:t>
      </w:r>
    </w:p>
    <w:p>
      <w:r>
        <w:pict>
          <v:rect style="width:0;height:1.5pt" o:hralign="center" o:hrstd="t" o:hr="t"/>
        </w:pict>
      </w:r>
    </w:p>
    <w:bookmarkEnd w:id="26"/>
    <w:bookmarkEnd w:id="27"/>
    <w:bookmarkStart w:id="29" w:name="titre-iv-augmentations-de-capital"/>
    <w:p>
      <w:pPr>
        <w:pStyle w:val="Heading2"/>
      </w:pPr>
      <w:r>
        <w:t xml:space="preserve">TITRE IV — AUGMENTATIONS DE CAPITAL</w:t>
      </w:r>
    </w:p>
    <w:bookmarkStart w:id="28" w:name="X5b3f7b06c8eae8b1d76fcc3067861b6946bd584"/>
    <w:p>
      <w:pPr>
        <w:pStyle w:val="Heading3"/>
      </w:pPr>
      <w:r>
        <w:t xml:space="preserve">Article 15 — Droit préférentiel de souscription</w:t>
      </w:r>
    </w:p>
    <w:p>
      <w:pPr>
        <w:pStyle w:val="FirstParagraph"/>
      </w:pPr>
      <w:r>
        <w:t xml:space="preserve">Lors de toute augmentation de capital, chaque Associé dispose d’un droit préférentiel de souscription pour maintenir son pourcentage. Notification quarante-cinq (45) jours avant, exercice dans un délai de vingt (20) jours, transférable entre Associés avant d’être proposé aux tiers.</w:t>
      </w:r>
    </w:p>
    <w:p>
      <w:r>
        <w:pict>
          <v:rect style="width:0;height:1.5pt" o:hralign="center" o:hrstd="t" o:hr="t"/>
        </w:pict>
      </w:r>
    </w:p>
    <w:bookmarkEnd w:id="28"/>
    <w:bookmarkEnd w:id="29"/>
    <w:bookmarkStart w:id="33" w:name="titre-v-engagements-des-associés"/>
    <w:p>
      <w:pPr>
        <w:pStyle w:val="Heading2"/>
      </w:pPr>
      <w:r>
        <w:t xml:space="preserve">TITRE V — ENGAGEMENTS DES ASSOCIÉS</w:t>
      </w:r>
    </w:p>
    <w:bookmarkStart w:id="30" w:name="article-16-non-concurrence"/>
    <w:p>
      <w:pPr>
        <w:pStyle w:val="Heading3"/>
      </w:pPr>
      <w:r>
        <w:t xml:space="preserve">Article 16 — Non-concurrence</w:t>
      </w:r>
    </w:p>
    <w:p>
      <w:pPr>
        <w:pStyle w:val="FirstParagraph"/>
      </w:pPr>
      <w:r>
        <w:t xml:space="preserve">Chaque Associé s’interdit, pendant toute la durée de sa participation et pendant</w:t>
      </w:r>
      <w:r>
        <w:t xml:space="preserve"> </w:t>
      </w:r>
      <w:r>
        <w:rPr>
          <w:b/>
          <w:bCs/>
        </w:rPr>
        <w:t xml:space="preserve">un (1) an</w:t>
      </w:r>
      <w:r>
        <w:t xml:space="preserve"> </w:t>
      </w:r>
      <w:r>
        <w:t xml:space="preserve">suivant sa sortie, d’exercer directement ou indirectement une activité concurrente de celle de la Société sur le territoire européen.</w:t>
      </w:r>
    </w:p>
    <w:bookmarkEnd w:id="30"/>
    <w:bookmarkStart w:id="31" w:name="article-17-confidentialité"/>
    <w:p>
      <w:pPr>
        <w:pStyle w:val="Heading3"/>
      </w:pPr>
      <w:r>
        <w:t xml:space="preserve">Article 17 — Confidentialité</w:t>
      </w:r>
    </w:p>
    <w:p>
      <w:pPr>
        <w:pStyle w:val="FirstParagraph"/>
      </w:pPr>
      <w:r>
        <w:t xml:space="preserve">Les Associés traitent comme strictement confidentielles toutes les informations relatives à la Société, à sa PI, à ses partenaires et à sa situation financière. Cette obligation survit</w:t>
      </w:r>
      <w:r>
        <w:t xml:space="preserve"> </w:t>
      </w:r>
      <w:r>
        <w:rPr>
          <w:b/>
          <w:bCs/>
        </w:rPr>
        <w:t xml:space="preserve">trois (3) ans</w:t>
      </w:r>
      <w:r>
        <w:t xml:space="preserve"> </w:t>
      </w:r>
      <w:r>
        <w:t xml:space="preserve">à la sortie de l’Associé.</w:t>
      </w:r>
    </w:p>
    <w:bookmarkEnd w:id="31"/>
    <w:bookmarkStart w:id="32" w:name="article-18-implication-minimale"/>
    <w:p>
      <w:pPr>
        <w:pStyle w:val="Heading3"/>
      </w:pPr>
      <w:r>
        <w:t xml:space="preserve">Article 18 — Implication minimale</w:t>
      </w:r>
    </w:p>
    <w:p>
      <w:pPr>
        <w:pStyle w:val="FirstParagraph"/>
      </w:pPr>
      <w:r>
        <w:t xml:space="preserve">Chaque Associé s’engage à consacrer le temps et l’attention nécessaires à sa mission et à participer aux réunions du conseil et du Comité des Fondateurs.</w:t>
      </w:r>
    </w:p>
    <w:p>
      <w:r>
        <w:pict>
          <v:rect style="width:0;height:1.5pt" o:hralign="center" o:hrstd="t" o:hr="t"/>
        </w:pict>
      </w:r>
    </w:p>
    <w:bookmarkEnd w:id="32"/>
    <w:bookmarkEnd w:id="33"/>
    <w:bookmarkStart w:id="37" w:name="titre-vi-sortie-décès-départ"/>
    <w:p>
      <w:pPr>
        <w:pStyle w:val="Heading2"/>
      </w:pPr>
      <w:r>
        <w:t xml:space="preserve">TITRE VI — SORTIE, DÉCÈS, DÉPART</w:t>
      </w:r>
    </w:p>
    <w:bookmarkStart w:id="34" w:name="article-19-décès-et-incapacité"/>
    <w:p>
      <w:pPr>
        <w:pStyle w:val="Heading3"/>
      </w:pPr>
      <w:r>
        <w:t xml:space="preserve">Article 19 — Décès et incapacité</w:t>
      </w:r>
    </w:p>
    <w:p>
      <w:pPr>
        <w:pStyle w:val="FirstParagraph"/>
      </w:pPr>
      <w:r>
        <w:t xml:space="preserve">En cas de décès, la Société continue avec les Associés survivants et les héritiers, sous réserve d’agrément (Statuts, Art. 12). En cas de refus, les parts sont rachetées selon l’Article 14 dans un délai de six (6) mois. La Société souscrit une assurance « homme clé » dans les trente (30) jours suivant la signature.</w:t>
      </w:r>
    </w:p>
    <w:bookmarkEnd w:id="34"/>
    <w:bookmarkStart w:id="35" w:name="article-20-good-leaver-bad-leaver"/>
    <w:p>
      <w:pPr>
        <w:pStyle w:val="Heading3"/>
      </w:pPr>
      <w:r>
        <w:t xml:space="preserve">Article 20 — Good Leaver / Bad Leaver</w:t>
      </w:r>
    </w:p>
    <w:p>
      <w:pPr>
        <w:pStyle w:val="Compact"/>
        <w:numPr>
          <w:ilvl w:val="0"/>
          <w:numId w:val="1008"/>
        </w:numPr>
      </w:pPr>
      <w:r>
        <w:rPr>
          <w:b/>
          <w:bCs/>
        </w:rPr>
        <w:t xml:space="preserve">Good Leaver</w:t>
      </w:r>
      <w:r>
        <w:t xml:space="preserve"> </w:t>
      </w:r>
      <w:r>
        <w:t xml:space="preserve">(départ pour raisons personnelles, de santé, ou accord amiable) : rachat à</w:t>
      </w:r>
      <w:r>
        <w:t xml:space="preserve"> </w:t>
      </w:r>
      <w:r>
        <w:rPr>
          <w:b/>
          <w:bCs/>
        </w:rPr>
        <w:t xml:space="preserve">100 %</w:t>
      </w:r>
      <w:r>
        <w:t xml:space="preserve"> </w:t>
      </w:r>
      <w:r>
        <w:t xml:space="preserve">de la valeur (Art. 14).</w:t>
      </w:r>
    </w:p>
    <w:p>
      <w:pPr>
        <w:pStyle w:val="Compact"/>
        <w:numPr>
          <w:ilvl w:val="0"/>
          <w:numId w:val="1008"/>
        </w:numPr>
      </w:pPr>
      <w:r>
        <w:rPr>
          <w:b/>
          <w:bCs/>
        </w:rPr>
        <w:t xml:space="preserve">Bad Leaver</w:t>
      </w:r>
      <w:r>
        <w:t xml:space="preserve"> </w:t>
      </w:r>
      <w:r>
        <w:t xml:space="preserve">: décote de</w:t>
      </w:r>
      <w:r>
        <w:t xml:space="preserve"> </w:t>
      </w:r>
      <w:r>
        <w:rPr>
          <w:b/>
          <w:bCs/>
        </w:rPr>
        <w:t xml:space="preserve">25 %</w:t>
      </w:r>
      <w:r>
        <w:t xml:space="preserve"> </w:t>
      </w:r>
      <w:r>
        <w:t xml:space="preserve">(départ en violation du Pacte, sans malversation caractérisée) ou</w:t>
      </w:r>
      <w:r>
        <w:t xml:space="preserve"> </w:t>
      </w:r>
      <w:r>
        <w:rPr>
          <w:b/>
          <w:bCs/>
        </w:rPr>
        <w:t xml:space="preserve">50 %</w:t>
      </w:r>
      <w:r>
        <w:t xml:space="preserve"> </w:t>
      </w:r>
      <w:r>
        <w:t xml:space="preserve">(faute lourde, détournement, concurrence déloyale).</w:t>
      </w:r>
    </w:p>
    <w:bookmarkEnd w:id="35"/>
    <w:bookmarkStart w:id="36" w:name="X1974c85c64f831dc653cf02332575f2e21cd68f"/>
    <w:p>
      <w:pPr>
        <w:pStyle w:val="Heading3"/>
      </w:pPr>
      <w:r>
        <w:t xml:space="preserve">Article 21 — Changement de contrôle de DIAHO</w:t>
      </w:r>
    </w:p>
    <w:p>
      <w:pPr>
        <w:pStyle w:val="FirstParagraph"/>
      </w:pPr>
      <w:r>
        <w:t xml:space="preserve">Tout changement de contrôle de DIAHO (acquisition de DIAHO par un tiers, transfert de la majorité de son capital) est soumis à l’</w:t>
      </w:r>
      <w:r>
        <w:rPr>
          <w:b/>
          <w:bCs/>
        </w:rPr>
        <w:t xml:space="preserve">agrément préalable</w:t>
      </w:r>
      <w:r>
        <w:t xml:space="preserve"> </w:t>
      </w:r>
      <w:r>
        <w:t xml:space="preserve">des autres Associés. À défaut d’agrément, les autres Associés disposent d’un droit de rachat prioritaire des parts de DIAHO selon l’Article 14.</w:t>
      </w:r>
    </w:p>
    <w:p>
      <w:r>
        <w:pict>
          <v:rect style="width:0;height:1.5pt" o:hralign="center" o:hrstd="t" o:hr="t"/>
        </w:pict>
      </w:r>
    </w:p>
    <w:bookmarkEnd w:id="36"/>
    <w:bookmarkEnd w:id="37"/>
    <w:bookmarkStart w:id="41" w:name="X6dbaa253ffcc885f31095a4efe8ee1f301d56e7"/>
    <w:p>
      <w:pPr>
        <w:pStyle w:val="Heading2"/>
      </w:pPr>
      <w:r>
        <w:t xml:space="preserve">TITRE VII — DEADLOCK ET RÈGLEMENT DES DIFFÉRENDS</w:t>
      </w:r>
    </w:p>
    <w:bookmarkStart w:id="38" w:name="article-22-conciliation-et-médiation"/>
    <w:p>
      <w:pPr>
        <w:pStyle w:val="Heading3"/>
      </w:pPr>
      <w:r>
        <w:t xml:space="preserve">Article 22 — Conciliation et médiation</w:t>
      </w:r>
    </w:p>
    <w:p>
      <w:pPr>
        <w:pStyle w:val="FirstParagraph"/>
      </w:pPr>
      <w:r>
        <w:t xml:space="preserve">En cas de différend relatif au Pacte, les Parties recherchent une solution amiable dans un délai de trente (30) jours, puis recourent à un médiateur désigné d’un commun accord ou, à défaut, par le Président du Tribunal de l’Entreprise.</w:t>
      </w:r>
    </w:p>
    <w:bookmarkEnd w:id="38"/>
    <w:bookmarkStart w:id="39" w:name="X47623c6f57dc7ec19df8e65ea5760c3c1971132"/>
    <w:p>
      <w:pPr>
        <w:pStyle w:val="Heading3"/>
      </w:pPr>
      <w:r>
        <w:t xml:space="preserve">Article 23 — Blocage persistant — Buy-Sell (Shotgun)</w:t>
      </w:r>
    </w:p>
    <w:p>
      <w:pPr>
        <w:pStyle w:val="FirstParagraph"/>
      </w:pPr>
      <w:r>
        <w:t xml:space="preserve">En cas de blocage persistant excédant</w:t>
      </w:r>
      <w:r>
        <w:t xml:space="preserve"> </w:t>
      </w:r>
      <w:r>
        <w:rPr>
          <w:b/>
          <w:bCs/>
        </w:rPr>
        <w:t xml:space="preserve">quatre-vingt-dix (90) jours</w:t>
      </w:r>
      <w:r>
        <w:t xml:space="preserve"> </w:t>
      </w:r>
      <w:r>
        <w:t xml:space="preserve">sur une décision critique, l’un des deux blocs (bloc DIAHO vs bloc des Fondateurs) peut déclencher la procédure suivante : il fixe un prix par part ; le bloc adverse choisit alors exclusivement de</w:t>
      </w:r>
      <w:r>
        <w:t xml:space="preserve"> </w:t>
      </w:r>
      <w:r>
        <w:rPr>
          <w:b/>
          <w:bCs/>
        </w:rPr>
        <w:t xml:space="preserve">racheter</w:t>
      </w:r>
      <w:r>
        <w:t xml:space="preserve"> </w:t>
      </w:r>
      <w:r>
        <w:t xml:space="preserve">les parts du bloc demandeur à ce prix, ou de</w:t>
      </w:r>
      <w:r>
        <w:t xml:space="preserve"> </w:t>
      </w:r>
      <w:r>
        <w:rPr>
          <w:b/>
          <w:bCs/>
        </w:rPr>
        <w:t xml:space="preserve">lui vendre</w:t>
      </w:r>
      <w:r>
        <w:t xml:space="preserve"> </w:t>
      </w:r>
      <w:r>
        <w:t xml:space="preserve">ses propres parts à ce même prix. La réponse du bloc des Fondateurs est arrêtée selon la Convention de bloc (Art. 19). Mécanisme de dernier recours.</w:t>
      </w:r>
    </w:p>
    <w:bookmarkEnd w:id="39"/>
    <w:bookmarkStart w:id="40" w:name="article-24-arbitrage"/>
    <w:p>
      <w:pPr>
        <w:pStyle w:val="Heading3"/>
      </w:pPr>
      <w:r>
        <w:t xml:space="preserve">Article 24 — Arbitrage</w:t>
      </w:r>
    </w:p>
    <w:p>
      <w:pPr>
        <w:pStyle w:val="FirstParagraph"/>
      </w:pPr>
      <w:r>
        <w:t xml:space="preserve">À défaut de résolution amiable, tout différend est soumis à l’arbitrage</w:t>
      </w:r>
      <w:r>
        <w:t xml:space="preserve"> </w:t>
      </w:r>
      <w:r>
        <w:rPr>
          <w:b/>
          <w:bCs/>
        </w:rPr>
        <w:t xml:space="preserve">ICC</w:t>
      </w:r>
      <w:r>
        <w:t xml:space="preserve">, conformément au règlement d’arbitrage de la Chambre de commerce internationale, siégeant à</w:t>
      </w:r>
      <w:r>
        <w:t xml:space="preserve"> </w:t>
      </w:r>
      <w:r>
        <w:rPr>
          <w:b/>
          <w:bCs/>
        </w:rPr>
        <w:t xml:space="preserve">Genève (Suisse)</w:t>
      </w:r>
      <w:r>
        <w:t xml:space="preserve">, en langue française.</w:t>
      </w:r>
    </w:p>
    <w:p>
      <w:r>
        <w:pict>
          <v:rect style="width:0;height:1.5pt" o:hralign="center" o:hrstd="t" o:hr="t"/>
        </w:pict>
      </w:r>
    </w:p>
    <w:bookmarkEnd w:id="40"/>
    <w:bookmarkEnd w:id="41"/>
    <w:bookmarkStart w:id="43" w:name="titre-viii-information-et-reporting"/>
    <w:p>
      <w:pPr>
        <w:pStyle w:val="Heading2"/>
      </w:pPr>
      <w:r>
        <w:t xml:space="preserve">TITRE VIII — INFORMATION ET REPORTING</w:t>
      </w:r>
    </w:p>
    <w:bookmarkStart w:id="42" w:name="X58b2ace8fff7f496ce56f51adbf4f0a824012fc"/>
    <w:p>
      <w:pPr>
        <w:pStyle w:val="Heading3"/>
      </w:pPr>
      <w:r>
        <w:t xml:space="preserve">Article 25 — Reporting et droits d’information</w:t>
      </w:r>
    </w:p>
    <w:p>
      <w:pPr>
        <w:pStyle w:val="FirstParagraph"/>
      </w:pPr>
      <w:r>
        <w:t xml:space="preserve">La Société fournit à chaque Associé :</w:t>
      </w:r>
    </w:p>
    <w:p>
      <w:pPr>
        <w:pStyle w:val="Compact"/>
        <w:numPr>
          <w:ilvl w:val="0"/>
          <w:numId w:val="1009"/>
        </w:numPr>
      </w:pPr>
      <w:r>
        <w:rPr>
          <w:b/>
          <w:bCs/>
        </w:rPr>
        <w:t xml:space="preserve">Trimestriellement</w:t>
      </w:r>
      <w:r>
        <w:t xml:space="preserve"> </w:t>
      </w:r>
      <w:r>
        <w:t xml:space="preserve">: situation de trésorerie, tableau de bord commercial, comptes de gestion, reporting des accords de représentation. Passage à</w:t>
      </w:r>
      <w:r>
        <w:t xml:space="preserve"> </w:t>
      </w:r>
      <w:r>
        <w:rPr>
          <w:b/>
          <w:bCs/>
        </w:rPr>
        <w:t xml:space="preserve">mensuel</w:t>
      </w:r>
      <w:r>
        <w:t xml:space="preserve"> </w:t>
      </w:r>
      <w:r>
        <w:t xml:space="preserve">dès un chiffre d’affaires annuel de 100 000 €.</w:t>
      </w:r>
    </w:p>
    <w:p>
      <w:pPr>
        <w:pStyle w:val="Compact"/>
        <w:numPr>
          <w:ilvl w:val="0"/>
          <w:numId w:val="1009"/>
        </w:numPr>
      </w:pPr>
      <w:r>
        <w:rPr>
          <w:b/>
          <w:bCs/>
        </w:rPr>
        <w:t xml:space="preserve">Annuellement</w:t>
      </w:r>
      <w:r>
        <w:t xml:space="preserve"> </w:t>
      </w:r>
      <w:r>
        <w:t xml:space="preserve">: comptes définitifs, bilan des accords en cours, prospectus.</w:t>
      </w:r>
    </w:p>
    <w:p>
      <w:pPr>
        <w:pStyle w:val="FirstParagraph"/>
      </w:pPr>
      <w:r>
        <w:t xml:space="preserve">DIAHO, en tant qu’actionnaire de référence, dispose d’un droit d’information renforcé : accès aux comptes de gestion et aux indicateurs de la mission de préparation stratégique. Tout Associé peut interroger l’administrateur, qui répond dans les dix (10) jours.</w:t>
      </w:r>
    </w:p>
    <w:p>
      <w:r>
        <w:pict>
          <v:rect style="width:0;height:1.5pt" o:hralign="center" o:hrstd="t" o:hr="t"/>
        </w:pict>
      </w:r>
    </w:p>
    <w:bookmarkEnd w:id="42"/>
    <w:bookmarkEnd w:id="43"/>
    <w:bookmarkStart w:id="49" w:name="titre-ix-dispositions-finales"/>
    <w:p>
      <w:pPr>
        <w:pStyle w:val="Heading2"/>
      </w:pPr>
      <w:r>
        <w:t xml:space="preserve">TITRE IX — DISPOSITIONS FINALES</w:t>
      </w:r>
    </w:p>
    <w:bookmarkStart w:id="44" w:name="article-26-durée-et-modification"/>
    <w:p>
      <w:pPr>
        <w:pStyle w:val="Heading3"/>
      </w:pPr>
      <w:r>
        <w:t xml:space="preserve">Article 26 — Durée et modification</w:t>
      </w:r>
    </w:p>
    <w:p>
      <w:pPr>
        <w:pStyle w:val="FirstParagraph"/>
      </w:pPr>
      <w:r>
        <w:t xml:space="preserve">Le Pacte est conclu pour une durée indéterminée. Il prend fin par dissolution de la Société ou accord unanime écrit des Associés. Toute modification requiert l’accord unanime, formalisé par avenant signé.</w:t>
      </w:r>
    </w:p>
    <w:bookmarkEnd w:id="44"/>
    <w:bookmarkStart w:id="45" w:name="article-27-intégralité-et-divisibilité"/>
    <w:p>
      <w:pPr>
        <w:pStyle w:val="Heading3"/>
      </w:pPr>
      <w:r>
        <w:t xml:space="preserve">Article 27 — Intégralité et divisibilité</w:t>
      </w:r>
    </w:p>
    <w:p>
      <w:pPr>
        <w:pStyle w:val="FirstParagraph"/>
      </w:pPr>
      <w:r>
        <w:t xml:space="preserve">Le Pacte et ses annexes constituent l’intégralité de l’accord sur son objet et remplacent tout accord antérieur sur le même objet. Si une stipulation est déclarée nulle, les autres demeurent en vigueur ; les Parties négocient de bonne foi une stipulation de substitution atteignant le même objectif économique.</w:t>
      </w:r>
    </w:p>
    <w:bookmarkEnd w:id="45"/>
    <w:bookmarkStart w:id="46" w:name="X3e9b878de23148e396dc5a7053d1428b648f52e"/>
    <w:p>
      <w:pPr>
        <w:pStyle w:val="Heading3"/>
      </w:pPr>
      <w:r>
        <w:t xml:space="preserve">Article 28 — Droit applicable et juridiction</w:t>
      </w:r>
    </w:p>
    <w:p>
      <w:pPr>
        <w:pStyle w:val="FirstParagraph"/>
      </w:pPr>
      <w:r>
        <w:t xml:space="preserve">Le Pacte est régi par le droit belge. À défaut d’arbitrage (Art. 24), compétence exclusive des tribunaux de l’entreprise belges.</w:t>
      </w:r>
    </w:p>
    <w:bookmarkEnd w:id="46"/>
    <w:bookmarkStart w:id="47" w:name="article-29-notifications"/>
    <w:p>
      <w:pPr>
        <w:pStyle w:val="Heading3"/>
      </w:pPr>
      <w:r>
        <w:t xml:space="preserve">Article 29 — Notifications</w:t>
      </w:r>
    </w:p>
    <w:p>
      <w:pPr>
        <w:pStyle w:val="FirstParagraph"/>
      </w:pPr>
      <w:r>
        <w:t xml:space="preserve">Toute notification est effectuée par lettre recommandée avec accusé de réception aux adresses indiquées en page de signature, ou par tout moyen établissant la date de réception avec certitude.</w:t>
      </w:r>
    </w:p>
    <w:bookmarkEnd w:id="47"/>
    <w:bookmarkStart w:id="48" w:name="article-30-hiérarchie-avec-les-statuts"/>
    <w:p>
      <w:pPr>
        <w:pStyle w:val="Heading3"/>
      </w:pPr>
      <w:r>
        <w:t xml:space="preserve">Article 30 — Hiérarchie avec les Statuts</w:t>
      </w:r>
    </w:p>
    <w:p>
      <w:pPr>
        <w:pStyle w:val="FirstParagraph"/>
      </w:pPr>
      <w:r>
        <w:t xml:space="preserve">Le Pacte prévaut entre les Associés en cas de contradiction avec les Statuts (Statuts, Art. 32). Le Pacte n’est pas opposable aux tiers.</w:t>
      </w:r>
    </w:p>
    <w:p>
      <w:r>
        <w:pict>
          <v:rect style="width:0;height:1.5pt" o:hralign="center" o:hrstd="t" o:hr="t"/>
        </w:pict>
      </w:r>
    </w:p>
    <w:bookmarkEnd w:id="48"/>
    <w:bookmarkEnd w:id="49"/>
    <w:bookmarkStart w:id="50" w:name="signatures"/>
    <w:p>
      <w:pPr>
        <w:pStyle w:val="Heading2"/>
      </w:pPr>
      <w:r>
        <w:t xml:space="preserve">SIGNATURES</w:t>
      </w:r>
    </w:p>
    <w:p>
      <w:pPr>
        <w:pStyle w:val="FirstParagraph"/>
      </w:pPr>
      <w:r>
        <w:t xml:space="preserve">Fait à _____________, le ___ _________ 2026, en cinq exemplaires originaux.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Associé</w:t>
            </w:r>
          </w:p>
        </w:tc>
        <w:tc>
          <w:tcPr/>
          <w:p>
            <w:pPr>
              <w:pStyle w:val="Compact"/>
            </w:pPr>
            <w:r>
              <w:t xml:space="preserve">Signature</w:t>
            </w:r>
          </w:p>
        </w:tc>
      </w:tr>
      <w:tr>
        <w:tc>
          <w:tcPr/>
          <w:p>
            <w:pPr>
              <w:pStyle w:val="Compact"/>
            </w:pPr>
            <w:r>
              <w:t xml:space="preserve">DIAHO (représentée par …)</w:t>
            </w:r>
          </w:p>
        </w:tc>
        <w:tc>
          <w:tcPr/>
          <w:p>
            <w:pPr>
              <w:pStyle w:val="Compact"/>
            </w:pPr>
          </w:p>
        </w:tc>
      </w:tr>
      <w:tr>
        <w:tc>
          <w:tcPr/>
          <w:p>
            <w:pPr>
              <w:pStyle w:val="Compact"/>
            </w:pPr>
            <w:r>
              <w:t xml:space="preserve">AB Advices (Alain Bosseloir)</w:t>
            </w:r>
          </w:p>
        </w:tc>
        <w:tc>
          <w:tcPr/>
          <w:p>
            <w:pPr>
              <w:pStyle w:val="Compact"/>
            </w:pPr>
          </w:p>
        </w:tc>
      </w:tr>
      <w:tr>
        <w:tc>
          <w:tcPr/>
          <w:p>
            <w:pPr>
              <w:pStyle w:val="Compact"/>
            </w:pPr>
            <w:r>
              <w:t xml:space="preserve">Jean-Claude HAVAUX</w:t>
            </w:r>
          </w:p>
        </w:tc>
        <w:tc>
          <w:tcPr/>
          <w:p>
            <w:pPr>
              <w:pStyle w:val="Compact"/>
            </w:pPr>
          </w:p>
        </w:tc>
      </w:tr>
      <w:tr>
        <w:tc>
          <w:tcPr/>
          <w:p>
            <w:pPr>
              <w:pStyle w:val="Compact"/>
            </w:pPr>
            <w:r>
              <w:t xml:space="preserve">Peiwen QI</w:t>
            </w:r>
          </w:p>
        </w:tc>
        <w:tc>
          <w:tcPr/>
          <w:p>
            <w:pPr>
              <w:pStyle w:val="Compact"/>
            </w:pPr>
          </w:p>
        </w:tc>
      </w:tr>
      <w:tr>
        <w:tc>
          <w:tcPr/>
          <w:p>
            <w:pPr>
              <w:pStyle w:val="Compact"/>
            </w:pPr>
            <w:r>
              <w:t xml:space="preserve">Jacques NOURY</w:t>
            </w:r>
          </w:p>
        </w:tc>
        <w:tc>
          <w:tcPr/>
          <w:p>
            <w:pPr>
              <w:pStyle w:val="Compact"/>
            </w:pPr>
          </w:p>
        </w:tc>
      </w:tr>
    </w:tbl>
    <w:p>
      <w:r>
        <w:pict>
          <v:rect style="width:0;height:1.5pt" o:hralign="center" o:hrstd="t" o:hr="t"/>
        </w:pict>
      </w:r>
    </w:p>
    <w:bookmarkEnd w:id="50"/>
    <w:bookmarkStart w:id="51" w:name="annexes"/>
    <w:p>
      <w:pPr>
        <w:pStyle w:val="Heading2"/>
      </w:pPr>
      <w:r>
        <w:t xml:space="preserve">ANNEXES</w:t>
      </w:r>
    </w:p>
    <w:p>
      <w:pPr>
        <w:pStyle w:val="Compact"/>
        <w:numPr>
          <w:ilvl w:val="0"/>
          <w:numId w:val="1010"/>
        </w:numPr>
      </w:pPr>
      <w:r>
        <w:rPr>
          <w:b/>
          <w:bCs/>
        </w:rPr>
        <w:t xml:space="preserve">Annexe 1</w:t>
      </w:r>
      <w:r>
        <w:t xml:space="preserve"> </w:t>
      </w:r>
      <w:r>
        <w:t xml:space="preserve">: Convention de bloc des Fondateurs (couche 2 — document séparé, non soumis à DIAHO) —</w:t>
      </w:r>
      <w:r>
        <w:t xml:space="preserve"> </w:t>
      </w:r>
      <w:r>
        <w:rPr>
          <w:i/>
          <w:iCs/>
        </w:rPr>
        <w:t xml:space="preserve">voir document dédié</w:t>
      </w:r>
      <w:r>
        <w:t xml:space="preserve">.</w:t>
      </w:r>
    </w:p>
    <w:p>
      <w:pPr>
        <w:pStyle w:val="Compact"/>
        <w:numPr>
          <w:ilvl w:val="0"/>
          <w:numId w:val="1010"/>
        </w:numPr>
      </w:pPr>
      <w:r>
        <w:rPr>
          <w:b/>
          <w:bCs/>
        </w:rPr>
        <w:t xml:space="preserve">Annexe 2</w:t>
      </w:r>
      <w:r>
        <w:t xml:space="preserve"> </w:t>
      </w:r>
      <w:r>
        <w:t xml:space="preserve">: Modèle de reporting trimestriel —</w:t>
      </w:r>
      <w:r>
        <w:t xml:space="preserve"> </w:t>
      </w:r>
      <w:r>
        <w:rPr>
          <w:i/>
          <w:iCs/>
        </w:rPr>
        <w:t xml:space="preserve">à rédiger</w:t>
      </w:r>
      <w:r>
        <w:t xml:space="preserve">.</w:t>
      </w:r>
    </w:p>
    <w:p>
      <w:pPr>
        <w:pStyle w:val="Compact"/>
        <w:numPr>
          <w:ilvl w:val="0"/>
          <w:numId w:val="1010"/>
        </w:numPr>
      </w:pPr>
      <w:r>
        <w:rPr>
          <w:b/>
          <w:bCs/>
        </w:rPr>
        <w:t xml:space="preserve">Annexe 3</w:t>
      </w:r>
      <w:r>
        <w:t xml:space="preserve"> </w:t>
      </w:r>
      <w:r>
        <w:t xml:space="preserve">: Règlement intérieur du conseil d’administration —</w:t>
      </w:r>
      <w:r>
        <w:t xml:space="preserve"> </w:t>
      </w:r>
      <w:r>
        <w:rPr>
          <w:i/>
          <w:iCs/>
        </w:rPr>
        <w:t xml:space="preserve">à rédiger</w:t>
      </w:r>
      <w:r>
        <w:t xml:space="preserve">.</w:t>
      </w:r>
    </w:p>
    <w:p>
      <w:r>
        <w:pict>
          <v:rect style="width:0;height:1.5pt" o:hralign="center" o:hrstd="t" o:hr="t"/>
        </w:pict>
      </w:r>
    </w:p>
    <w:bookmarkEnd w:id="51"/>
    <w:bookmarkStart w:id="52" w:name="points-ouverts"/>
    <w:p>
      <w:pPr>
        <w:pStyle w:val="Heading2"/>
      </w:pPr>
      <w:r>
        <w:t xml:space="preserve">POINTS OUVERTS</w:t>
      </w:r>
    </w:p>
    <w:p>
      <w:pPr>
        <w:pStyle w:val="FirstParagraph"/>
      </w:pPr>
      <w:r>
        <w:t xml:space="preserve">Les points encore à trancher sont consignés dans</w:t>
      </w:r>
      <w:r>
        <w:t xml:space="preserve"> </w:t>
      </w:r>
      <w:r>
        <w:rPr>
          <w:rStyle w:val="VerbatimChar"/>
        </w:rPr>
        <w:t xml:space="preserve">note-points-restants.md</w:t>
      </w:r>
      <w:r>
        <w:t xml:space="preserve"> </w:t>
      </w:r>
      <w:r>
        <w:t xml:space="preserve">(mécanique de libération des 6 000 €, seuil de drag-along, validation notaire ISC, etc.).</w:t>
      </w:r>
    </w:p>
    <w:p>
      <w:r>
        <w:pict>
          <v:rect style="width:0;height:1.5pt" o:hralign="center" o:hrstd="t" o:hr="t"/>
        </w:pict>
      </w:r>
    </w:p>
    <w:p>
      <w:pPr>
        <w:pStyle w:val="FirstParagraph"/>
      </w:pPr>
      <w:r>
        <w:rPr>
          <w:i/>
          <w:iCs/>
        </w:rPr>
        <w:t xml:space="preserve">Document de travail v2 — passe de révision Renard 🦊 (2026-10-05). Validation juridique par Renard 🦊 et Clio 📜, puis notaire, requise avant signature.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2026-10-06T13:21:24Z</dcterms:created>
  <dcterms:modified xsi:type="dcterms:W3CDTF">2026-10-06T13:21:24Z</dcterms:modified>
</cp:coreProperties>
</file>

<file path=docProps/custom.xml><?xml version="1.0" encoding="utf-8"?>
<Properties xmlns="http://schemas.openxmlformats.org/officeDocument/2006/custom-properties" xmlns:vt="http://schemas.openxmlformats.org/officeDocument/2006/docPropsVTypes"/>
</file>