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24DB" w14:textId="77777777" w:rsidR="00572A74" w:rsidRDefault="00572A74" w:rsidP="00572A74">
      <w:pPr>
        <w:pStyle w:val="Heading2"/>
        <w:rPr>
          <w:rFonts w:ascii="Aptos" w:hAnsi="Aptos"/>
          <w:sz w:val="36"/>
          <w:szCs w:val="36"/>
        </w:rPr>
      </w:pPr>
      <w:r w:rsidRPr="00DE6988">
        <w:rPr>
          <w:rFonts w:ascii="Aptos" w:hAnsi="Aptos"/>
          <w:sz w:val="36"/>
          <w:szCs w:val="36"/>
        </w:rPr>
        <w:t>Use of France as Validation Market</w:t>
      </w:r>
      <w:r>
        <w:rPr>
          <w:rFonts w:ascii="Aptos" w:hAnsi="Aptos"/>
          <w:sz w:val="36"/>
          <w:szCs w:val="36"/>
        </w:rPr>
        <w:t xml:space="preserve"> and Financial Projections</w:t>
      </w:r>
    </w:p>
    <w:p w14:paraId="5740AAF1" w14:textId="77777777" w:rsidR="00572A74" w:rsidRPr="002E1F8A" w:rsidRDefault="00572A74" w:rsidP="00572A74"/>
    <w:p w14:paraId="66EAC108" w14:textId="77777777" w:rsidR="00572A74" w:rsidRDefault="00572A74" w:rsidP="00572A74">
      <w:pPr>
        <w:rPr>
          <w:rFonts w:ascii="Aptos" w:hAnsi="Aptos"/>
        </w:rPr>
      </w:pPr>
      <w:r w:rsidRPr="00DE6988">
        <w:rPr>
          <w:rFonts w:ascii="Aptos" w:hAnsi="Aptos"/>
        </w:rPr>
        <w:t xml:space="preserve">France is treated as a full validation market in both the narrative plan and the Excel model. Key indicators such as average kits sold per clinic, reorder frequency, distributor performance, and complaint rates are intended to serve as decision gates for subsequent geographic expansion. </w:t>
      </w:r>
    </w:p>
    <w:p w14:paraId="56FC35CF" w14:textId="77777777" w:rsidR="00572A74" w:rsidRPr="00DE6988" w:rsidRDefault="00572A74" w:rsidP="00572A74">
      <w:pPr>
        <w:rPr>
          <w:rFonts w:ascii="Aptos" w:hAnsi="Aptos"/>
        </w:rPr>
      </w:pPr>
      <w:r w:rsidRPr="00DE6988">
        <w:rPr>
          <w:rFonts w:ascii="Aptos" w:hAnsi="Aptos"/>
        </w:rPr>
        <w:t>No European rollout is financially required for the core investment case to remain valid.</w:t>
      </w:r>
    </w:p>
    <w:p w14:paraId="24A9213D" w14:textId="77777777" w:rsidR="00572A74" w:rsidRPr="00DE6988" w:rsidRDefault="00572A74" w:rsidP="00572A74">
      <w:pPr>
        <w:pStyle w:val="Heading2"/>
        <w:rPr>
          <w:rFonts w:ascii="Aptos" w:hAnsi="Aptos"/>
        </w:rPr>
      </w:pPr>
      <w:r w:rsidRPr="00DE6988">
        <w:rPr>
          <w:rFonts w:ascii="Aptos" w:hAnsi="Aptos"/>
        </w:rPr>
        <w:t>Sales Ramp and Cash Flow Discipline</w:t>
      </w:r>
    </w:p>
    <w:p w14:paraId="076CEF3D" w14:textId="77777777" w:rsidR="00572A74" w:rsidRDefault="00572A74" w:rsidP="00572A74">
      <w:pPr>
        <w:rPr>
          <w:rFonts w:ascii="Aptos" w:hAnsi="Aptos"/>
        </w:rPr>
      </w:pPr>
      <w:r w:rsidRPr="00DE6988">
        <w:rPr>
          <w:rFonts w:ascii="Aptos" w:hAnsi="Aptos"/>
        </w:rPr>
        <w:t xml:space="preserve">The French sales ramp in the Excel model follows a phased logic: initial distributor onboarding, limited clinic activation, and progressive volume increase. Cash flow assumptions intentionally avoid front-loaded revenue spikes. </w:t>
      </w:r>
    </w:p>
    <w:p w14:paraId="7922B4F9" w14:textId="77777777" w:rsidR="00572A74" w:rsidRPr="00DE6988" w:rsidRDefault="00572A74" w:rsidP="00572A74">
      <w:pPr>
        <w:rPr>
          <w:rFonts w:ascii="Aptos" w:hAnsi="Aptos"/>
        </w:rPr>
      </w:pPr>
      <w:r w:rsidRPr="00DE6988">
        <w:rPr>
          <w:rFonts w:ascii="Aptos" w:hAnsi="Aptos"/>
        </w:rPr>
        <w:t>This conservative ramp ensures that funding requirements remain realistic and that working capital needs are predictable.</w:t>
      </w:r>
    </w:p>
    <w:p w14:paraId="4385AF0A" w14:textId="77777777" w:rsidR="00572A74" w:rsidRPr="00DE6988" w:rsidRDefault="00572A74" w:rsidP="00572A74">
      <w:pPr>
        <w:pStyle w:val="Heading2"/>
        <w:rPr>
          <w:rFonts w:ascii="Aptos" w:hAnsi="Aptos"/>
        </w:rPr>
      </w:pPr>
      <w:r w:rsidRPr="00DE6988">
        <w:rPr>
          <w:rFonts w:ascii="Aptos" w:hAnsi="Aptos"/>
        </w:rPr>
        <w:t>Cost Structure and Gross Margin Logic</w:t>
      </w:r>
    </w:p>
    <w:p w14:paraId="7A98F2C3" w14:textId="77777777" w:rsidR="00572A74" w:rsidRDefault="00572A74" w:rsidP="00572A74">
      <w:pPr>
        <w:rPr>
          <w:rFonts w:ascii="Aptos" w:hAnsi="Aptos"/>
        </w:rPr>
      </w:pPr>
      <w:r w:rsidRPr="00DE6988">
        <w:rPr>
          <w:rFonts w:ascii="Aptos" w:hAnsi="Aptos"/>
        </w:rPr>
        <w:t xml:space="preserve">The cost structure used in the Excel model is directly derived from the France-only operational setup. </w:t>
      </w:r>
    </w:p>
    <w:p w14:paraId="58A624C4" w14:textId="77777777" w:rsidR="00572A74" w:rsidRDefault="00572A74" w:rsidP="00572A74">
      <w:pPr>
        <w:rPr>
          <w:rFonts w:ascii="Aptos" w:hAnsi="Aptos"/>
        </w:rPr>
      </w:pPr>
      <w:r w:rsidRPr="00DE6988">
        <w:rPr>
          <w:rFonts w:ascii="Aptos" w:hAnsi="Aptos"/>
        </w:rPr>
        <w:t xml:space="preserve">Manufacturing costs are based on outsourced production with limited initial volumes, while logistics and regulatory costs reflect national-scale distribution rather than pan-European deployment. </w:t>
      </w:r>
    </w:p>
    <w:p w14:paraId="78DD4BB1" w14:textId="77777777" w:rsidR="00572A74" w:rsidRPr="00DE6988" w:rsidRDefault="00572A74" w:rsidP="00572A74">
      <w:pPr>
        <w:rPr>
          <w:rFonts w:ascii="Aptos" w:hAnsi="Aptos"/>
        </w:rPr>
      </w:pPr>
      <w:r w:rsidRPr="00DE6988">
        <w:rPr>
          <w:rFonts w:ascii="Aptos" w:hAnsi="Aptos"/>
        </w:rPr>
        <w:t>Gross margin progression is modeled as a function of volume scaling rather than supplier renegotiation, maintaining conservative assumptions.</w:t>
      </w:r>
    </w:p>
    <w:p w14:paraId="5CADB2FF" w14:textId="77777777" w:rsidR="00572A74" w:rsidRPr="00DE6988" w:rsidRDefault="00572A74" w:rsidP="00572A74">
      <w:pPr>
        <w:pStyle w:val="Heading2"/>
        <w:rPr>
          <w:rFonts w:ascii="Aptos" w:hAnsi="Aptos"/>
        </w:rPr>
      </w:pPr>
      <w:r w:rsidRPr="00DE6988">
        <w:rPr>
          <w:rFonts w:ascii="Aptos" w:hAnsi="Aptos"/>
        </w:rPr>
        <w:t>Pricing Assumptions and Revenue Coherence</w:t>
      </w:r>
    </w:p>
    <w:p w14:paraId="0EB8B77B" w14:textId="77777777" w:rsidR="00572A74" w:rsidRDefault="00572A74" w:rsidP="00572A74">
      <w:pPr>
        <w:rPr>
          <w:rFonts w:ascii="Aptos" w:hAnsi="Aptos"/>
        </w:rPr>
      </w:pPr>
      <w:r w:rsidRPr="00DE6988">
        <w:rPr>
          <w:rFonts w:ascii="Aptos" w:hAnsi="Aptos"/>
        </w:rPr>
        <w:t>Pricing assumptions in the financial model are aligned with current French veterinary diagnostic price tolerance.</w:t>
      </w:r>
    </w:p>
    <w:p w14:paraId="5F63B12A" w14:textId="77777777" w:rsidR="00572A74" w:rsidRDefault="00572A74" w:rsidP="00572A74">
      <w:pPr>
        <w:rPr>
          <w:rFonts w:ascii="Aptos" w:hAnsi="Aptos"/>
        </w:rPr>
      </w:pPr>
      <w:r w:rsidRPr="00DE6988">
        <w:rPr>
          <w:rFonts w:ascii="Aptos" w:hAnsi="Aptos"/>
        </w:rPr>
        <w:t xml:space="preserve"> Unit pricing reflects a balance between clinical value and </w:t>
      </w:r>
      <w:proofErr w:type="gramStart"/>
      <w:r w:rsidRPr="00DE6988">
        <w:rPr>
          <w:rFonts w:ascii="Aptos" w:hAnsi="Aptos"/>
        </w:rPr>
        <w:t>repeat</w:t>
      </w:r>
      <w:proofErr w:type="gramEnd"/>
      <w:r w:rsidRPr="00DE6988">
        <w:rPr>
          <w:rFonts w:ascii="Aptos" w:hAnsi="Aptos"/>
        </w:rPr>
        <w:t xml:space="preserve"> usage potential, ensuring that allergy testing remains economically viable for routine cases. </w:t>
      </w:r>
    </w:p>
    <w:p w14:paraId="0E907D0A" w14:textId="77777777" w:rsidR="00572A74" w:rsidRPr="00DE6988" w:rsidRDefault="00572A74" w:rsidP="00572A74">
      <w:pPr>
        <w:rPr>
          <w:rFonts w:ascii="Aptos" w:hAnsi="Aptos"/>
        </w:rPr>
      </w:pPr>
      <w:r w:rsidRPr="00DE6988">
        <w:rPr>
          <w:rFonts w:ascii="Aptos" w:hAnsi="Aptos"/>
        </w:rPr>
        <w:t>Distributor margins are explicitly accounted for, and net revenue per kit used in the model corresponds to DIATECH’s expected invoicing price, not end-user pricing.</w:t>
      </w:r>
    </w:p>
    <w:p w14:paraId="5819A7DF" w14:textId="77777777" w:rsidR="00572A74" w:rsidRPr="00DE6988" w:rsidRDefault="00572A74" w:rsidP="00572A74">
      <w:pPr>
        <w:pStyle w:val="Heading2"/>
        <w:rPr>
          <w:rFonts w:ascii="Aptos" w:hAnsi="Aptos"/>
        </w:rPr>
      </w:pPr>
      <w:r w:rsidRPr="00DE6988">
        <w:rPr>
          <w:rFonts w:ascii="Aptos" w:hAnsi="Aptos"/>
        </w:rPr>
        <w:t>Addressable Market and Volume Logic</w:t>
      </w:r>
    </w:p>
    <w:p w14:paraId="6B49FB8A" w14:textId="77777777" w:rsidR="00572A74" w:rsidRDefault="00572A74" w:rsidP="00572A74">
      <w:pPr>
        <w:rPr>
          <w:rFonts w:ascii="Aptos" w:hAnsi="Aptos"/>
        </w:rPr>
      </w:pPr>
      <w:r w:rsidRPr="00DE6988">
        <w:rPr>
          <w:rFonts w:ascii="Aptos" w:hAnsi="Aptos"/>
        </w:rPr>
        <w:t xml:space="preserve">The Excel model defines the French addressable market using a bottom-up logic. </w:t>
      </w:r>
    </w:p>
    <w:p w14:paraId="1043BBB2" w14:textId="77777777" w:rsidR="00572A74" w:rsidRDefault="00572A74" w:rsidP="00572A74">
      <w:pPr>
        <w:rPr>
          <w:rFonts w:ascii="Aptos" w:hAnsi="Aptos"/>
        </w:rPr>
      </w:pPr>
      <w:r w:rsidRPr="00DE6988">
        <w:rPr>
          <w:rFonts w:ascii="Aptos" w:hAnsi="Aptos"/>
        </w:rPr>
        <w:lastRenderedPageBreak/>
        <w:t xml:space="preserve">The number of target clinics is estimated conservatively, focusing initially on clinics with a demonstrated interest in dermatology and allergy management. </w:t>
      </w:r>
    </w:p>
    <w:p w14:paraId="118457FC" w14:textId="77777777" w:rsidR="00572A74" w:rsidRDefault="00572A74" w:rsidP="00572A74">
      <w:pPr>
        <w:rPr>
          <w:rFonts w:ascii="Aptos" w:hAnsi="Aptos"/>
        </w:rPr>
      </w:pPr>
      <w:r w:rsidRPr="00DE6988">
        <w:rPr>
          <w:rFonts w:ascii="Aptos" w:hAnsi="Aptos"/>
        </w:rPr>
        <w:t xml:space="preserve">Test volumes per clinic are assumed to grow progressively as veterinarians integrate allergy testing into standard diagnostic pathways. </w:t>
      </w:r>
    </w:p>
    <w:p w14:paraId="1D301A7E" w14:textId="77777777" w:rsidR="00572A74" w:rsidRPr="00DE6988" w:rsidRDefault="00572A74" w:rsidP="00572A74">
      <w:pPr>
        <w:rPr>
          <w:rFonts w:ascii="Aptos" w:hAnsi="Aptos"/>
        </w:rPr>
      </w:pPr>
      <w:r w:rsidRPr="00DE6988">
        <w:rPr>
          <w:rFonts w:ascii="Aptos" w:hAnsi="Aptos"/>
        </w:rPr>
        <w:t>No aggressive penetration assumptions are used; adoption is modeled as gradual and behavior-driven rather than sales-force-driven.</w:t>
      </w:r>
    </w:p>
    <w:p w14:paraId="5975133D" w14:textId="77777777" w:rsidR="00572A74" w:rsidRPr="00DE6988" w:rsidRDefault="00572A74" w:rsidP="00572A74">
      <w:pPr>
        <w:pStyle w:val="Heading2"/>
        <w:rPr>
          <w:rFonts w:ascii="Aptos" w:hAnsi="Aptos"/>
        </w:rPr>
      </w:pPr>
      <w:r w:rsidRPr="00DE6988">
        <w:rPr>
          <w:rFonts w:ascii="Aptos" w:hAnsi="Aptos"/>
        </w:rPr>
        <w:t>French Veterinary Market Structure</w:t>
      </w:r>
    </w:p>
    <w:p w14:paraId="7B6FDF3A" w14:textId="77777777" w:rsidR="00572A74" w:rsidRDefault="00572A74" w:rsidP="00572A74">
      <w:pPr>
        <w:rPr>
          <w:rFonts w:ascii="Aptos" w:hAnsi="Aptos"/>
        </w:rPr>
      </w:pPr>
      <w:r w:rsidRPr="00DE6988">
        <w:rPr>
          <w:rFonts w:ascii="Aptos" w:hAnsi="Aptos"/>
        </w:rPr>
        <w:t xml:space="preserve">France counts a large and well-distributed network of companion-animal veterinary clinics, ranging from independent practices to structured clinic groups. </w:t>
      </w:r>
    </w:p>
    <w:p w14:paraId="0DD3ACA2" w14:textId="77777777" w:rsidR="00572A74" w:rsidRDefault="00572A74" w:rsidP="00572A74">
      <w:pPr>
        <w:rPr>
          <w:rFonts w:ascii="Aptos" w:hAnsi="Aptos"/>
        </w:rPr>
      </w:pPr>
      <w:r w:rsidRPr="00DE6988">
        <w:rPr>
          <w:rFonts w:ascii="Aptos" w:hAnsi="Aptos"/>
        </w:rPr>
        <w:t xml:space="preserve">The market is characterized by a high density of small-to-medium practices, strong prescription authority held by veterinarians, and widespread acceptance of in-clinic diagnostic testing. </w:t>
      </w:r>
    </w:p>
    <w:p w14:paraId="0C92805F" w14:textId="77777777" w:rsidR="00572A74" w:rsidRPr="00DE6988" w:rsidRDefault="00572A74" w:rsidP="00572A74">
      <w:pPr>
        <w:rPr>
          <w:rFonts w:ascii="Aptos" w:hAnsi="Aptos"/>
        </w:rPr>
      </w:pPr>
      <w:r w:rsidRPr="00DE6988">
        <w:rPr>
          <w:rFonts w:ascii="Aptos" w:hAnsi="Aptos"/>
        </w:rPr>
        <w:t>These structural elements support DIATECH’s model of routine allergy diagnostics rather than sporadic or referral-only testing.</w:t>
      </w:r>
    </w:p>
    <w:p w14:paraId="6B5374DB" w14:textId="77777777" w:rsidR="00572A74" w:rsidRPr="00DE6988" w:rsidRDefault="00572A74" w:rsidP="00572A74">
      <w:pPr>
        <w:pStyle w:val="Heading2"/>
        <w:rPr>
          <w:rFonts w:ascii="Aptos" w:hAnsi="Aptos"/>
        </w:rPr>
      </w:pPr>
      <w:r w:rsidRPr="00DE6988">
        <w:rPr>
          <w:rFonts w:ascii="Aptos" w:hAnsi="Aptos"/>
        </w:rPr>
        <w:t>France Market Focus and Financial Alignment</w:t>
      </w:r>
    </w:p>
    <w:p w14:paraId="7BB6E62C" w14:textId="77777777" w:rsidR="00572A74" w:rsidRDefault="00572A74" w:rsidP="00572A74">
      <w:pPr>
        <w:rPr>
          <w:rFonts w:ascii="Aptos" w:hAnsi="Aptos"/>
        </w:rPr>
      </w:pPr>
      <w:r w:rsidRPr="00DE6988">
        <w:rPr>
          <w:rFonts w:ascii="Aptos" w:hAnsi="Aptos"/>
        </w:rPr>
        <w:t xml:space="preserve">France is the reference and anchor market for DIATECH’s initial commercial deployment. All financial assumptions in the Excel financial model are built on a France-only operating perimeter during the first commercial phase. </w:t>
      </w:r>
    </w:p>
    <w:p w14:paraId="32A9267D" w14:textId="77777777" w:rsidR="00572A74" w:rsidRPr="00DE6988" w:rsidRDefault="00572A74" w:rsidP="00572A74">
      <w:pPr>
        <w:rPr>
          <w:rFonts w:ascii="Aptos" w:hAnsi="Aptos"/>
        </w:rPr>
      </w:pPr>
      <w:r w:rsidRPr="00DE6988">
        <w:rPr>
          <w:rFonts w:ascii="Aptos" w:hAnsi="Aptos"/>
        </w:rPr>
        <w:t>This deliberate restriction reduces regulatory, commercial, and operational complexity while allowing robust validation of pricing, adoption rates, and distributor performance before any European expansion.</w:t>
      </w:r>
    </w:p>
    <w:p w14:paraId="1E3650AB" w14:textId="77777777" w:rsidR="00572A74" w:rsidRPr="00DE6988" w:rsidRDefault="00572A74" w:rsidP="00572A74">
      <w:pPr>
        <w:pStyle w:val="Heading1"/>
        <w:rPr>
          <w:rFonts w:ascii="Aptos" w:hAnsi="Aptos"/>
        </w:rPr>
      </w:pPr>
      <w:r w:rsidRPr="00DE6988">
        <w:rPr>
          <w:rFonts w:ascii="Aptos" w:hAnsi="Aptos"/>
        </w:rPr>
        <w:t>France Financial Model – Line-by-Line Alignment</w:t>
      </w:r>
    </w:p>
    <w:p w14:paraId="24C17FFF" w14:textId="77777777" w:rsidR="00572A74" w:rsidRPr="00DE6988" w:rsidRDefault="00572A74" w:rsidP="00572A74">
      <w:pPr>
        <w:rPr>
          <w:rFonts w:ascii="Aptos" w:hAnsi="Aptos"/>
        </w:rPr>
      </w:pPr>
      <w:r w:rsidRPr="00DE6988">
        <w:rPr>
          <w:rFonts w:ascii="Aptos" w:hAnsi="Aptos"/>
        </w:rPr>
        <w:t>This section provides a direct conceptual alignment between the narrative business plan and the underlying Excel financial model used for DIATECH’s France-only case. Each financial block is designed to be traceable to a corresponding Excel tab or calculation logic, ensuring coherence between written assumptions and numerical outputs.</w:t>
      </w:r>
    </w:p>
    <w:p w14:paraId="2E58253E" w14:textId="77777777" w:rsidR="00572A74" w:rsidRPr="00DE6988" w:rsidRDefault="00572A74" w:rsidP="00572A74">
      <w:pPr>
        <w:pStyle w:val="Heading2"/>
        <w:ind w:left="720"/>
        <w:rPr>
          <w:rFonts w:ascii="Aptos" w:hAnsi="Aptos"/>
        </w:rPr>
      </w:pPr>
      <w:r w:rsidRPr="00DE6988">
        <w:rPr>
          <w:rFonts w:ascii="Aptos" w:hAnsi="Aptos"/>
        </w:rPr>
        <w:t>Revenue Build-Up (Excel: Sales Assumptions Tab)</w:t>
      </w:r>
    </w:p>
    <w:p w14:paraId="06997991" w14:textId="77777777" w:rsidR="00572A74" w:rsidRPr="00DE6988" w:rsidRDefault="00572A74" w:rsidP="00572A74">
      <w:pPr>
        <w:ind w:left="720"/>
        <w:rPr>
          <w:rFonts w:ascii="Aptos" w:hAnsi="Aptos"/>
        </w:rPr>
      </w:pPr>
      <w:r w:rsidRPr="00DE6988">
        <w:rPr>
          <w:rFonts w:ascii="Aptos" w:hAnsi="Aptos"/>
        </w:rPr>
        <w:t>Revenue projections are constructed from three primary variables: number of active clinics, average number of tests per clinic per month, and net revenue per test invoiced to distributors. The model deliberately excludes speculative national coverage in early years and assumes progressive clinic activation. Seasonal effects are neutralized to avoid artificial volatility.</w:t>
      </w:r>
    </w:p>
    <w:p w14:paraId="48D97270" w14:textId="77777777" w:rsidR="00572A74" w:rsidRPr="00DE6988" w:rsidRDefault="00572A74" w:rsidP="00572A74">
      <w:pPr>
        <w:pStyle w:val="Heading2"/>
        <w:ind w:left="720"/>
        <w:rPr>
          <w:rFonts w:ascii="Aptos" w:hAnsi="Aptos"/>
        </w:rPr>
      </w:pPr>
      <w:r w:rsidRPr="00DE6988">
        <w:rPr>
          <w:rFonts w:ascii="Aptos" w:hAnsi="Aptos"/>
        </w:rPr>
        <w:lastRenderedPageBreak/>
        <w:t>Pricing and Discounts (Excel: Pricing Tab)</w:t>
      </w:r>
    </w:p>
    <w:p w14:paraId="59080675" w14:textId="77777777" w:rsidR="00572A74" w:rsidRPr="00DE6988" w:rsidRDefault="00572A74" w:rsidP="00572A74">
      <w:pPr>
        <w:ind w:left="720"/>
        <w:rPr>
          <w:rFonts w:ascii="Aptos" w:hAnsi="Aptos"/>
        </w:rPr>
      </w:pPr>
      <w:r w:rsidRPr="00DE6988">
        <w:rPr>
          <w:rFonts w:ascii="Aptos" w:hAnsi="Aptos"/>
        </w:rPr>
        <w:t>Unit pricing in Excel reflects DIATECH’s ex-works or distributor invoicing price, not the end-clinic price. Distributor margins, commercial rebates, and introductory discounts are explicitly modeled, ensuring that revenue figures used in the P&amp;L correspond to realizable cash inflows.</w:t>
      </w:r>
    </w:p>
    <w:p w14:paraId="23EC9331" w14:textId="77777777" w:rsidR="00572A74" w:rsidRPr="00DE6988" w:rsidRDefault="00572A74" w:rsidP="00572A74">
      <w:pPr>
        <w:pStyle w:val="Heading2"/>
        <w:ind w:left="720"/>
        <w:rPr>
          <w:rFonts w:ascii="Aptos" w:hAnsi="Aptos"/>
        </w:rPr>
      </w:pPr>
      <w:r w:rsidRPr="00DE6988">
        <w:rPr>
          <w:rFonts w:ascii="Aptos" w:hAnsi="Aptos"/>
        </w:rPr>
        <w:t>Cost of Goods Sold (Excel: COGS Tab)</w:t>
      </w:r>
    </w:p>
    <w:p w14:paraId="45D78CBA" w14:textId="77777777" w:rsidR="00572A74" w:rsidRPr="00DE6988" w:rsidRDefault="00572A74" w:rsidP="00572A74">
      <w:pPr>
        <w:ind w:left="720"/>
        <w:rPr>
          <w:rFonts w:ascii="Aptos" w:hAnsi="Aptos"/>
        </w:rPr>
      </w:pPr>
      <w:r w:rsidRPr="00DE6988">
        <w:rPr>
          <w:rFonts w:ascii="Aptos" w:hAnsi="Aptos"/>
        </w:rPr>
        <w:t>COGS assumptions are derived from outsourced manufacturing quotes, packaging, logistics, and quality release costs. No immediate economies of scale are assumed. Gross margin improvement over time is driven by volume absorption rather than optimistic supplier renegotiation.</w:t>
      </w:r>
    </w:p>
    <w:p w14:paraId="793E91CF" w14:textId="77777777" w:rsidR="00572A74" w:rsidRPr="00DE6988" w:rsidRDefault="00572A74" w:rsidP="00572A74">
      <w:pPr>
        <w:pStyle w:val="Heading2"/>
        <w:ind w:left="720"/>
        <w:rPr>
          <w:rFonts w:ascii="Aptos" w:hAnsi="Aptos"/>
        </w:rPr>
      </w:pPr>
      <w:r w:rsidRPr="00DE6988">
        <w:rPr>
          <w:rFonts w:ascii="Aptos" w:hAnsi="Aptos"/>
        </w:rPr>
        <w:t>Operating Expenses (Excel: OPEX Tab)</w:t>
      </w:r>
    </w:p>
    <w:p w14:paraId="706CB505" w14:textId="77777777" w:rsidR="00572A74" w:rsidRPr="00DE6988" w:rsidRDefault="00572A74" w:rsidP="00572A74">
      <w:pPr>
        <w:ind w:left="720"/>
        <w:rPr>
          <w:rFonts w:ascii="Aptos" w:hAnsi="Aptos"/>
        </w:rPr>
      </w:pPr>
      <w:r w:rsidRPr="00DE6988">
        <w:rPr>
          <w:rFonts w:ascii="Aptos" w:hAnsi="Aptos"/>
        </w:rPr>
        <w:t>Operating expenses are limited to France-only activities and include regulatory maintenance, distributor support, minimal sales and marketing expenditure, and corporate overhead. Headcount assumptions remain lean and scale only after commercial validation milestones are achieved.</w:t>
      </w:r>
    </w:p>
    <w:p w14:paraId="15698691" w14:textId="77777777" w:rsidR="00572A74" w:rsidRPr="00DE6988" w:rsidRDefault="00572A74" w:rsidP="00572A74">
      <w:pPr>
        <w:pStyle w:val="Heading2"/>
        <w:ind w:left="720"/>
        <w:rPr>
          <w:rFonts w:ascii="Aptos" w:hAnsi="Aptos"/>
        </w:rPr>
      </w:pPr>
      <w:r w:rsidRPr="00DE6988">
        <w:rPr>
          <w:rFonts w:ascii="Aptos" w:hAnsi="Aptos"/>
        </w:rPr>
        <w:t>Cash Flow and Runway (Excel: Cash Flow Tab)</w:t>
      </w:r>
    </w:p>
    <w:p w14:paraId="0C5C24FF" w14:textId="77777777" w:rsidR="00572A74" w:rsidRPr="00DE6988" w:rsidRDefault="00572A74" w:rsidP="00572A74">
      <w:pPr>
        <w:ind w:left="720"/>
        <w:rPr>
          <w:rFonts w:ascii="Aptos" w:hAnsi="Aptos"/>
        </w:rPr>
      </w:pPr>
      <w:r w:rsidRPr="00DE6988">
        <w:rPr>
          <w:rFonts w:ascii="Aptos" w:hAnsi="Aptos"/>
        </w:rPr>
        <w:t>Cash flow projections emphasize liquidity preservation. Inventory build-up, receivables, and payables are modeled conservatively, avoiding reliance on favorable payment terms. The funding requirement is therefore directly linked to operational reality rather than growth narratives.</w:t>
      </w:r>
    </w:p>
    <w:p w14:paraId="46040694" w14:textId="77777777" w:rsidR="00572A74" w:rsidRPr="00DE6988" w:rsidRDefault="00572A74" w:rsidP="00572A74">
      <w:pPr>
        <w:rPr>
          <w:rFonts w:ascii="Aptos" w:hAnsi="Aptos"/>
        </w:rPr>
      </w:pPr>
    </w:p>
    <w:p w14:paraId="2753CB88" w14:textId="77777777" w:rsidR="00572A74" w:rsidRDefault="00572A74"/>
    <w:sectPr w:rsidR="00572A74" w:rsidSect="00572A74">
      <w:pgSz w:w="12240" w:h="15840"/>
      <w:pgMar w:top="1440" w:right="1800" w:bottom="95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74"/>
    <w:rsid w:val="00572A74"/>
    <w:rsid w:val="00873E8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152D5BAA"/>
  <w15:chartTrackingRefBased/>
  <w15:docId w15:val="{51072B0A-ADCC-6E49-87D2-62B89A34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A7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72A7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BE"/>
      <w14:ligatures w14:val="standardContextual"/>
    </w:rPr>
  </w:style>
  <w:style w:type="paragraph" w:styleId="Heading2">
    <w:name w:val="heading 2"/>
    <w:basedOn w:val="Normal"/>
    <w:next w:val="Normal"/>
    <w:link w:val="Heading2Char"/>
    <w:uiPriority w:val="9"/>
    <w:unhideWhenUsed/>
    <w:qFormat/>
    <w:rsid w:val="00572A7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BE"/>
      <w14:ligatures w14:val="standardContextual"/>
    </w:rPr>
  </w:style>
  <w:style w:type="paragraph" w:styleId="Heading3">
    <w:name w:val="heading 3"/>
    <w:basedOn w:val="Normal"/>
    <w:next w:val="Normal"/>
    <w:link w:val="Heading3Char"/>
    <w:uiPriority w:val="9"/>
    <w:semiHidden/>
    <w:unhideWhenUsed/>
    <w:qFormat/>
    <w:rsid w:val="00572A74"/>
    <w:pPr>
      <w:keepNext/>
      <w:keepLines/>
      <w:spacing w:before="160" w:after="80" w:line="278" w:lineRule="auto"/>
      <w:outlineLvl w:val="2"/>
    </w:pPr>
    <w:rPr>
      <w:rFonts w:eastAsiaTheme="majorEastAsia" w:cstheme="majorBidi"/>
      <w:color w:val="0F4761" w:themeColor="accent1" w:themeShade="BF"/>
      <w:kern w:val="2"/>
      <w:sz w:val="28"/>
      <w:szCs w:val="28"/>
      <w:lang w:val="en-BE"/>
      <w14:ligatures w14:val="standardContextual"/>
    </w:rPr>
  </w:style>
  <w:style w:type="paragraph" w:styleId="Heading4">
    <w:name w:val="heading 4"/>
    <w:basedOn w:val="Normal"/>
    <w:next w:val="Normal"/>
    <w:link w:val="Heading4Char"/>
    <w:uiPriority w:val="9"/>
    <w:semiHidden/>
    <w:unhideWhenUsed/>
    <w:qFormat/>
    <w:rsid w:val="00572A74"/>
    <w:pPr>
      <w:keepNext/>
      <w:keepLines/>
      <w:spacing w:before="80" w:after="40" w:line="278" w:lineRule="auto"/>
      <w:outlineLvl w:val="3"/>
    </w:pPr>
    <w:rPr>
      <w:rFonts w:eastAsiaTheme="majorEastAsia" w:cstheme="majorBidi"/>
      <w:i/>
      <w:iCs/>
      <w:color w:val="0F4761" w:themeColor="accent1" w:themeShade="BF"/>
      <w:kern w:val="2"/>
      <w:sz w:val="24"/>
      <w:szCs w:val="24"/>
      <w:lang w:val="en-BE"/>
      <w14:ligatures w14:val="standardContextual"/>
    </w:rPr>
  </w:style>
  <w:style w:type="paragraph" w:styleId="Heading5">
    <w:name w:val="heading 5"/>
    <w:basedOn w:val="Normal"/>
    <w:next w:val="Normal"/>
    <w:link w:val="Heading5Char"/>
    <w:uiPriority w:val="9"/>
    <w:semiHidden/>
    <w:unhideWhenUsed/>
    <w:qFormat/>
    <w:rsid w:val="00572A74"/>
    <w:pPr>
      <w:keepNext/>
      <w:keepLines/>
      <w:spacing w:before="80" w:after="40" w:line="278" w:lineRule="auto"/>
      <w:outlineLvl w:val="4"/>
    </w:pPr>
    <w:rPr>
      <w:rFonts w:eastAsiaTheme="majorEastAsia" w:cstheme="majorBidi"/>
      <w:color w:val="0F4761" w:themeColor="accent1" w:themeShade="BF"/>
      <w:kern w:val="2"/>
      <w:sz w:val="24"/>
      <w:szCs w:val="24"/>
      <w:lang w:val="en-BE"/>
      <w14:ligatures w14:val="standardContextual"/>
    </w:rPr>
  </w:style>
  <w:style w:type="paragraph" w:styleId="Heading6">
    <w:name w:val="heading 6"/>
    <w:basedOn w:val="Normal"/>
    <w:next w:val="Normal"/>
    <w:link w:val="Heading6Char"/>
    <w:uiPriority w:val="9"/>
    <w:semiHidden/>
    <w:unhideWhenUsed/>
    <w:qFormat/>
    <w:rsid w:val="00572A74"/>
    <w:pPr>
      <w:keepNext/>
      <w:keepLines/>
      <w:spacing w:before="40" w:after="0" w:line="278" w:lineRule="auto"/>
      <w:outlineLvl w:val="5"/>
    </w:pPr>
    <w:rPr>
      <w:rFonts w:eastAsiaTheme="majorEastAsia" w:cstheme="majorBidi"/>
      <w:i/>
      <w:iCs/>
      <w:color w:val="595959" w:themeColor="text1" w:themeTint="A6"/>
      <w:kern w:val="2"/>
      <w:sz w:val="24"/>
      <w:szCs w:val="24"/>
      <w:lang w:val="en-BE"/>
      <w14:ligatures w14:val="standardContextual"/>
    </w:rPr>
  </w:style>
  <w:style w:type="paragraph" w:styleId="Heading7">
    <w:name w:val="heading 7"/>
    <w:basedOn w:val="Normal"/>
    <w:next w:val="Normal"/>
    <w:link w:val="Heading7Char"/>
    <w:uiPriority w:val="9"/>
    <w:semiHidden/>
    <w:unhideWhenUsed/>
    <w:qFormat/>
    <w:rsid w:val="00572A74"/>
    <w:pPr>
      <w:keepNext/>
      <w:keepLines/>
      <w:spacing w:before="40" w:after="0" w:line="278" w:lineRule="auto"/>
      <w:outlineLvl w:val="6"/>
    </w:pPr>
    <w:rPr>
      <w:rFonts w:eastAsiaTheme="majorEastAsia" w:cstheme="majorBidi"/>
      <w:color w:val="595959" w:themeColor="text1" w:themeTint="A6"/>
      <w:kern w:val="2"/>
      <w:sz w:val="24"/>
      <w:szCs w:val="24"/>
      <w:lang w:val="en-BE"/>
      <w14:ligatures w14:val="standardContextual"/>
    </w:rPr>
  </w:style>
  <w:style w:type="paragraph" w:styleId="Heading8">
    <w:name w:val="heading 8"/>
    <w:basedOn w:val="Normal"/>
    <w:next w:val="Normal"/>
    <w:link w:val="Heading8Char"/>
    <w:uiPriority w:val="9"/>
    <w:semiHidden/>
    <w:unhideWhenUsed/>
    <w:qFormat/>
    <w:rsid w:val="00572A74"/>
    <w:pPr>
      <w:keepNext/>
      <w:keepLines/>
      <w:spacing w:after="0" w:line="278" w:lineRule="auto"/>
      <w:outlineLvl w:val="7"/>
    </w:pPr>
    <w:rPr>
      <w:rFonts w:eastAsiaTheme="majorEastAsia" w:cstheme="majorBidi"/>
      <w:i/>
      <w:iCs/>
      <w:color w:val="272727" w:themeColor="text1" w:themeTint="D8"/>
      <w:kern w:val="2"/>
      <w:sz w:val="24"/>
      <w:szCs w:val="24"/>
      <w:lang w:val="en-BE"/>
      <w14:ligatures w14:val="standardContextual"/>
    </w:rPr>
  </w:style>
  <w:style w:type="paragraph" w:styleId="Heading9">
    <w:name w:val="heading 9"/>
    <w:basedOn w:val="Normal"/>
    <w:next w:val="Normal"/>
    <w:link w:val="Heading9Char"/>
    <w:uiPriority w:val="9"/>
    <w:semiHidden/>
    <w:unhideWhenUsed/>
    <w:qFormat/>
    <w:rsid w:val="00572A74"/>
    <w:pPr>
      <w:keepNext/>
      <w:keepLines/>
      <w:spacing w:after="0" w:line="278" w:lineRule="auto"/>
      <w:outlineLvl w:val="8"/>
    </w:pPr>
    <w:rPr>
      <w:rFonts w:eastAsiaTheme="majorEastAsia" w:cstheme="majorBidi"/>
      <w:color w:val="272727" w:themeColor="text1" w:themeTint="D8"/>
      <w:kern w:val="2"/>
      <w:sz w:val="24"/>
      <w:szCs w:val="24"/>
      <w:lang w:val="en-B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2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A74"/>
    <w:rPr>
      <w:rFonts w:eastAsiaTheme="majorEastAsia" w:cstheme="majorBidi"/>
      <w:color w:val="272727" w:themeColor="text1" w:themeTint="D8"/>
    </w:rPr>
  </w:style>
  <w:style w:type="paragraph" w:styleId="Title">
    <w:name w:val="Title"/>
    <w:basedOn w:val="Normal"/>
    <w:next w:val="Normal"/>
    <w:link w:val="TitleChar"/>
    <w:uiPriority w:val="10"/>
    <w:qFormat/>
    <w:rsid w:val="00572A74"/>
    <w:pPr>
      <w:spacing w:after="80" w:line="240" w:lineRule="auto"/>
      <w:contextualSpacing/>
    </w:pPr>
    <w:rPr>
      <w:rFonts w:asciiTheme="majorHAnsi" w:eastAsiaTheme="majorEastAsia" w:hAnsiTheme="majorHAnsi" w:cstheme="majorBidi"/>
      <w:spacing w:val="-10"/>
      <w:kern w:val="28"/>
      <w:sz w:val="56"/>
      <w:szCs w:val="56"/>
      <w:lang w:val="en-BE"/>
      <w14:ligatures w14:val="standardContextual"/>
    </w:rPr>
  </w:style>
  <w:style w:type="character" w:customStyle="1" w:styleId="TitleChar">
    <w:name w:val="Title Char"/>
    <w:basedOn w:val="DefaultParagraphFont"/>
    <w:link w:val="Title"/>
    <w:uiPriority w:val="10"/>
    <w:rsid w:val="00572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A74"/>
    <w:pPr>
      <w:numPr>
        <w:ilvl w:val="1"/>
      </w:numPr>
      <w:spacing w:after="160" w:line="278" w:lineRule="auto"/>
    </w:pPr>
    <w:rPr>
      <w:rFonts w:eastAsiaTheme="majorEastAsia" w:cstheme="majorBidi"/>
      <w:color w:val="595959" w:themeColor="text1" w:themeTint="A6"/>
      <w:spacing w:val="15"/>
      <w:kern w:val="2"/>
      <w:sz w:val="28"/>
      <w:szCs w:val="28"/>
      <w:lang w:val="en-BE"/>
      <w14:ligatures w14:val="standardContextual"/>
    </w:rPr>
  </w:style>
  <w:style w:type="character" w:customStyle="1" w:styleId="SubtitleChar">
    <w:name w:val="Subtitle Char"/>
    <w:basedOn w:val="DefaultParagraphFont"/>
    <w:link w:val="Subtitle"/>
    <w:uiPriority w:val="11"/>
    <w:rsid w:val="00572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A74"/>
    <w:pPr>
      <w:spacing w:before="160" w:after="160" w:line="278" w:lineRule="auto"/>
      <w:jc w:val="center"/>
    </w:pPr>
    <w:rPr>
      <w:rFonts w:eastAsiaTheme="minorHAnsi"/>
      <w:i/>
      <w:iCs/>
      <w:color w:val="404040" w:themeColor="text1" w:themeTint="BF"/>
      <w:kern w:val="2"/>
      <w:sz w:val="24"/>
      <w:szCs w:val="24"/>
      <w:lang w:val="en-BE"/>
      <w14:ligatures w14:val="standardContextual"/>
    </w:rPr>
  </w:style>
  <w:style w:type="character" w:customStyle="1" w:styleId="QuoteChar">
    <w:name w:val="Quote Char"/>
    <w:basedOn w:val="DefaultParagraphFont"/>
    <w:link w:val="Quote"/>
    <w:uiPriority w:val="29"/>
    <w:rsid w:val="00572A74"/>
    <w:rPr>
      <w:i/>
      <w:iCs/>
      <w:color w:val="404040" w:themeColor="text1" w:themeTint="BF"/>
    </w:rPr>
  </w:style>
  <w:style w:type="paragraph" w:styleId="ListParagraph">
    <w:name w:val="List Paragraph"/>
    <w:basedOn w:val="Normal"/>
    <w:uiPriority w:val="34"/>
    <w:qFormat/>
    <w:rsid w:val="00572A74"/>
    <w:pPr>
      <w:spacing w:after="160" w:line="278" w:lineRule="auto"/>
      <w:ind w:left="720"/>
      <w:contextualSpacing/>
    </w:pPr>
    <w:rPr>
      <w:rFonts w:eastAsiaTheme="minorHAnsi"/>
      <w:kern w:val="2"/>
      <w:sz w:val="24"/>
      <w:szCs w:val="24"/>
      <w:lang w:val="en-BE"/>
      <w14:ligatures w14:val="standardContextual"/>
    </w:rPr>
  </w:style>
  <w:style w:type="character" w:styleId="IntenseEmphasis">
    <w:name w:val="Intense Emphasis"/>
    <w:basedOn w:val="DefaultParagraphFont"/>
    <w:uiPriority w:val="21"/>
    <w:qFormat/>
    <w:rsid w:val="00572A74"/>
    <w:rPr>
      <w:i/>
      <w:iCs/>
      <w:color w:val="0F4761" w:themeColor="accent1" w:themeShade="BF"/>
    </w:rPr>
  </w:style>
  <w:style w:type="paragraph" w:styleId="IntenseQuote">
    <w:name w:val="Intense Quote"/>
    <w:basedOn w:val="Normal"/>
    <w:next w:val="Normal"/>
    <w:link w:val="IntenseQuoteChar"/>
    <w:uiPriority w:val="30"/>
    <w:qFormat/>
    <w:rsid w:val="00572A7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BE"/>
      <w14:ligatures w14:val="standardContextual"/>
    </w:rPr>
  </w:style>
  <w:style w:type="character" w:customStyle="1" w:styleId="IntenseQuoteChar">
    <w:name w:val="Intense Quote Char"/>
    <w:basedOn w:val="DefaultParagraphFont"/>
    <w:link w:val="IntenseQuote"/>
    <w:uiPriority w:val="30"/>
    <w:rsid w:val="00572A74"/>
    <w:rPr>
      <w:i/>
      <w:iCs/>
      <w:color w:val="0F4761" w:themeColor="accent1" w:themeShade="BF"/>
    </w:rPr>
  </w:style>
  <w:style w:type="character" w:styleId="IntenseReference">
    <w:name w:val="Intense Reference"/>
    <w:basedOn w:val="DefaultParagraphFont"/>
    <w:uiPriority w:val="32"/>
    <w:qFormat/>
    <w:rsid w:val="00572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1</cp:revision>
  <dcterms:created xsi:type="dcterms:W3CDTF">2026-01-15T10:44:00Z</dcterms:created>
  <dcterms:modified xsi:type="dcterms:W3CDTF">2026-01-15T10:44:00Z</dcterms:modified>
</cp:coreProperties>
</file>