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Grille d’audit – IVDR adaptée au diagnostic vétérinaire (Version Expert)</w:t>
      </w:r>
    </w:p>
    <w:p>
      <w:r>
        <w:t>Outil d’audit détaillé inspiré des principes IVDR adaptés aux diagnostics vétérinaires.</w:t>
      </w:r>
    </w:p>
    <w:p>
      <w:r>
        <w:t>Statut : Conforme / Partiellement conforme / Non conforme / N/A</w:t>
      </w:r>
    </w:p>
    <w:p>
      <w:pPr>
        <w:pStyle w:val="Heading1"/>
      </w:pPr>
      <w:r>
        <w:t>1. Gouvernance produit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A001</w:t>
            </w:r>
          </w:p>
        </w:tc>
        <w:tc>
          <w:tcPr>
            <w:tcW w:type="dxa" w:w="1440"/>
          </w:tcPr>
          <w:p>
            <w:r>
              <w:t>Responsable qualité nommé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A002</w:t>
            </w:r>
          </w:p>
        </w:tc>
        <w:tc>
          <w:tcPr>
            <w:tcW w:type="dxa" w:w="1440"/>
          </w:tcPr>
          <w:p>
            <w:r>
              <w:t>Politique qualité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A003</w:t>
            </w:r>
          </w:p>
        </w:tc>
        <w:tc>
          <w:tcPr>
            <w:tcW w:type="dxa" w:w="1440"/>
          </w:tcPr>
          <w:p>
            <w:r>
              <w:t>Gestion documentaire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A004</w:t>
            </w:r>
          </w:p>
        </w:tc>
        <w:tc>
          <w:tcPr>
            <w:tcW w:type="dxa" w:w="1440"/>
          </w:tcPr>
          <w:p>
            <w:r>
              <w:t>Formation personnel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A005</w:t>
            </w:r>
          </w:p>
        </w:tc>
        <w:tc>
          <w:tcPr>
            <w:tcW w:type="dxa" w:w="1440"/>
          </w:tcPr>
          <w:p>
            <w:r>
              <w:t>Revue direction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2. Intended Use vétérinaire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A006</w:t>
            </w:r>
          </w:p>
        </w:tc>
        <w:tc>
          <w:tcPr>
            <w:tcW w:type="dxa" w:w="1440"/>
          </w:tcPr>
          <w:p>
            <w:r>
              <w:t>Espèce cible définie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A007</w:t>
            </w:r>
          </w:p>
        </w:tc>
        <w:tc>
          <w:tcPr>
            <w:tcW w:type="dxa" w:w="1440"/>
          </w:tcPr>
          <w:p>
            <w:r>
              <w:t>Utilisateur défini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A008</w:t>
            </w:r>
          </w:p>
        </w:tc>
        <w:tc>
          <w:tcPr>
            <w:tcW w:type="dxa" w:w="1440"/>
          </w:tcPr>
          <w:p>
            <w:r>
              <w:t>Échantillon défini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A009</w:t>
            </w:r>
          </w:p>
        </w:tc>
        <w:tc>
          <w:tcPr>
            <w:tcW w:type="dxa" w:w="1440"/>
          </w:tcPr>
          <w:p>
            <w:r>
              <w:t>Objectif clinique défini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A010</w:t>
            </w:r>
          </w:p>
        </w:tc>
        <w:tc>
          <w:tcPr>
            <w:tcW w:type="dxa" w:w="1440"/>
          </w:tcPr>
          <w:p>
            <w:r>
              <w:t>Limites définies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3. Conception &amp; développement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A011</w:t>
            </w:r>
          </w:p>
        </w:tc>
        <w:tc>
          <w:tcPr>
            <w:tcW w:type="dxa" w:w="1440"/>
          </w:tcPr>
          <w:p>
            <w:r>
              <w:t>Design inputs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A012</w:t>
            </w:r>
          </w:p>
        </w:tc>
        <w:tc>
          <w:tcPr>
            <w:tcW w:type="dxa" w:w="1440"/>
          </w:tcPr>
          <w:p>
            <w:r>
              <w:t>Design outputs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A013</w:t>
            </w:r>
          </w:p>
        </w:tc>
        <w:tc>
          <w:tcPr>
            <w:tcW w:type="dxa" w:w="1440"/>
          </w:tcPr>
          <w:p>
            <w:r>
              <w:t>Vérification design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A014</w:t>
            </w:r>
          </w:p>
        </w:tc>
        <w:tc>
          <w:tcPr>
            <w:tcW w:type="dxa" w:w="1440"/>
          </w:tcPr>
          <w:p>
            <w:r>
              <w:t>Validation design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A015</w:t>
            </w:r>
          </w:p>
        </w:tc>
        <w:tc>
          <w:tcPr>
            <w:tcW w:type="dxa" w:w="1440"/>
          </w:tcPr>
          <w:p>
            <w:r>
              <w:t>Change control design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4. Gestion des risques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A016</w:t>
            </w:r>
          </w:p>
        </w:tc>
        <w:tc>
          <w:tcPr>
            <w:tcW w:type="dxa" w:w="1440"/>
          </w:tcPr>
          <w:p>
            <w:r>
              <w:t>Analyse dangers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A017</w:t>
            </w:r>
          </w:p>
        </w:tc>
        <w:tc>
          <w:tcPr>
            <w:tcW w:type="dxa" w:w="1440"/>
          </w:tcPr>
          <w:p>
            <w:r>
              <w:t>Faux positifs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A018</w:t>
            </w:r>
          </w:p>
        </w:tc>
        <w:tc>
          <w:tcPr>
            <w:tcW w:type="dxa" w:w="1440"/>
          </w:tcPr>
          <w:p>
            <w:r>
              <w:t>Faux négatifs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A019</w:t>
            </w:r>
          </w:p>
        </w:tc>
        <w:tc>
          <w:tcPr>
            <w:tcW w:type="dxa" w:w="1440"/>
          </w:tcPr>
          <w:p>
            <w:r>
              <w:t>Mesures maîtrise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A020</w:t>
            </w:r>
          </w:p>
        </w:tc>
        <w:tc>
          <w:tcPr>
            <w:tcW w:type="dxa" w:w="1440"/>
          </w:tcPr>
          <w:p>
            <w:r>
              <w:t>Revue risques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5. Validation analytique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A021</w:t>
            </w:r>
          </w:p>
        </w:tc>
        <w:tc>
          <w:tcPr>
            <w:tcW w:type="dxa" w:w="1440"/>
          </w:tcPr>
          <w:p>
            <w:r>
              <w:t>Sensibilité analytique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A022</w:t>
            </w:r>
          </w:p>
        </w:tc>
        <w:tc>
          <w:tcPr>
            <w:tcW w:type="dxa" w:w="1440"/>
          </w:tcPr>
          <w:p>
            <w:r>
              <w:t>Spécificité analytique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A023</w:t>
            </w:r>
          </w:p>
        </w:tc>
        <w:tc>
          <w:tcPr>
            <w:tcW w:type="dxa" w:w="1440"/>
          </w:tcPr>
          <w:p>
            <w:r>
              <w:t>LOD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A024</w:t>
            </w:r>
          </w:p>
        </w:tc>
        <w:tc>
          <w:tcPr>
            <w:tcW w:type="dxa" w:w="1440"/>
          </w:tcPr>
          <w:p>
            <w:r>
              <w:t>Cut-off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A025</w:t>
            </w:r>
          </w:p>
        </w:tc>
        <w:tc>
          <w:tcPr>
            <w:tcW w:type="dxa" w:w="1440"/>
          </w:tcPr>
          <w:p>
            <w:r>
              <w:t>Répétabilité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A026</w:t>
            </w:r>
          </w:p>
        </w:tc>
        <w:tc>
          <w:tcPr>
            <w:tcW w:type="dxa" w:w="1440"/>
          </w:tcPr>
          <w:p>
            <w:r>
              <w:t>Reproductibilité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A027</w:t>
            </w:r>
          </w:p>
        </w:tc>
        <w:tc>
          <w:tcPr>
            <w:tcW w:type="dxa" w:w="1440"/>
          </w:tcPr>
          <w:p>
            <w:r>
              <w:t>Interférences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A028</w:t>
            </w:r>
          </w:p>
        </w:tc>
        <w:tc>
          <w:tcPr>
            <w:tcW w:type="dxa" w:w="1440"/>
          </w:tcPr>
          <w:p>
            <w:r>
              <w:t>Cross-reactivité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A029</w:t>
            </w:r>
          </w:p>
        </w:tc>
        <w:tc>
          <w:tcPr>
            <w:tcW w:type="dxa" w:w="1440"/>
          </w:tcPr>
          <w:p>
            <w:r>
              <w:t>Robustesse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A030</w:t>
            </w:r>
          </w:p>
        </w:tc>
        <w:tc>
          <w:tcPr>
            <w:tcW w:type="dxa" w:w="1440"/>
          </w:tcPr>
          <w:p>
            <w:r>
              <w:t>Inter-lots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6. Validation clinique vétérinaire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A031</w:t>
            </w:r>
          </w:p>
        </w:tc>
        <w:tc>
          <w:tcPr>
            <w:tcW w:type="dxa" w:w="1440"/>
          </w:tcPr>
          <w:p>
            <w:r>
              <w:t>Plan clinique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A032</w:t>
            </w:r>
          </w:p>
        </w:tc>
        <w:tc>
          <w:tcPr>
            <w:tcW w:type="dxa" w:w="1440"/>
          </w:tcPr>
          <w:p>
            <w:r>
              <w:t>Cas positifs/négatifs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A033</w:t>
            </w:r>
          </w:p>
        </w:tc>
        <w:tc>
          <w:tcPr>
            <w:tcW w:type="dxa" w:w="1440"/>
          </w:tcPr>
          <w:p>
            <w:r>
              <w:t>Méthode référence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A034</w:t>
            </w:r>
          </w:p>
        </w:tc>
        <w:tc>
          <w:tcPr>
            <w:tcW w:type="dxa" w:w="1440"/>
          </w:tcPr>
          <w:p>
            <w:r>
              <w:t>Sensibilité diagnostique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A035</w:t>
            </w:r>
          </w:p>
        </w:tc>
        <w:tc>
          <w:tcPr>
            <w:tcW w:type="dxa" w:w="1440"/>
          </w:tcPr>
          <w:p>
            <w:r>
              <w:t>Spécificité diagnostique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A036</w:t>
            </w:r>
          </w:p>
        </w:tc>
        <w:tc>
          <w:tcPr>
            <w:tcW w:type="dxa" w:w="1440"/>
          </w:tcPr>
          <w:p>
            <w:r>
              <w:t>Statistiques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7. Fabrication &amp; fournisseurs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A037</w:t>
            </w:r>
          </w:p>
        </w:tc>
        <w:tc>
          <w:tcPr>
            <w:tcW w:type="dxa" w:w="1440"/>
          </w:tcPr>
          <w:p>
            <w:r>
              <w:t>Qualification fournisseurs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A038</w:t>
            </w:r>
          </w:p>
        </w:tc>
        <w:tc>
          <w:tcPr>
            <w:tcW w:type="dxa" w:w="1440"/>
          </w:tcPr>
          <w:p>
            <w:r>
              <w:t>Contrôle production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A039</w:t>
            </w:r>
          </w:p>
        </w:tc>
        <w:tc>
          <w:tcPr>
            <w:tcW w:type="dxa" w:w="1440"/>
          </w:tcPr>
          <w:p>
            <w:r>
              <w:t>Libération lot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A040</w:t>
            </w:r>
          </w:p>
        </w:tc>
        <w:tc>
          <w:tcPr>
            <w:tcW w:type="dxa" w:w="1440"/>
          </w:tcPr>
          <w:p>
            <w:r>
              <w:t>Traçabilité composants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A041</w:t>
            </w:r>
          </w:p>
        </w:tc>
        <w:tc>
          <w:tcPr>
            <w:tcW w:type="dxa" w:w="1440"/>
          </w:tcPr>
          <w:p>
            <w:r>
              <w:t>Calibration équipements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8. IFU / Étiquetage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A042</w:t>
            </w:r>
          </w:p>
        </w:tc>
        <w:tc>
          <w:tcPr>
            <w:tcW w:type="dxa" w:w="1440"/>
          </w:tcPr>
          <w:p>
            <w:r>
              <w:t>Fabricant identifié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A043</w:t>
            </w:r>
          </w:p>
        </w:tc>
        <w:tc>
          <w:tcPr>
            <w:tcW w:type="dxa" w:w="1440"/>
          </w:tcPr>
          <w:p>
            <w:r>
              <w:t>LOT/péremption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A044</w:t>
            </w:r>
          </w:p>
        </w:tc>
        <w:tc>
          <w:tcPr>
            <w:tcW w:type="dxa" w:w="1440"/>
          </w:tcPr>
          <w:p>
            <w:r>
              <w:t>Instructions claires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A045</w:t>
            </w:r>
          </w:p>
        </w:tc>
        <w:tc>
          <w:tcPr>
            <w:tcW w:type="dxa" w:w="1440"/>
          </w:tcPr>
          <w:p>
            <w:r>
              <w:t>Sécurité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A046</w:t>
            </w:r>
          </w:p>
        </w:tc>
        <w:tc>
          <w:tcPr>
            <w:tcW w:type="dxa" w:w="1440"/>
          </w:tcPr>
          <w:p>
            <w:r>
              <w:t>Langues marchés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9. Stabilité &amp; transport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A047</w:t>
            </w:r>
          </w:p>
        </w:tc>
        <w:tc>
          <w:tcPr>
            <w:tcW w:type="dxa" w:w="1440"/>
          </w:tcPr>
          <w:p>
            <w:r>
              <w:t>Temps réel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A048</w:t>
            </w:r>
          </w:p>
        </w:tc>
        <w:tc>
          <w:tcPr>
            <w:tcW w:type="dxa" w:w="1440"/>
          </w:tcPr>
          <w:p>
            <w:r>
              <w:t>Accélérée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A049</w:t>
            </w:r>
          </w:p>
        </w:tc>
        <w:tc>
          <w:tcPr>
            <w:tcW w:type="dxa" w:w="1440"/>
          </w:tcPr>
          <w:p>
            <w:r>
              <w:t>Transport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A050</w:t>
            </w:r>
          </w:p>
        </w:tc>
        <w:tc>
          <w:tcPr>
            <w:tcW w:type="dxa" w:w="1440"/>
          </w:tcPr>
          <w:p>
            <w:r>
              <w:t>Après ouverture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A051</w:t>
            </w:r>
          </w:p>
        </w:tc>
        <w:tc>
          <w:tcPr>
            <w:tcW w:type="dxa" w:w="1440"/>
          </w:tcPr>
          <w:p>
            <w:r>
              <w:t>Ongoing stability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10. PMS / Réclamations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A052</w:t>
            </w:r>
          </w:p>
        </w:tc>
        <w:tc>
          <w:tcPr>
            <w:tcW w:type="dxa" w:w="1440"/>
          </w:tcPr>
          <w:p>
            <w:r>
              <w:t>Procédure réclamations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A053</w:t>
            </w:r>
          </w:p>
        </w:tc>
        <w:tc>
          <w:tcPr>
            <w:tcW w:type="dxa" w:w="1440"/>
          </w:tcPr>
          <w:p>
            <w:r>
              <w:t>CAPA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A054</w:t>
            </w:r>
          </w:p>
        </w:tc>
        <w:tc>
          <w:tcPr>
            <w:tcW w:type="dxa" w:w="1440"/>
          </w:tcPr>
          <w:p>
            <w:r>
              <w:t>Trending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A055</w:t>
            </w:r>
          </w:p>
        </w:tc>
        <w:tc>
          <w:tcPr>
            <w:tcW w:type="dxa" w:w="1440"/>
          </w:tcPr>
          <w:p>
            <w:r>
              <w:t>Retours terrain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A056</w:t>
            </w:r>
          </w:p>
        </w:tc>
        <w:tc>
          <w:tcPr>
            <w:tcW w:type="dxa" w:w="1440"/>
          </w:tcPr>
          <w:p>
            <w:r>
              <w:t>Revue PMS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11. Documentation technique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A057</w:t>
            </w:r>
          </w:p>
        </w:tc>
        <w:tc>
          <w:tcPr>
            <w:tcW w:type="dxa" w:w="1440"/>
          </w:tcPr>
          <w:p>
            <w:r>
              <w:t>Index dossier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A058</w:t>
            </w:r>
          </w:p>
        </w:tc>
        <w:tc>
          <w:tcPr>
            <w:tcW w:type="dxa" w:w="1440"/>
          </w:tcPr>
          <w:p>
            <w:r>
              <w:t>Master file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A059</w:t>
            </w:r>
          </w:p>
        </w:tc>
        <w:tc>
          <w:tcPr>
            <w:tcW w:type="dxa" w:w="1440"/>
          </w:tcPr>
          <w:p>
            <w:r>
              <w:t>Rapports approuvés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A060</w:t>
            </w:r>
          </w:p>
        </w:tc>
        <w:tc>
          <w:tcPr>
            <w:tcW w:type="dxa" w:w="1440"/>
          </w:tcPr>
          <w:p>
            <w:r>
              <w:t>Données brutes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A061</w:t>
            </w:r>
          </w:p>
        </w:tc>
        <w:tc>
          <w:tcPr>
            <w:tcW w:type="dxa" w:w="1440"/>
          </w:tcPr>
          <w:p>
            <w:r>
              <w:t>Version control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12. Contrôle des changements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Réf.</w:t>
            </w:r>
          </w:p>
        </w:tc>
        <w:tc>
          <w:tcPr>
            <w:tcW w:type="dxa" w:w="1440"/>
          </w:tcPr>
          <w:p>
            <w:r>
              <w:t>Point d’audit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  <w:tc>
          <w:tcPr>
            <w:tcW w:type="dxa" w:w="1440"/>
          </w:tcPr>
          <w:p>
            <w:r>
              <w:t>Constat</w:t>
            </w:r>
          </w:p>
        </w:tc>
        <w:tc>
          <w:tcPr>
            <w:tcW w:type="dxa" w:w="1440"/>
          </w:tcPr>
          <w:p>
            <w:r>
              <w:t>Action corrective</w:t>
            </w:r>
          </w:p>
        </w:tc>
      </w:tr>
      <w:tr>
        <w:tc>
          <w:tcPr>
            <w:tcW w:type="dxa" w:w="1440"/>
          </w:tcPr>
          <w:p>
            <w:r>
              <w:t>A062</w:t>
            </w:r>
          </w:p>
        </w:tc>
        <w:tc>
          <w:tcPr>
            <w:tcW w:type="dxa" w:w="1440"/>
          </w:tcPr>
          <w:p>
            <w:r>
              <w:t>Procédure changement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A063</w:t>
            </w:r>
          </w:p>
        </w:tc>
        <w:tc>
          <w:tcPr>
            <w:tcW w:type="dxa" w:w="1440"/>
          </w:tcPr>
          <w:p>
            <w:r>
              <w:t>Analyse impact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A064</w:t>
            </w:r>
          </w:p>
        </w:tc>
        <w:tc>
          <w:tcPr>
            <w:tcW w:type="dxa" w:w="1440"/>
          </w:tcPr>
          <w:p>
            <w:r>
              <w:t>Revalidation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A065</w:t>
            </w:r>
          </w:p>
        </w:tc>
        <w:tc>
          <w:tcPr>
            <w:tcW w:type="dxa" w:w="1440"/>
          </w:tcPr>
          <w:p>
            <w:r>
              <w:t>Historique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A066</w:t>
            </w:r>
          </w:p>
        </w:tc>
        <w:tc>
          <w:tcPr>
            <w:tcW w:type="dxa" w:w="1440"/>
          </w:tcPr>
          <w:p>
            <w:r>
              <w:t>Communication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Scoring recommandé</w:t>
      </w:r>
    </w:p>
    <w:p>
      <w:r>
        <w:t>&gt;85% robuste ; 70–85% améliorable ; &lt;70% risque élevé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