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CB737" w14:textId="76124C80" w:rsidR="008631CA" w:rsidRDefault="008631CA" w:rsidP="00506D38">
      <w:r w:rsidRPr="00D7650B">
        <w:rPr>
          <w:rFonts w:ascii="Calibri Light" w:hAnsi="Calibri Light" w:cs="Calibri Light"/>
          <w:noProof/>
          <w:color w:val="002060"/>
          <w:lang w:eastAsia="fr-BE"/>
        </w:rPr>
        <w:drawing>
          <wp:inline distT="0" distB="0" distL="0" distR="0" wp14:anchorId="25CCDFD7" wp14:editId="3FB3F660">
            <wp:extent cx="2914650" cy="903659"/>
            <wp:effectExtent l="0" t="0" r="0" b="0"/>
            <wp:docPr id="1847225370" name="Image 1847225370" descr="Une image contenant logo, Police,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logo, Police, Graphique, texte&#10;&#10;Description générée automatiquement"/>
                    <pic:cNvPicPr/>
                  </pic:nvPicPr>
                  <pic:blipFill>
                    <a:blip r:embed="rId7"/>
                    <a:stretch>
                      <a:fillRect/>
                    </a:stretch>
                  </pic:blipFill>
                  <pic:spPr>
                    <a:xfrm>
                      <a:off x="0" y="0"/>
                      <a:ext cx="3137609" cy="972785"/>
                    </a:xfrm>
                    <a:prstGeom prst="rect">
                      <a:avLst/>
                    </a:prstGeom>
                  </pic:spPr>
                </pic:pic>
              </a:graphicData>
            </a:graphic>
          </wp:inline>
        </w:drawing>
      </w:r>
    </w:p>
    <w:p w14:paraId="0525CBD1" w14:textId="77777777" w:rsidR="008631CA" w:rsidRDefault="008631CA"/>
    <w:p w14:paraId="1608BE69" w14:textId="017065E3" w:rsidR="008631CA" w:rsidRPr="00506D38" w:rsidRDefault="008631CA" w:rsidP="00506D38">
      <w:pPr>
        <w:jc w:val="center"/>
        <w:rPr>
          <w:rFonts w:asciiTheme="minorHAnsi" w:hAnsiTheme="minorHAnsi" w:cstheme="minorHAnsi"/>
          <w:b/>
          <w:bCs/>
          <w:sz w:val="22"/>
          <w:szCs w:val="22"/>
        </w:rPr>
      </w:pPr>
      <w:r w:rsidRPr="00506D38">
        <w:rPr>
          <w:rFonts w:asciiTheme="minorHAnsi" w:hAnsiTheme="minorHAnsi" w:cstheme="minorHAnsi"/>
          <w:b/>
          <w:bCs/>
          <w:sz w:val="36"/>
          <w:szCs w:val="36"/>
        </w:rPr>
        <w:t>Note de synthèse</w:t>
      </w:r>
      <w:r w:rsidR="00506D38">
        <w:rPr>
          <w:rFonts w:asciiTheme="minorHAnsi" w:hAnsiTheme="minorHAnsi" w:cstheme="minorHAnsi"/>
          <w:b/>
          <w:bCs/>
          <w:sz w:val="22"/>
          <w:szCs w:val="22"/>
        </w:rPr>
        <w:t xml:space="preserve">  15/2/24</w:t>
      </w:r>
    </w:p>
    <w:p w14:paraId="7A9ECA44" w14:textId="77777777" w:rsidR="008631CA" w:rsidRDefault="008631CA">
      <w:pPr>
        <w:rPr>
          <w:rFonts w:asciiTheme="minorHAnsi" w:hAnsiTheme="minorHAnsi" w:cstheme="minorHAnsi"/>
          <w:sz w:val="22"/>
          <w:szCs w:val="22"/>
        </w:rPr>
      </w:pPr>
    </w:p>
    <w:p w14:paraId="38C283D8" w14:textId="77777777" w:rsidR="008631CA" w:rsidRPr="008636B1" w:rsidRDefault="008631CA" w:rsidP="008636B1">
      <w:pPr>
        <w:pStyle w:val="ListParagraph"/>
        <w:numPr>
          <w:ilvl w:val="0"/>
          <w:numId w:val="5"/>
        </w:numPr>
        <w:rPr>
          <w:rFonts w:asciiTheme="minorHAnsi" w:hAnsiTheme="minorHAnsi" w:cstheme="minorHAnsi"/>
          <w:b/>
          <w:bCs/>
          <w:sz w:val="22"/>
          <w:szCs w:val="22"/>
          <w:u w:val="single"/>
        </w:rPr>
      </w:pPr>
      <w:r w:rsidRPr="008636B1">
        <w:rPr>
          <w:rFonts w:asciiTheme="minorHAnsi" w:hAnsiTheme="minorHAnsi" w:cstheme="minorHAnsi"/>
          <w:b/>
          <w:bCs/>
          <w:sz w:val="22"/>
          <w:szCs w:val="22"/>
          <w:u w:val="single"/>
        </w:rPr>
        <w:t>Contexte</w:t>
      </w:r>
    </w:p>
    <w:p w14:paraId="1948D9F3" w14:textId="77777777" w:rsidR="008631CA" w:rsidRDefault="008631CA">
      <w:pPr>
        <w:rPr>
          <w:rFonts w:asciiTheme="minorHAnsi" w:hAnsiTheme="minorHAnsi" w:cstheme="minorHAnsi"/>
          <w:sz w:val="22"/>
          <w:szCs w:val="22"/>
          <w:u w:val="single"/>
        </w:rPr>
      </w:pPr>
    </w:p>
    <w:p w14:paraId="1ADE0902" w14:textId="77777777" w:rsidR="00595D1A" w:rsidRPr="00595D1A" w:rsidRDefault="00595D1A" w:rsidP="00595D1A">
      <w:pPr>
        <w:overflowPunct/>
        <w:autoSpaceDE/>
        <w:autoSpaceDN/>
        <w:adjustRightInd/>
        <w:spacing w:line="276" w:lineRule="auto"/>
        <w:jc w:val="both"/>
        <w:rPr>
          <w:rFonts w:asciiTheme="minorHAnsi" w:hAnsiTheme="minorHAnsi" w:cstheme="minorHAnsi"/>
          <w:sz w:val="22"/>
          <w:szCs w:val="22"/>
          <w:lang w:eastAsia="fr-BE"/>
        </w:rPr>
      </w:pPr>
      <w:r w:rsidRPr="00595D1A">
        <w:rPr>
          <w:rFonts w:asciiTheme="minorHAnsi" w:hAnsiTheme="minorHAnsi" w:cstheme="minorHAnsi"/>
          <w:sz w:val="22"/>
          <w:szCs w:val="22"/>
          <w:lang w:eastAsia="fr-BE"/>
        </w:rPr>
        <w:t xml:space="preserve">Dim3 est une société </w:t>
      </w:r>
      <w:proofErr w:type="spellStart"/>
      <w:r w:rsidRPr="00595D1A">
        <w:rPr>
          <w:rFonts w:asciiTheme="minorHAnsi" w:hAnsiTheme="minorHAnsi" w:cstheme="minorHAnsi"/>
          <w:sz w:val="22"/>
          <w:szCs w:val="22"/>
          <w:lang w:eastAsia="fr-BE"/>
        </w:rPr>
        <w:t>Medtech</w:t>
      </w:r>
      <w:proofErr w:type="spellEnd"/>
      <w:r w:rsidRPr="00595D1A">
        <w:rPr>
          <w:rFonts w:asciiTheme="minorHAnsi" w:hAnsiTheme="minorHAnsi" w:cstheme="minorHAnsi"/>
          <w:sz w:val="22"/>
          <w:szCs w:val="22"/>
          <w:lang w:eastAsia="fr-BE"/>
        </w:rPr>
        <w:t xml:space="preserve"> spécialiste du monitoring de la nutrition clinique avec des produits marqués CE. Les clients sont des sociétés spécialisées dans les soins complexes (oncologie, gériatrie,…) et les départements des soins intensifs des hôpitaux. Les maisons de repos et l’hospitalisation à domicile sont également un potentiel de développement.</w:t>
      </w:r>
    </w:p>
    <w:p w14:paraId="530C6160" w14:textId="77777777" w:rsidR="008631CA" w:rsidRDefault="008631CA">
      <w:pPr>
        <w:rPr>
          <w:rFonts w:asciiTheme="minorHAnsi" w:hAnsiTheme="minorHAnsi" w:cstheme="minorHAnsi"/>
          <w:sz w:val="22"/>
          <w:szCs w:val="22"/>
          <w:u w:val="single"/>
        </w:rPr>
      </w:pPr>
    </w:p>
    <w:p w14:paraId="1D007CF0" w14:textId="77777777" w:rsidR="00595D1A" w:rsidRPr="00595D1A" w:rsidRDefault="00595D1A" w:rsidP="00595D1A">
      <w:pPr>
        <w:overflowPunct/>
        <w:autoSpaceDE/>
        <w:autoSpaceDN/>
        <w:adjustRightInd/>
        <w:spacing w:line="276" w:lineRule="auto"/>
        <w:jc w:val="both"/>
        <w:textAlignment w:val="auto"/>
        <w:rPr>
          <w:rFonts w:asciiTheme="minorHAnsi" w:hAnsiTheme="minorHAnsi" w:cstheme="minorHAnsi"/>
          <w:sz w:val="22"/>
          <w:szCs w:val="22"/>
          <w:lang w:eastAsia="fr-BE"/>
        </w:rPr>
      </w:pPr>
      <w:r w:rsidRPr="00595D1A">
        <w:rPr>
          <w:rFonts w:asciiTheme="minorHAnsi" w:hAnsiTheme="minorHAnsi" w:cstheme="minorHAnsi"/>
          <w:sz w:val="22"/>
          <w:szCs w:val="22"/>
          <w:lang w:eastAsia="fr-BE"/>
        </w:rPr>
        <w:t>Dim3, c’est 3 produits:</w:t>
      </w:r>
    </w:p>
    <w:p w14:paraId="36C5CD98" w14:textId="32F345FB" w:rsidR="00595D1A" w:rsidRPr="00595D1A" w:rsidRDefault="00595D1A" w:rsidP="00595D1A">
      <w:pPr>
        <w:pStyle w:val="ListParagraph"/>
        <w:numPr>
          <w:ilvl w:val="0"/>
          <w:numId w:val="1"/>
        </w:numPr>
        <w:overflowPunct/>
        <w:autoSpaceDE/>
        <w:autoSpaceDN/>
        <w:adjustRightInd/>
        <w:spacing w:line="276" w:lineRule="auto"/>
        <w:jc w:val="both"/>
        <w:textAlignment w:val="auto"/>
        <w:rPr>
          <w:rFonts w:asciiTheme="minorHAnsi" w:hAnsiTheme="minorHAnsi" w:cstheme="minorHAnsi"/>
          <w:sz w:val="22"/>
          <w:szCs w:val="22"/>
          <w:lang w:eastAsia="fr-BE"/>
        </w:rPr>
      </w:pPr>
      <w:proofErr w:type="spellStart"/>
      <w:r w:rsidRPr="00595D1A">
        <w:rPr>
          <w:rFonts w:asciiTheme="minorHAnsi" w:hAnsiTheme="minorHAnsi" w:cstheme="minorHAnsi"/>
          <w:sz w:val="22"/>
          <w:szCs w:val="22"/>
          <w:lang w:eastAsia="fr-BE"/>
        </w:rPr>
        <w:t>Scorso</w:t>
      </w:r>
      <w:proofErr w:type="spellEnd"/>
      <w:r w:rsidRPr="00595D1A">
        <w:rPr>
          <w:rFonts w:asciiTheme="minorHAnsi" w:hAnsiTheme="minorHAnsi" w:cstheme="minorHAnsi"/>
          <w:sz w:val="22"/>
          <w:szCs w:val="22"/>
          <w:lang w:eastAsia="fr-BE"/>
        </w:rPr>
        <w:tab/>
      </w:r>
      <w:r w:rsidRPr="00595D1A">
        <w:rPr>
          <w:rFonts w:asciiTheme="minorHAnsi" w:hAnsiTheme="minorHAnsi" w:cstheme="minorHAnsi"/>
          <w:sz w:val="22"/>
          <w:szCs w:val="22"/>
          <w:lang w:eastAsia="fr-BE"/>
        </w:rPr>
        <w:tab/>
      </w:r>
      <w:r w:rsidR="00506D38" w:rsidRPr="00595D1A">
        <w:rPr>
          <w:rFonts w:asciiTheme="minorHAnsi" w:hAnsiTheme="minorHAnsi" w:cstheme="minorHAnsi"/>
          <w:sz w:val="22"/>
          <w:szCs w:val="22"/>
          <w:lang w:eastAsia="fr-BE"/>
        </w:rPr>
        <w:t>Évaluation</w:t>
      </w:r>
      <w:r w:rsidRPr="00595D1A">
        <w:rPr>
          <w:rFonts w:asciiTheme="minorHAnsi" w:hAnsiTheme="minorHAnsi" w:cstheme="minorHAnsi"/>
          <w:sz w:val="22"/>
          <w:szCs w:val="22"/>
          <w:lang w:eastAsia="fr-BE"/>
        </w:rPr>
        <w:t xml:space="preserve"> précoce des risques nutritionnels ;</w:t>
      </w:r>
    </w:p>
    <w:p w14:paraId="5D6D01DB" w14:textId="77777777" w:rsidR="00595D1A" w:rsidRPr="00595D1A" w:rsidRDefault="00595D1A" w:rsidP="00595D1A">
      <w:pPr>
        <w:pStyle w:val="ListParagraph"/>
        <w:numPr>
          <w:ilvl w:val="0"/>
          <w:numId w:val="1"/>
        </w:numPr>
        <w:overflowPunct/>
        <w:autoSpaceDE/>
        <w:autoSpaceDN/>
        <w:adjustRightInd/>
        <w:spacing w:line="276" w:lineRule="auto"/>
        <w:jc w:val="both"/>
        <w:textAlignment w:val="auto"/>
        <w:rPr>
          <w:rFonts w:asciiTheme="minorHAnsi" w:hAnsiTheme="minorHAnsi" w:cstheme="minorHAnsi"/>
          <w:sz w:val="22"/>
          <w:szCs w:val="22"/>
          <w:lang w:eastAsia="fr-BE"/>
        </w:rPr>
      </w:pPr>
      <w:proofErr w:type="spellStart"/>
      <w:r w:rsidRPr="00595D1A">
        <w:rPr>
          <w:rFonts w:asciiTheme="minorHAnsi" w:hAnsiTheme="minorHAnsi" w:cstheme="minorHAnsi"/>
          <w:sz w:val="22"/>
          <w:szCs w:val="22"/>
          <w:lang w:eastAsia="fr-BE"/>
        </w:rPr>
        <w:t>Nutrow</w:t>
      </w:r>
      <w:proofErr w:type="spellEnd"/>
      <w:r w:rsidRPr="00595D1A">
        <w:rPr>
          <w:rFonts w:asciiTheme="minorHAnsi" w:hAnsiTheme="minorHAnsi" w:cstheme="minorHAnsi"/>
          <w:sz w:val="22"/>
          <w:szCs w:val="22"/>
          <w:lang w:eastAsia="fr-BE"/>
        </w:rPr>
        <w:tab/>
      </w:r>
      <w:r w:rsidRPr="00595D1A">
        <w:rPr>
          <w:rFonts w:asciiTheme="minorHAnsi" w:hAnsiTheme="minorHAnsi" w:cstheme="minorHAnsi"/>
          <w:sz w:val="22"/>
          <w:szCs w:val="22"/>
          <w:lang w:eastAsia="fr-BE"/>
        </w:rPr>
        <w:tab/>
        <w:t>Planification et suivi nutritionnels rapides et validés cliniquement ;</w:t>
      </w:r>
    </w:p>
    <w:p w14:paraId="56147AF7" w14:textId="2E4E9A60" w:rsidR="00595D1A" w:rsidRPr="00506D38" w:rsidRDefault="00595D1A" w:rsidP="00506D38">
      <w:pPr>
        <w:pStyle w:val="ListParagraph"/>
        <w:numPr>
          <w:ilvl w:val="0"/>
          <w:numId w:val="1"/>
        </w:numPr>
        <w:overflowPunct/>
        <w:autoSpaceDE/>
        <w:autoSpaceDN/>
        <w:adjustRightInd/>
        <w:spacing w:line="276" w:lineRule="auto"/>
        <w:jc w:val="both"/>
        <w:textAlignment w:val="auto"/>
        <w:rPr>
          <w:rFonts w:asciiTheme="minorHAnsi" w:hAnsiTheme="minorHAnsi" w:cstheme="minorHAnsi"/>
          <w:sz w:val="22"/>
          <w:szCs w:val="22"/>
          <w:lang w:eastAsia="fr-BE"/>
        </w:rPr>
      </w:pPr>
      <w:proofErr w:type="spellStart"/>
      <w:r w:rsidRPr="00595D1A">
        <w:rPr>
          <w:rFonts w:asciiTheme="minorHAnsi" w:hAnsiTheme="minorHAnsi" w:cstheme="minorHAnsi"/>
          <w:sz w:val="22"/>
          <w:szCs w:val="22"/>
          <w:lang w:eastAsia="fr-BE"/>
        </w:rPr>
        <w:t>Fedim</w:t>
      </w:r>
      <w:proofErr w:type="spellEnd"/>
      <w:r w:rsidRPr="00595D1A">
        <w:rPr>
          <w:rFonts w:asciiTheme="minorHAnsi" w:hAnsiTheme="minorHAnsi" w:cstheme="minorHAnsi"/>
          <w:sz w:val="22"/>
          <w:szCs w:val="22"/>
          <w:lang w:eastAsia="fr-BE"/>
        </w:rPr>
        <w:tab/>
      </w:r>
      <w:r w:rsidRPr="00595D1A">
        <w:rPr>
          <w:rFonts w:asciiTheme="minorHAnsi" w:hAnsiTheme="minorHAnsi" w:cstheme="minorHAnsi"/>
          <w:sz w:val="22"/>
          <w:szCs w:val="22"/>
          <w:lang w:eastAsia="fr-BE"/>
        </w:rPr>
        <w:tab/>
        <w:t>Surveillance automatisée des dispositifs médicaux de l'hôpital au domicile.</w:t>
      </w:r>
    </w:p>
    <w:p w14:paraId="23073C87" w14:textId="77777777" w:rsidR="00506D38" w:rsidRDefault="00506D38" w:rsidP="00595D1A">
      <w:pPr>
        <w:overflowPunct/>
        <w:autoSpaceDE/>
        <w:autoSpaceDN/>
        <w:adjustRightInd/>
        <w:spacing w:line="276" w:lineRule="auto"/>
        <w:jc w:val="both"/>
        <w:textAlignment w:val="auto"/>
        <w:rPr>
          <w:rFonts w:asciiTheme="minorHAnsi" w:hAnsiTheme="minorHAnsi" w:cstheme="minorHAnsi"/>
          <w:sz w:val="22"/>
          <w:szCs w:val="22"/>
        </w:rPr>
      </w:pPr>
    </w:p>
    <w:p w14:paraId="6ABE4466" w14:textId="1B4588CA" w:rsidR="00595D1A" w:rsidRDefault="00595D1A" w:rsidP="00595D1A">
      <w:pPr>
        <w:overflowPunct/>
        <w:autoSpaceDE/>
        <w:autoSpaceDN/>
        <w:adjustRightInd/>
        <w:spacing w:line="276" w:lineRule="auto"/>
        <w:jc w:val="both"/>
        <w:textAlignment w:val="auto"/>
        <w:rPr>
          <w:rFonts w:asciiTheme="minorHAnsi" w:hAnsiTheme="minorHAnsi" w:cstheme="minorHAnsi"/>
          <w:sz w:val="22"/>
          <w:szCs w:val="22"/>
        </w:rPr>
      </w:pPr>
      <w:r w:rsidRPr="00595D1A">
        <w:rPr>
          <w:rFonts w:asciiTheme="minorHAnsi" w:hAnsiTheme="minorHAnsi" w:cstheme="minorHAnsi"/>
          <w:sz w:val="22"/>
          <w:szCs w:val="22"/>
        </w:rPr>
        <w:t xml:space="preserve">Au vu du partenariat signé avec Baxter en juillet 2023 et l’étude clinique IONIC ( CHU Lille- Baxter-Dim3) en son ultime phase de </w:t>
      </w:r>
      <w:r w:rsidR="00506D38">
        <w:rPr>
          <w:rFonts w:asciiTheme="minorHAnsi" w:hAnsiTheme="minorHAnsi" w:cstheme="minorHAnsi"/>
          <w:sz w:val="22"/>
          <w:szCs w:val="22"/>
        </w:rPr>
        <w:t xml:space="preserve">lancement, </w:t>
      </w:r>
      <w:r w:rsidRPr="00595D1A">
        <w:rPr>
          <w:rFonts w:asciiTheme="minorHAnsi" w:hAnsiTheme="minorHAnsi" w:cstheme="minorHAnsi"/>
          <w:sz w:val="22"/>
          <w:szCs w:val="22"/>
        </w:rPr>
        <w:t xml:space="preserve">les actionnaires </w:t>
      </w:r>
      <w:r>
        <w:rPr>
          <w:rFonts w:asciiTheme="minorHAnsi" w:hAnsiTheme="minorHAnsi" w:cstheme="minorHAnsi"/>
          <w:sz w:val="22"/>
          <w:szCs w:val="22"/>
        </w:rPr>
        <w:t xml:space="preserve">privés de référence </w:t>
      </w:r>
      <w:r w:rsidRPr="00595D1A">
        <w:rPr>
          <w:rFonts w:asciiTheme="minorHAnsi" w:hAnsiTheme="minorHAnsi" w:cstheme="minorHAnsi"/>
          <w:sz w:val="22"/>
          <w:szCs w:val="22"/>
        </w:rPr>
        <w:t xml:space="preserve">Newton et Victor Invest ont encore effectué plusieurs prêts convertible, en octobre 2022, février 2023 et juillet 2023 pour un montant total en capital de 1,3 M€. Ces deux actionnaires </w:t>
      </w:r>
      <w:r>
        <w:rPr>
          <w:rFonts w:asciiTheme="minorHAnsi" w:hAnsiTheme="minorHAnsi" w:cstheme="minorHAnsi"/>
          <w:sz w:val="22"/>
          <w:szCs w:val="22"/>
        </w:rPr>
        <w:t>soutiennent l’entreprise quant à son avenir. Ils s</w:t>
      </w:r>
      <w:r w:rsidRPr="00595D1A">
        <w:rPr>
          <w:rFonts w:asciiTheme="minorHAnsi" w:hAnsiTheme="minorHAnsi" w:cstheme="minorHAnsi"/>
          <w:sz w:val="22"/>
          <w:szCs w:val="22"/>
        </w:rPr>
        <w:t xml:space="preserve">ouhaitent convertir </w:t>
      </w:r>
      <w:r>
        <w:rPr>
          <w:rFonts w:asciiTheme="minorHAnsi" w:hAnsiTheme="minorHAnsi" w:cstheme="minorHAnsi"/>
          <w:sz w:val="22"/>
          <w:szCs w:val="22"/>
        </w:rPr>
        <w:t>leurs</w:t>
      </w:r>
      <w:r w:rsidRPr="00595D1A">
        <w:rPr>
          <w:rFonts w:asciiTheme="minorHAnsi" w:hAnsiTheme="minorHAnsi" w:cstheme="minorHAnsi"/>
          <w:sz w:val="22"/>
          <w:szCs w:val="22"/>
        </w:rPr>
        <w:t xml:space="preserve"> prêts en capital </w:t>
      </w:r>
      <w:r>
        <w:rPr>
          <w:rFonts w:asciiTheme="minorHAnsi" w:hAnsiTheme="minorHAnsi" w:cstheme="minorHAnsi"/>
          <w:sz w:val="22"/>
          <w:szCs w:val="22"/>
        </w:rPr>
        <w:t xml:space="preserve">afin de renforcer les fonds propres de l’entreprise </w:t>
      </w:r>
      <w:r w:rsidRPr="00595D1A">
        <w:rPr>
          <w:rFonts w:asciiTheme="minorHAnsi" w:hAnsiTheme="minorHAnsi" w:cstheme="minorHAnsi"/>
          <w:sz w:val="22"/>
          <w:szCs w:val="22"/>
        </w:rPr>
        <w:t xml:space="preserve">et à suivre Wallonie Entreprendre lors des deux premiers </w:t>
      </w:r>
      <w:r w:rsidR="00506D38" w:rsidRPr="00595D1A">
        <w:rPr>
          <w:rFonts w:asciiTheme="minorHAnsi" w:hAnsiTheme="minorHAnsi" w:cstheme="minorHAnsi"/>
          <w:sz w:val="22"/>
          <w:szCs w:val="22"/>
        </w:rPr>
        <w:t>Milestone</w:t>
      </w:r>
      <w:r w:rsidRPr="00595D1A">
        <w:rPr>
          <w:rFonts w:asciiTheme="minorHAnsi" w:hAnsiTheme="minorHAnsi" w:cstheme="minorHAnsi"/>
          <w:sz w:val="22"/>
          <w:szCs w:val="22"/>
        </w:rPr>
        <w:t xml:space="preserve"> définis. </w:t>
      </w:r>
    </w:p>
    <w:p w14:paraId="46DCC57B" w14:textId="77777777" w:rsidR="00506D38" w:rsidRDefault="00506D38" w:rsidP="00595D1A">
      <w:pPr>
        <w:overflowPunct/>
        <w:autoSpaceDE/>
        <w:autoSpaceDN/>
        <w:adjustRightInd/>
        <w:spacing w:line="276" w:lineRule="auto"/>
        <w:jc w:val="both"/>
        <w:textAlignment w:val="auto"/>
        <w:rPr>
          <w:rFonts w:asciiTheme="minorHAnsi" w:hAnsiTheme="minorHAnsi" w:cstheme="minorHAnsi"/>
          <w:sz w:val="22"/>
          <w:szCs w:val="22"/>
        </w:rPr>
      </w:pPr>
    </w:p>
    <w:p w14:paraId="38292201" w14:textId="12B07D0D" w:rsidR="00506D38" w:rsidRPr="00595D1A" w:rsidRDefault="00506D38" w:rsidP="00595D1A">
      <w:pPr>
        <w:overflowPunct/>
        <w:autoSpaceDE/>
        <w:autoSpaceDN/>
        <w:adjustRightInd/>
        <w:spacing w:line="276" w:lineRule="auto"/>
        <w:jc w:val="both"/>
        <w:textAlignment w:val="auto"/>
        <w:rPr>
          <w:rFonts w:asciiTheme="minorHAnsi" w:hAnsiTheme="minorHAnsi" w:cstheme="minorHAnsi"/>
          <w:sz w:val="22"/>
          <w:szCs w:val="22"/>
        </w:rPr>
      </w:pPr>
      <w:r>
        <w:rPr>
          <w:rFonts w:asciiTheme="minorHAnsi" w:hAnsiTheme="minorHAnsi" w:cstheme="minorHAnsi"/>
          <w:sz w:val="22"/>
          <w:szCs w:val="22"/>
        </w:rPr>
        <w:t xml:space="preserve">Il y a 12 ETP chez DIM3 avec une extension vers une dizaine de sociétés </w:t>
      </w:r>
      <w:proofErr w:type="spellStart"/>
      <w:r>
        <w:rPr>
          <w:rFonts w:asciiTheme="minorHAnsi" w:hAnsiTheme="minorHAnsi" w:cstheme="minorHAnsi"/>
          <w:sz w:val="22"/>
          <w:szCs w:val="22"/>
        </w:rPr>
        <w:t>soutraitantes</w:t>
      </w:r>
      <w:proofErr w:type="spellEnd"/>
      <w:r>
        <w:rPr>
          <w:rFonts w:asciiTheme="minorHAnsi" w:hAnsiTheme="minorHAnsi" w:cstheme="minorHAnsi"/>
          <w:sz w:val="22"/>
          <w:szCs w:val="22"/>
        </w:rPr>
        <w:t xml:space="preserve"> estimée à 6 ETP </w:t>
      </w:r>
    </w:p>
    <w:p w14:paraId="26ABAE1D" w14:textId="77777777" w:rsidR="008631CA" w:rsidRDefault="008631CA">
      <w:pPr>
        <w:rPr>
          <w:rFonts w:asciiTheme="minorHAnsi" w:hAnsiTheme="minorHAnsi" w:cstheme="minorHAnsi"/>
          <w:sz w:val="22"/>
          <w:szCs w:val="22"/>
          <w:u w:val="single"/>
        </w:rPr>
      </w:pPr>
    </w:p>
    <w:p w14:paraId="60A5DF28" w14:textId="2E649457" w:rsidR="008631CA" w:rsidRPr="00506D38" w:rsidRDefault="008631CA" w:rsidP="00506D38">
      <w:pPr>
        <w:pStyle w:val="ListParagraph"/>
        <w:numPr>
          <w:ilvl w:val="0"/>
          <w:numId w:val="5"/>
        </w:numPr>
        <w:rPr>
          <w:rFonts w:asciiTheme="minorHAnsi" w:hAnsiTheme="minorHAnsi" w:cstheme="minorHAnsi"/>
          <w:b/>
          <w:bCs/>
          <w:sz w:val="22"/>
          <w:szCs w:val="22"/>
          <w:u w:val="single"/>
        </w:rPr>
      </w:pPr>
      <w:r w:rsidRPr="008636B1">
        <w:rPr>
          <w:rFonts w:asciiTheme="minorHAnsi" w:hAnsiTheme="minorHAnsi" w:cstheme="minorHAnsi"/>
          <w:b/>
          <w:bCs/>
          <w:sz w:val="22"/>
          <w:szCs w:val="22"/>
          <w:u w:val="single"/>
        </w:rPr>
        <w:t>Demande</w:t>
      </w:r>
    </w:p>
    <w:p w14:paraId="566EF871" w14:textId="77777777" w:rsidR="008631CA" w:rsidRDefault="00595D1A">
      <w:pPr>
        <w:rPr>
          <w:rFonts w:asciiTheme="minorHAnsi" w:hAnsiTheme="minorHAnsi" w:cstheme="minorHAnsi"/>
          <w:sz w:val="22"/>
          <w:szCs w:val="22"/>
        </w:rPr>
      </w:pPr>
      <w:r w:rsidRPr="00595D1A">
        <w:rPr>
          <w:rFonts w:asciiTheme="minorHAnsi" w:hAnsiTheme="minorHAnsi" w:cstheme="minorHAnsi"/>
          <w:sz w:val="22"/>
          <w:szCs w:val="22"/>
        </w:rPr>
        <w:t>Tant les</w:t>
      </w:r>
      <w:r>
        <w:rPr>
          <w:rFonts w:asciiTheme="minorHAnsi" w:hAnsiTheme="minorHAnsi" w:cstheme="minorHAnsi"/>
          <w:sz w:val="22"/>
          <w:szCs w:val="22"/>
        </w:rPr>
        <w:t xml:space="preserve"> </w:t>
      </w:r>
      <w:r w:rsidRPr="00595D1A">
        <w:rPr>
          <w:rFonts w:asciiTheme="minorHAnsi" w:hAnsiTheme="minorHAnsi" w:cstheme="minorHAnsi"/>
          <w:sz w:val="22"/>
          <w:szCs w:val="22"/>
        </w:rPr>
        <w:t>r</w:t>
      </w:r>
      <w:r>
        <w:rPr>
          <w:rFonts w:asciiTheme="minorHAnsi" w:hAnsiTheme="minorHAnsi" w:cstheme="minorHAnsi"/>
          <w:sz w:val="22"/>
          <w:szCs w:val="22"/>
        </w:rPr>
        <w:t>é</w:t>
      </w:r>
      <w:r w:rsidRPr="00595D1A">
        <w:rPr>
          <w:rFonts w:asciiTheme="minorHAnsi" w:hAnsiTheme="minorHAnsi" w:cstheme="minorHAnsi"/>
          <w:sz w:val="22"/>
          <w:szCs w:val="22"/>
        </w:rPr>
        <w:t>sul</w:t>
      </w:r>
      <w:r>
        <w:rPr>
          <w:rFonts w:asciiTheme="minorHAnsi" w:hAnsiTheme="minorHAnsi" w:cstheme="minorHAnsi"/>
          <w:sz w:val="22"/>
          <w:szCs w:val="22"/>
        </w:rPr>
        <w:t>t</w:t>
      </w:r>
      <w:r w:rsidRPr="00595D1A">
        <w:rPr>
          <w:rFonts w:asciiTheme="minorHAnsi" w:hAnsiTheme="minorHAnsi" w:cstheme="minorHAnsi"/>
          <w:sz w:val="22"/>
          <w:szCs w:val="22"/>
        </w:rPr>
        <w:t>ats de l’étude clin</w:t>
      </w:r>
      <w:r w:rsidR="008636B1">
        <w:rPr>
          <w:rFonts w:asciiTheme="minorHAnsi" w:hAnsiTheme="minorHAnsi" w:cstheme="minorHAnsi"/>
          <w:sz w:val="22"/>
          <w:szCs w:val="22"/>
        </w:rPr>
        <w:t>i</w:t>
      </w:r>
      <w:r w:rsidRPr="00595D1A">
        <w:rPr>
          <w:rFonts w:asciiTheme="minorHAnsi" w:hAnsiTheme="minorHAnsi" w:cstheme="minorHAnsi"/>
          <w:sz w:val="22"/>
          <w:szCs w:val="22"/>
        </w:rPr>
        <w:t>que que l’aboutiss</w:t>
      </w:r>
      <w:r>
        <w:rPr>
          <w:rFonts w:asciiTheme="minorHAnsi" w:hAnsiTheme="minorHAnsi" w:cstheme="minorHAnsi"/>
          <w:sz w:val="22"/>
          <w:szCs w:val="22"/>
        </w:rPr>
        <w:t>e</w:t>
      </w:r>
      <w:r w:rsidRPr="00595D1A">
        <w:rPr>
          <w:rFonts w:asciiTheme="minorHAnsi" w:hAnsiTheme="minorHAnsi" w:cstheme="minorHAnsi"/>
          <w:sz w:val="22"/>
          <w:szCs w:val="22"/>
        </w:rPr>
        <w:t>ment de la réalis</w:t>
      </w:r>
      <w:r>
        <w:rPr>
          <w:rFonts w:asciiTheme="minorHAnsi" w:hAnsiTheme="minorHAnsi" w:cstheme="minorHAnsi"/>
          <w:sz w:val="22"/>
          <w:szCs w:val="22"/>
        </w:rPr>
        <w:t>ation</w:t>
      </w:r>
      <w:r w:rsidRPr="00595D1A">
        <w:rPr>
          <w:rFonts w:asciiTheme="minorHAnsi" w:hAnsiTheme="minorHAnsi" w:cstheme="minorHAnsi"/>
          <w:sz w:val="22"/>
          <w:szCs w:val="22"/>
        </w:rPr>
        <w:t xml:space="preserve"> des phase pilotes en h</w:t>
      </w:r>
      <w:r>
        <w:rPr>
          <w:rFonts w:asciiTheme="minorHAnsi" w:hAnsiTheme="minorHAnsi" w:cstheme="minorHAnsi"/>
          <w:sz w:val="22"/>
          <w:szCs w:val="22"/>
        </w:rPr>
        <w:t>ô</w:t>
      </w:r>
      <w:r w:rsidRPr="00595D1A">
        <w:rPr>
          <w:rFonts w:asciiTheme="minorHAnsi" w:hAnsiTheme="minorHAnsi" w:cstheme="minorHAnsi"/>
          <w:sz w:val="22"/>
          <w:szCs w:val="22"/>
        </w:rPr>
        <w:t xml:space="preserve">pital </w:t>
      </w:r>
      <w:r>
        <w:rPr>
          <w:rFonts w:asciiTheme="minorHAnsi" w:hAnsiTheme="minorHAnsi" w:cstheme="minorHAnsi"/>
          <w:sz w:val="22"/>
          <w:szCs w:val="22"/>
        </w:rPr>
        <w:t>s</w:t>
      </w:r>
      <w:r w:rsidRPr="00595D1A">
        <w:rPr>
          <w:rFonts w:asciiTheme="minorHAnsi" w:hAnsiTheme="minorHAnsi" w:cstheme="minorHAnsi"/>
          <w:sz w:val="22"/>
          <w:szCs w:val="22"/>
        </w:rPr>
        <w:t>e terminer</w:t>
      </w:r>
      <w:r>
        <w:rPr>
          <w:rFonts w:asciiTheme="minorHAnsi" w:hAnsiTheme="minorHAnsi" w:cstheme="minorHAnsi"/>
          <w:sz w:val="22"/>
          <w:szCs w:val="22"/>
        </w:rPr>
        <w:t>o</w:t>
      </w:r>
      <w:r w:rsidRPr="00595D1A">
        <w:rPr>
          <w:rFonts w:asciiTheme="minorHAnsi" w:hAnsiTheme="minorHAnsi" w:cstheme="minorHAnsi"/>
          <w:sz w:val="22"/>
          <w:szCs w:val="22"/>
        </w:rPr>
        <w:t xml:space="preserve">nt </w:t>
      </w:r>
      <w:r>
        <w:rPr>
          <w:rFonts w:asciiTheme="minorHAnsi" w:hAnsiTheme="minorHAnsi" w:cstheme="minorHAnsi"/>
          <w:sz w:val="22"/>
          <w:szCs w:val="22"/>
        </w:rPr>
        <w:t>en 2025. Cela indique un début de commercialisation pendant cette même année 2025. Dim3 a donc besoin d’un apport en capital pour soutenir ses  développements et les déploiements produits et services  pendant 2024 et 2025, avant de pouvoir arriver à l’équilibre fin 2025.</w:t>
      </w:r>
    </w:p>
    <w:p w14:paraId="7A3DEB00" w14:textId="77777777" w:rsidR="008636B1" w:rsidRDefault="008636B1">
      <w:pPr>
        <w:rPr>
          <w:rFonts w:asciiTheme="minorHAnsi" w:hAnsiTheme="minorHAnsi" w:cstheme="minorHAnsi"/>
          <w:sz w:val="22"/>
          <w:szCs w:val="22"/>
        </w:rPr>
      </w:pPr>
    </w:p>
    <w:p w14:paraId="346D6B0B" w14:textId="77777777" w:rsidR="008636B1" w:rsidRDefault="008636B1">
      <w:pPr>
        <w:rPr>
          <w:rFonts w:asciiTheme="minorHAnsi" w:hAnsiTheme="minorHAnsi" w:cstheme="minorHAnsi"/>
          <w:sz w:val="22"/>
          <w:szCs w:val="22"/>
        </w:rPr>
      </w:pPr>
      <w:r>
        <w:rPr>
          <w:rFonts w:asciiTheme="minorHAnsi" w:hAnsiTheme="minorHAnsi" w:cstheme="minorHAnsi"/>
          <w:sz w:val="22"/>
          <w:szCs w:val="22"/>
        </w:rPr>
        <w:t xml:space="preserve">Le plan d’augmentation de capital se déploie en cinq  étapes et, à l’exception de février 24, s’articule sur base de </w:t>
      </w:r>
      <w:proofErr w:type="spellStart"/>
      <w:r>
        <w:rPr>
          <w:rFonts w:asciiTheme="minorHAnsi" w:hAnsiTheme="minorHAnsi" w:cstheme="minorHAnsi"/>
          <w:sz w:val="22"/>
          <w:szCs w:val="22"/>
        </w:rPr>
        <w:t>milestones</w:t>
      </w:r>
      <w:proofErr w:type="spellEnd"/>
      <w:r>
        <w:rPr>
          <w:rFonts w:asciiTheme="minorHAnsi" w:hAnsiTheme="minorHAnsi" w:cstheme="minorHAnsi"/>
          <w:sz w:val="22"/>
          <w:szCs w:val="22"/>
        </w:rPr>
        <w:t xml:space="preserve"> à atteindre en terme de résultats tant pour l’étude clinque que pour l’implémentation au sein des hôpitaux pilotes, définis avec la société Baxter.</w:t>
      </w:r>
    </w:p>
    <w:p w14:paraId="64B04B34" w14:textId="77777777" w:rsidR="008636B1" w:rsidRDefault="008636B1">
      <w:pPr>
        <w:rPr>
          <w:rFonts w:asciiTheme="minorHAnsi" w:hAnsiTheme="minorHAnsi" w:cstheme="minorHAnsi"/>
          <w:sz w:val="22"/>
          <w:szCs w:val="22"/>
        </w:rPr>
      </w:pPr>
    </w:p>
    <w:p w14:paraId="5A41EB4C" w14:textId="77777777" w:rsidR="008636B1" w:rsidRDefault="008636B1">
      <w:pPr>
        <w:rPr>
          <w:rFonts w:asciiTheme="minorHAnsi" w:hAnsiTheme="minorHAnsi" w:cstheme="minorHAnsi"/>
          <w:sz w:val="22"/>
          <w:szCs w:val="22"/>
        </w:rPr>
      </w:pPr>
      <w:r>
        <w:rPr>
          <w:rFonts w:asciiTheme="minorHAnsi" w:hAnsiTheme="minorHAnsi" w:cstheme="minorHAnsi"/>
          <w:sz w:val="22"/>
          <w:szCs w:val="22"/>
        </w:rPr>
        <w:t>La demande s’articule donc :</w:t>
      </w:r>
    </w:p>
    <w:p w14:paraId="2DECA18C" w14:textId="77777777" w:rsidR="008636B1" w:rsidRDefault="008636B1" w:rsidP="008636B1">
      <w:pPr>
        <w:pStyle w:val="ListParagraph"/>
        <w:numPr>
          <w:ilvl w:val="0"/>
          <w:numId w:val="3"/>
        </w:numPr>
        <w:ind w:right="-284"/>
        <w:rPr>
          <w:rFonts w:asciiTheme="minorHAnsi" w:hAnsiTheme="minorHAnsi" w:cstheme="minorHAnsi"/>
          <w:sz w:val="22"/>
          <w:szCs w:val="22"/>
        </w:rPr>
      </w:pPr>
      <w:r>
        <w:rPr>
          <w:rFonts w:asciiTheme="minorHAnsi" w:hAnsiTheme="minorHAnsi" w:cstheme="minorHAnsi"/>
          <w:sz w:val="22"/>
          <w:szCs w:val="22"/>
        </w:rPr>
        <w:t>Valider le principe de l’augmentation globale de 5M€ dont 2,5M€ pour Wallonie Entreprendre.</w:t>
      </w:r>
    </w:p>
    <w:p w14:paraId="69FE30A7" w14:textId="77777777" w:rsidR="008636B1" w:rsidRDefault="008636B1" w:rsidP="008636B1">
      <w:pPr>
        <w:pStyle w:val="ListParagraph"/>
        <w:numPr>
          <w:ilvl w:val="0"/>
          <w:numId w:val="3"/>
        </w:numPr>
        <w:rPr>
          <w:rFonts w:asciiTheme="minorHAnsi" w:hAnsiTheme="minorHAnsi" w:cstheme="minorHAnsi"/>
          <w:sz w:val="22"/>
          <w:szCs w:val="22"/>
        </w:rPr>
      </w:pPr>
      <w:r>
        <w:rPr>
          <w:rFonts w:asciiTheme="minorHAnsi" w:hAnsiTheme="minorHAnsi" w:cstheme="minorHAnsi"/>
          <w:sz w:val="22"/>
          <w:szCs w:val="22"/>
        </w:rPr>
        <w:t>Chaque tranche de 1€ public est en rapport avec 1€ privé minimum</w:t>
      </w:r>
    </w:p>
    <w:p w14:paraId="579D6ABB" w14:textId="77777777" w:rsidR="008636B1" w:rsidRDefault="008636B1" w:rsidP="008636B1">
      <w:pPr>
        <w:pStyle w:val="ListParagraph"/>
        <w:numPr>
          <w:ilvl w:val="0"/>
          <w:numId w:val="3"/>
        </w:numPr>
        <w:rPr>
          <w:rFonts w:asciiTheme="minorHAnsi" w:hAnsiTheme="minorHAnsi" w:cstheme="minorHAnsi"/>
          <w:sz w:val="22"/>
          <w:szCs w:val="22"/>
        </w:rPr>
      </w:pPr>
      <w:r>
        <w:rPr>
          <w:rFonts w:asciiTheme="minorHAnsi" w:hAnsiTheme="minorHAnsi" w:cstheme="minorHAnsi"/>
          <w:sz w:val="22"/>
          <w:szCs w:val="22"/>
        </w:rPr>
        <w:t>Assurer déjà la tranche de février 24500k€, sachant que l’accord préalable de 500 k€ privé est déjà obtenu.</w:t>
      </w:r>
    </w:p>
    <w:p w14:paraId="3D3C56F0" w14:textId="77777777" w:rsidR="00045D2D" w:rsidRDefault="00045D2D" w:rsidP="008636B1">
      <w:pPr>
        <w:pStyle w:val="ListParagraph"/>
        <w:numPr>
          <w:ilvl w:val="0"/>
          <w:numId w:val="3"/>
        </w:numPr>
        <w:rPr>
          <w:rFonts w:asciiTheme="minorHAnsi" w:hAnsiTheme="minorHAnsi" w:cstheme="minorHAnsi"/>
          <w:sz w:val="22"/>
          <w:szCs w:val="22"/>
        </w:rPr>
      </w:pPr>
    </w:p>
    <w:p w14:paraId="0C7E4834" w14:textId="77777777" w:rsidR="00506D38" w:rsidRPr="00506D38" w:rsidRDefault="00506D38" w:rsidP="00506D38">
      <w:pPr>
        <w:pStyle w:val="ListParagraph"/>
        <w:numPr>
          <w:ilvl w:val="0"/>
          <w:numId w:val="5"/>
        </w:numPr>
        <w:rPr>
          <w:rFonts w:asciiTheme="minorHAnsi" w:hAnsiTheme="minorHAnsi" w:cstheme="minorHAnsi"/>
          <w:b/>
          <w:bCs/>
          <w:sz w:val="22"/>
          <w:szCs w:val="22"/>
          <w:u w:val="single"/>
        </w:rPr>
      </w:pPr>
      <w:r w:rsidRPr="00506D38">
        <w:rPr>
          <w:rFonts w:asciiTheme="minorHAnsi" w:hAnsiTheme="minorHAnsi" w:cstheme="minorHAnsi"/>
          <w:b/>
          <w:bCs/>
          <w:sz w:val="22"/>
          <w:szCs w:val="22"/>
          <w:u w:val="single"/>
        </w:rPr>
        <w:t xml:space="preserve">Statut demande. </w:t>
      </w:r>
    </w:p>
    <w:p w14:paraId="7947CDEE" w14:textId="77777777" w:rsidR="00506D38" w:rsidRDefault="00506D38" w:rsidP="00506D38">
      <w:pPr>
        <w:pStyle w:val="ListParagraph"/>
        <w:ind w:left="1440"/>
        <w:rPr>
          <w:rFonts w:asciiTheme="minorHAnsi" w:hAnsiTheme="minorHAnsi" w:cstheme="minorHAnsi"/>
          <w:sz w:val="22"/>
          <w:szCs w:val="22"/>
        </w:rPr>
      </w:pPr>
    </w:p>
    <w:p w14:paraId="1A1DB186" w14:textId="3141E54F" w:rsidR="00506D38" w:rsidRDefault="00506D38" w:rsidP="00506D38">
      <w:pPr>
        <w:pStyle w:val="ListParagraph"/>
        <w:ind w:left="1440"/>
        <w:rPr>
          <w:rFonts w:asciiTheme="minorHAnsi" w:hAnsiTheme="minorHAnsi" w:cstheme="minorHAnsi"/>
          <w:sz w:val="22"/>
          <w:szCs w:val="22"/>
        </w:rPr>
      </w:pPr>
      <w:r>
        <w:rPr>
          <w:rFonts w:asciiTheme="minorHAnsi" w:hAnsiTheme="minorHAnsi" w:cstheme="minorHAnsi"/>
          <w:sz w:val="22"/>
          <w:szCs w:val="22"/>
        </w:rPr>
        <w:t xml:space="preserve">Une tranche de 500 K serait acceptable par WE. </w:t>
      </w:r>
    </w:p>
    <w:p w14:paraId="2487275E" w14:textId="77777777" w:rsidR="00506D38" w:rsidRPr="00506D38" w:rsidRDefault="00506D38" w:rsidP="00506D38">
      <w:pPr>
        <w:ind w:left="1080"/>
        <w:rPr>
          <w:rFonts w:asciiTheme="minorHAnsi" w:hAnsiTheme="minorHAnsi" w:cstheme="minorHAnsi"/>
          <w:sz w:val="22"/>
          <w:szCs w:val="22"/>
        </w:rPr>
      </w:pPr>
    </w:p>
    <w:p w14:paraId="4D146FA2" w14:textId="77777777" w:rsidR="008636B1" w:rsidRDefault="008636B1">
      <w:pPr>
        <w:rPr>
          <w:rFonts w:asciiTheme="minorHAnsi" w:hAnsiTheme="minorHAnsi" w:cstheme="minorHAnsi"/>
          <w:sz w:val="22"/>
          <w:szCs w:val="22"/>
        </w:rPr>
      </w:pPr>
    </w:p>
    <w:p w14:paraId="635E8CF3" w14:textId="77777777" w:rsidR="008636B1" w:rsidRPr="008636B1" w:rsidRDefault="008636B1">
      <w:pPr>
        <w:rPr>
          <w:rFonts w:asciiTheme="minorHAnsi" w:hAnsiTheme="minorHAnsi" w:cstheme="minorHAnsi"/>
          <w:sz w:val="22"/>
          <w:szCs w:val="22"/>
        </w:rPr>
      </w:pPr>
    </w:p>
    <w:sectPr w:rsidR="008636B1" w:rsidRPr="008636B1" w:rsidSect="00D11D74">
      <w:pgSz w:w="11906" w:h="16838"/>
      <w:pgMar w:top="675"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607D7" w14:textId="77777777" w:rsidR="00D11D74" w:rsidRDefault="00D11D74" w:rsidP="00595D1A">
      <w:r>
        <w:separator/>
      </w:r>
    </w:p>
  </w:endnote>
  <w:endnote w:type="continuationSeparator" w:id="0">
    <w:p w14:paraId="2543B627" w14:textId="77777777" w:rsidR="00D11D74" w:rsidRDefault="00D11D74" w:rsidP="00595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1FF04" w14:textId="77777777" w:rsidR="00D11D74" w:rsidRDefault="00D11D74" w:rsidP="00595D1A">
      <w:r>
        <w:separator/>
      </w:r>
    </w:p>
  </w:footnote>
  <w:footnote w:type="continuationSeparator" w:id="0">
    <w:p w14:paraId="19569CE7" w14:textId="77777777" w:rsidR="00D11D74" w:rsidRDefault="00D11D74" w:rsidP="00595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7DF2"/>
    <w:multiLevelType w:val="hybridMultilevel"/>
    <w:tmpl w:val="86CCAF7C"/>
    <w:lvl w:ilvl="0" w:tplc="A0D0CCF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8110AA"/>
    <w:multiLevelType w:val="hybridMultilevel"/>
    <w:tmpl w:val="E1F2ACB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2F5C0C94"/>
    <w:multiLevelType w:val="hybridMultilevel"/>
    <w:tmpl w:val="61A2E1E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49F04AAD"/>
    <w:multiLevelType w:val="hybridMultilevel"/>
    <w:tmpl w:val="20607A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FAE3258"/>
    <w:multiLevelType w:val="hybridMultilevel"/>
    <w:tmpl w:val="52B0ACF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967781741">
    <w:abstractNumId w:val="4"/>
  </w:num>
  <w:num w:numId="2" w16cid:durableId="1873226335">
    <w:abstractNumId w:val="1"/>
  </w:num>
  <w:num w:numId="3" w16cid:durableId="1517422050">
    <w:abstractNumId w:val="0"/>
  </w:num>
  <w:num w:numId="4" w16cid:durableId="1705518430">
    <w:abstractNumId w:val="3"/>
  </w:num>
  <w:num w:numId="5" w16cid:durableId="172961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EE"/>
    <w:rsid w:val="00045D2D"/>
    <w:rsid w:val="001369EE"/>
    <w:rsid w:val="003E0132"/>
    <w:rsid w:val="00506D38"/>
    <w:rsid w:val="00595D1A"/>
    <w:rsid w:val="007D7844"/>
    <w:rsid w:val="008631CA"/>
    <w:rsid w:val="008636B1"/>
    <w:rsid w:val="008F7720"/>
    <w:rsid w:val="00CC5D19"/>
    <w:rsid w:val="00D11D74"/>
    <w:rsid w:val="00EB0E32"/>
    <w:rsid w:val="00F21CD4"/>
  </w:rsids>
  <m:mathPr>
    <m:mathFont m:val="Cambria Math"/>
    <m:brkBin m:val="before"/>
    <m:brkBinSub m:val="--"/>
    <m:smallFrac m:val="0"/>
    <m:dispDef/>
    <m:lMargin m:val="0"/>
    <m:rMargin m:val="0"/>
    <m:defJc m:val="centerGroup"/>
    <m:wrapIndent m:val="1440"/>
    <m:intLim m:val="subSup"/>
    <m:naryLim m:val="undOvr"/>
  </m:mathPr>
  <w:themeFontLang w:val="fr-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C5AC9AF"/>
  <w15:chartTrackingRefBased/>
  <w15:docId w15:val="{D0537EBE-B3B6-5843-BF74-4D720E3F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1CA"/>
    <w:pPr>
      <w:overflowPunct w:val="0"/>
      <w:autoSpaceDE w:val="0"/>
      <w:autoSpaceDN w:val="0"/>
      <w:adjustRightInd w:val="0"/>
      <w:textAlignment w:val="baseline"/>
    </w:pPr>
    <w:rPr>
      <w:rFonts w:ascii="Times New Roman" w:eastAsia="Times New Roman" w:hAnsi="Times New Roman" w:cs="Times New Roman"/>
      <w:kern w:val="0"/>
      <w:sz w:val="20"/>
      <w:szCs w:val="20"/>
      <w:lang w:eastAsia="fr-F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epardfaut">
    <w:name w:val="Texte par défaut"/>
    <w:basedOn w:val="Normal"/>
    <w:rsid w:val="008631CA"/>
    <w:rPr>
      <w:sz w:val="24"/>
      <w:szCs w:val="24"/>
    </w:rPr>
  </w:style>
  <w:style w:type="paragraph" w:styleId="FootnoteText">
    <w:name w:val="footnote text"/>
    <w:basedOn w:val="Normal"/>
    <w:link w:val="FootnoteTextChar"/>
    <w:uiPriority w:val="99"/>
    <w:rsid w:val="00595D1A"/>
  </w:style>
  <w:style w:type="character" w:customStyle="1" w:styleId="FootnoteTextChar">
    <w:name w:val="Footnote Text Char"/>
    <w:basedOn w:val="DefaultParagraphFont"/>
    <w:link w:val="FootnoteText"/>
    <w:uiPriority w:val="99"/>
    <w:rsid w:val="00595D1A"/>
    <w:rPr>
      <w:rFonts w:ascii="Times New Roman" w:eastAsia="Times New Roman" w:hAnsi="Times New Roman" w:cs="Times New Roman"/>
      <w:kern w:val="0"/>
      <w:sz w:val="20"/>
      <w:szCs w:val="20"/>
      <w:lang w:eastAsia="fr-FR"/>
      <w14:ligatures w14:val="none"/>
    </w:rPr>
  </w:style>
  <w:style w:type="character" w:styleId="FootnoteReference">
    <w:name w:val="footnote reference"/>
    <w:uiPriority w:val="99"/>
    <w:rsid w:val="00595D1A"/>
    <w:rPr>
      <w:vertAlign w:val="superscript"/>
    </w:rPr>
  </w:style>
  <w:style w:type="paragraph" w:styleId="ListParagraph">
    <w:name w:val="List Paragraph"/>
    <w:basedOn w:val="Normal"/>
    <w:link w:val="ListParagraphChar"/>
    <w:uiPriority w:val="34"/>
    <w:qFormat/>
    <w:rsid w:val="00595D1A"/>
    <w:pPr>
      <w:ind w:left="720"/>
      <w:contextualSpacing/>
    </w:pPr>
  </w:style>
  <w:style w:type="character" w:customStyle="1" w:styleId="ListParagraphChar">
    <w:name w:val="List Paragraph Char"/>
    <w:link w:val="ListParagraph"/>
    <w:uiPriority w:val="34"/>
    <w:locked/>
    <w:rsid w:val="00595D1A"/>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19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2018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Lallemand</dc:creator>
  <cp:keywords/>
  <dc:description/>
  <cp:lastModifiedBy>Jean Claude havaux</cp:lastModifiedBy>
  <cp:revision>3</cp:revision>
  <dcterms:created xsi:type="dcterms:W3CDTF">2024-02-16T09:55:00Z</dcterms:created>
  <dcterms:modified xsi:type="dcterms:W3CDTF">2024-02-16T09:55:00Z</dcterms:modified>
</cp:coreProperties>
</file>