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21BD64" w14:textId="77777777" w:rsidR="00D44A8E" w:rsidRPr="00D44A8E" w:rsidRDefault="00D44A8E" w:rsidP="00D44A8E">
      <w:pPr>
        <w:jc w:val="center"/>
        <w:rPr>
          <w:b/>
          <w:bCs/>
          <w:lang w:val="fr-FR"/>
        </w:rPr>
      </w:pPr>
      <w:r w:rsidRPr="00D44A8E">
        <w:rPr>
          <w:b/>
          <w:bCs/>
          <w:lang w:val="fr-FR"/>
        </w:rPr>
        <w:t>NUTROW</w:t>
      </w:r>
    </w:p>
    <w:p w14:paraId="24318ECE" w14:textId="189A20D1" w:rsidR="00D44A8E" w:rsidRPr="00D44A8E" w:rsidRDefault="00D44A8E" w:rsidP="00D44A8E">
      <w:pPr>
        <w:jc w:val="center"/>
        <w:rPr>
          <w:b/>
          <w:bCs/>
          <w:lang w:val="fr-FR"/>
        </w:rPr>
      </w:pPr>
      <w:r w:rsidRPr="00D44A8E">
        <w:rPr>
          <w:b/>
          <w:bCs/>
          <w:lang w:val="fr-FR"/>
        </w:rPr>
        <w:t>Return on Investment</w:t>
      </w:r>
    </w:p>
    <w:p w14:paraId="49AB5637" w14:textId="441D4843" w:rsidR="00D86084" w:rsidRPr="00D44A8E" w:rsidRDefault="00D44A8E" w:rsidP="00D86084">
      <w:pPr>
        <w:jc w:val="center"/>
        <w:rPr>
          <w:b/>
          <w:bCs/>
          <w:lang w:val="fr-FR"/>
        </w:rPr>
      </w:pPr>
      <w:r w:rsidRPr="00D44A8E">
        <w:rPr>
          <w:b/>
          <w:bCs/>
          <w:lang w:val="fr-FR"/>
        </w:rPr>
        <w:t>Outil économique de l’analyse primaire de l’impact de l’utilisation de la plate-forme de Dim3</w:t>
      </w:r>
    </w:p>
    <w:p w14:paraId="286ED934" w14:textId="239B9656" w:rsidR="00D86084" w:rsidRDefault="00D86084" w:rsidP="00D86084">
      <w:pPr>
        <w:jc w:val="both"/>
        <w:rPr>
          <w:b/>
          <w:bCs/>
          <w:sz w:val="22"/>
          <w:szCs w:val="22"/>
          <w:lang w:val="fr-FR"/>
        </w:rPr>
      </w:pPr>
      <w:r>
        <w:rPr>
          <w:b/>
          <w:bCs/>
          <w:sz w:val="22"/>
          <w:szCs w:val="22"/>
          <w:lang w:val="fr-FR"/>
        </w:rPr>
        <w:t xml:space="preserve">Dim3 a créé un tableau </w:t>
      </w:r>
      <w:r>
        <w:rPr>
          <w:b/>
          <w:bCs/>
          <w:sz w:val="22"/>
          <w:szCs w:val="22"/>
          <w:lang w:val="fr-FR"/>
        </w:rPr>
        <w:t>Excel</w:t>
      </w:r>
      <w:r>
        <w:rPr>
          <w:b/>
          <w:bCs/>
          <w:sz w:val="22"/>
          <w:szCs w:val="22"/>
          <w:lang w:val="fr-FR"/>
        </w:rPr>
        <w:t xml:space="preserve"> qui permet d’avoir un ordre d’idée de l’impact d’une amélioration du processus interne de gestion de la nutrition clinique par l’utilisation de la plateforme digitale de Dim3</w:t>
      </w:r>
      <w:r>
        <w:rPr>
          <w:b/>
          <w:bCs/>
          <w:sz w:val="22"/>
          <w:szCs w:val="22"/>
          <w:lang w:val="fr-FR"/>
        </w:rPr>
        <w:t xml:space="preserve"> qui améliore transversalement le flux et la pertinence des données entre les différents départements impliqués.</w:t>
      </w:r>
    </w:p>
    <w:p w14:paraId="36E516A3" w14:textId="15EBC112" w:rsidR="00D86084" w:rsidRDefault="00D86084" w:rsidP="00D86084">
      <w:pPr>
        <w:jc w:val="both"/>
        <w:rPr>
          <w:b/>
          <w:bCs/>
          <w:sz w:val="22"/>
          <w:szCs w:val="22"/>
          <w:lang w:val="fr-FR"/>
        </w:rPr>
      </w:pPr>
      <w:r>
        <w:rPr>
          <w:b/>
          <w:bCs/>
          <w:sz w:val="22"/>
          <w:szCs w:val="22"/>
          <w:lang w:val="fr-FR"/>
        </w:rPr>
        <w:t xml:space="preserve">Ce tableau a été validé notamment à l’hôpital </w:t>
      </w:r>
      <w:proofErr w:type="spellStart"/>
      <w:r>
        <w:rPr>
          <w:b/>
          <w:bCs/>
          <w:sz w:val="22"/>
          <w:szCs w:val="22"/>
          <w:lang w:val="fr-FR"/>
        </w:rPr>
        <w:t>Erasme</w:t>
      </w:r>
      <w:proofErr w:type="spellEnd"/>
      <w:r>
        <w:rPr>
          <w:b/>
          <w:bCs/>
          <w:sz w:val="22"/>
          <w:szCs w:val="22"/>
          <w:lang w:val="fr-FR"/>
        </w:rPr>
        <w:t xml:space="preserve"> (Dr </w:t>
      </w:r>
      <w:proofErr w:type="spellStart"/>
      <w:proofErr w:type="gramStart"/>
      <w:r>
        <w:rPr>
          <w:b/>
          <w:bCs/>
          <w:sz w:val="22"/>
          <w:szCs w:val="22"/>
          <w:lang w:val="fr-FR"/>
        </w:rPr>
        <w:t>Preiser</w:t>
      </w:r>
      <w:proofErr w:type="spellEnd"/>
      <w:r>
        <w:rPr>
          <w:b/>
          <w:bCs/>
          <w:sz w:val="22"/>
          <w:szCs w:val="22"/>
          <w:lang w:val="fr-FR"/>
        </w:rPr>
        <w:t xml:space="preserve"> ,</w:t>
      </w:r>
      <w:proofErr w:type="gramEnd"/>
      <w:r>
        <w:rPr>
          <w:b/>
          <w:bCs/>
          <w:sz w:val="22"/>
          <w:szCs w:val="22"/>
          <w:lang w:val="fr-FR"/>
        </w:rPr>
        <w:t xml:space="preserve"> Mme Farine).</w:t>
      </w:r>
    </w:p>
    <w:p w14:paraId="342B9106" w14:textId="167EB4D3" w:rsidR="00D86084" w:rsidRDefault="00D86084" w:rsidP="00D86084">
      <w:pPr>
        <w:jc w:val="both"/>
        <w:rPr>
          <w:sz w:val="22"/>
          <w:szCs w:val="22"/>
          <w:lang w:val="fr-FR"/>
        </w:rPr>
      </w:pPr>
      <w:r>
        <w:rPr>
          <w:b/>
          <w:bCs/>
          <w:sz w:val="22"/>
          <w:szCs w:val="22"/>
          <w:lang w:val="fr-FR"/>
        </w:rPr>
        <w:t>Composition plateforme digitale Dim3</w:t>
      </w:r>
    </w:p>
    <w:p w14:paraId="176CB39A" w14:textId="0C113E04" w:rsidR="00D44A8E" w:rsidRPr="00D44A8E" w:rsidRDefault="00D44A8E" w:rsidP="00D44A8E">
      <w:pPr>
        <w:ind w:left="720"/>
        <w:jc w:val="both"/>
        <w:rPr>
          <w:sz w:val="22"/>
          <w:szCs w:val="22"/>
          <w:lang w:val="fr-FR"/>
        </w:rPr>
      </w:pPr>
      <w:proofErr w:type="spellStart"/>
      <w:r w:rsidRPr="00D44A8E">
        <w:rPr>
          <w:b/>
          <w:bCs/>
          <w:sz w:val="22"/>
          <w:szCs w:val="22"/>
          <w:lang w:val="fr-FR"/>
        </w:rPr>
        <w:t>Scorso</w:t>
      </w:r>
      <w:proofErr w:type="spellEnd"/>
      <w:r w:rsidRPr="00D44A8E">
        <w:rPr>
          <w:sz w:val="22"/>
          <w:szCs w:val="22"/>
          <w:lang w:val="fr-FR"/>
        </w:rPr>
        <w:t xml:space="preserve"> : détection du risque de malnutrition envoyant données au DPI et/ou </w:t>
      </w:r>
      <w:proofErr w:type="spellStart"/>
      <w:r w:rsidRPr="00D44A8E">
        <w:rPr>
          <w:sz w:val="22"/>
          <w:szCs w:val="22"/>
          <w:lang w:val="fr-FR"/>
        </w:rPr>
        <w:t>Scorso</w:t>
      </w:r>
      <w:proofErr w:type="spellEnd"/>
    </w:p>
    <w:p w14:paraId="6668BA59" w14:textId="774A1951" w:rsidR="00D44A8E" w:rsidRPr="00D44A8E" w:rsidRDefault="00D44A8E" w:rsidP="00D44A8E">
      <w:pPr>
        <w:ind w:left="720"/>
        <w:jc w:val="both"/>
        <w:rPr>
          <w:sz w:val="22"/>
          <w:szCs w:val="22"/>
          <w:lang w:val="fr-FR"/>
        </w:rPr>
      </w:pPr>
      <w:proofErr w:type="spellStart"/>
      <w:r w:rsidRPr="00D44A8E">
        <w:rPr>
          <w:b/>
          <w:bCs/>
          <w:sz w:val="22"/>
          <w:szCs w:val="22"/>
          <w:lang w:val="fr-FR"/>
        </w:rPr>
        <w:t>Nutrow</w:t>
      </w:r>
      <w:proofErr w:type="spellEnd"/>
      <w:r w:rsidRPr="00D44A8E">
        <w:rPr>
          <w:sz w:val="22"/>
          <w:szCs w:val="22"/>
          <w:lang w:val="fr-FR"/>
        </w:rPr>
        <w:t> : A partir des données brutes issues des outils IT de l’institution : Création de tableaux de bord cliniques assurant un suivi documenté de la nutrition clinique pour la prescription et correctif de traitement nutritionnel. La compliance de nutrition clinique en est augmentée significativement</w:t>
      </w:r>
    </w:p>
    <w:p w14:paraId="7D244DD1" w14:textId="40DC42D5" w:rsidR="00D86084" w:rsidRPr="00D86084" w:rsidRDefault="00D44A8E" w:rsidP="00D86084">
      <w:pPr>
        <w:ind w:left="720"/>
        <w:jc w:val="both"/>
        <w:rPr>
          <w:sz w:val="22"/>
          <w:szCs w:val="22"/>
          <w:lang w:val="fr-FR"/>
        </w:rPr>
      </w:pPr>
      <w:r w:rsidRPr="00D44A8E">
        <w:rPr>
          <w:b/>
          <w:bCs/>
          <w:sz w:val="22"/>
          <w:szCs w:val="22"/>
          <w:lang w:val="fr-FR"/>
        </w:rPr>
        <w:t>Feedim</w:t>
      </w:r>
      <w:r w:rsidRPr="00D44A8E">
        <w:rPr>
          <w:sz w:val="22"/>
          <w:szCs w:val="22"/>
          <w:lang w:val="fr-FR"/>
        </w:rPr>
        <w:t xml:space="preserve"> : </w:t>
      </w:r>
      <w:proofErr w:type="spellStart"/>
      <w:r w:rsidRPr="00D44A8E">
        <w:rPr>
          <w:sz w:val="22"/>
          <w:szCs w:val="22"/>
          <w:lang w:val="fr-FR"/>
        </w:rPr>
        <w:t>Medical</w:t>
      </w:r>
      <w:proofErr w:type="spellEnd"/>
      <w:r w:rsidRPr="00D44A8E">
        <w:rPr>
          <w:sz w:val="22"/>
          <w:szCs w:val="22"/>
          <w:lang w:val="fr-FR"/>
        </w:rPr>
        <w:t xml:space="preserve"> </w:t>
      </w:r>
      <w:proofErr w:type="spellStart"/>
      <w:r w:rsidRPr="00D44A8E">
        <w:rPr>
          <w:sz w:val="22"/>
          <w:szCs w:val="22"/>
          <w:lang w:val="fr-FR"/>
        </w:rPr>
        <w:t>device</w:t>
      </w:r>
      <w:proofErr w:type="spellEnd"/>
      <w:r w:rsidRPr="00D44A8E">
        <w:rPr>
          <w:sz w:val="22"/>
          <w:szCs w:val="22"/>
          <w:lang w:val="fr-FR"/>
        </w:rPr>
        <w:t xml:space="preserve"> captant les données brutes des appareillages </w:t>
      </w:r>
      <w:proofErr w:type="gramStart"/>
      <w:r w:rsidRPr="00D44A8E">
        <w:rPr>
          <w:sz w:val="22"/>
          <w:szCs w:val="22"/>
          <w:lang w:val="fr-FR"/>
        </w:rPr>
        <w:t>médicaux ,</w:t>
      </w:r>
      <w:proofErr w:type="gramEnd"/>
      <w:r w:rsidRPr="00D44A8E">
        <w:rPr>
          <w:sz w:val="22"/>
          <w:szCs w:val="22"/>
          <w:lang w:val="fr-FR"/>
        </w:rPr>
        <w:t xml:space="preserve"> envoyées à </w:t>
      </w:r>
      <w:proofErr w:type="spellStart"/>
      <w:r w:rsidRPr="00D44A8E">
        <w:rPr>
          <w:sz w:val="22"/>
          <w:szCs w:val="22"/>
          <w:lang w:val="fr-FR"/>
        </w:rPr>
        <w:t>Nutrow</w:t>
      </w:r>
      <w:proofErr w:type="spellEnd"/>
      <w:r w:rsidRPr="00D44A8E">
        <w:rPr>
          <w:sz w:val="22"/>
          <w:szCs w:val="22"/>
          <w:lang w:val="fr-FR"/>
        </w:rPr>
        <w:t xml:space="preserve"> et assurant ainsi un suivi exact et en temps réel du fonctionnement de l’appareil et de l’adéquation entre le prescrit et le délivré. </w:t>
      </w:r>
    </w:p>
    <w:p w14:paraId="10661A84" w14:textId="1AAB8364" w:rsidR="00D86084" w:rsidRDefault="00D86084" w:rsidP="00F80409">
      <w:pPr>
        <w:jc w:val="both"/>
        <w:rPr>
          <w:b/>
          <w:bCs/>
          <w:sz w:val="22"/>
          <w:szCs w:val="22"/>
          <w:lang w:val="fr-FR"/>
        </w:rPr>
      </w:pPr>
      <w:r>
        <w:rPr>
          <w:b/>
          <w:bCs/>
          <w:sz w:val="22"/>
          <w:szCs w:val="22"/>
          <w:lang w:val="fr-FR"/>
        </w:rPr>
        <w:t xml:space="preserve">Le tableau </w:t>
      </w:r>
      <w:proofErr w:type="spellStart"/>
      <w:r>
        <w:rPr>
          <w:b/>
          <w:bCs/>
          <w:sz w:val="22"/>
          <w:szCs w:val="22"/>
          <w:lang w:val="fr-FR"/>
        </w:rPr>
        <w:t>excel</w:t>
      </w:r>
      <w:proofErr w:type="spellEnd"/>
      <w:r>
        <w:rPr>
          <w:b/>
          <w:bCs/>
          <w:sz w:val="22"/>
          <w:szCs w:val="22"/>
          <w:lang w:val="fr-FR"/>
        </w:rPr>
        <w:t xml:space="preserve"> a été établi </w:t>
      </w:r>
      <w:proofErr w:type="spellStart"/>
      <w:proofErr w:type="gramStart"/>
      <w:r>
        <w:rPr>
          <w:b/>
          <w:bCs/>
          <w:sz w:val="22"/>
          <w:szCs w:val="22"/>
          <w:lang w:val="fr-FR"/>
        </w:rPr>
        <w:t>a</w:t>
      </w:r>
      <w:proofErr w:type="spellEnd"/>
      <w:proofErr w:type="gramEnd"/>
      <w:r>
        <w:rPr>
          <w:b/>
          <w:bCs/>
          <w:sz w:val="22"/>
          <w:szCs w:val="22"/>
          <w:lang w:val="fr-FR"/>
        </w:rPr>
        <w:t xml:space="preserve"> partir des différents </w:t>
      </w:r>
      <w:proofErr w:type="spellStart"/>
      <w:r>
        <w:rPr>
          <w:b/>
          <w:bCs/>
          <w:sz w:val="22"/>
          <w:szCs w:val="22"/>
          <w:lang w:val="fr-FR"/>
        </w:rPr>
        <w:t>criteres</w:t>
      </w:r>
      <w:proofErr w:type="spellEnd"/>
      <w:r>
        <w:rPr>
          <w:b/>
          <w:bCs/>
          <w:sz w:val="22"/>
          <w:szCs w:val="22"/>
          <w:lang w:val="fr-FR"/>
        </w:rPr>
        <w:t xml:space="preserve"> relatifs à la gestion de la nutrition clinique dans un </w:t>
      </w:r>
      <w:proofErr w:type="spellStart"/>
      <w:r>
        <w:rPr>
          <w:b/>
          <w:bCs/>
          <w:sz w:val="22"/>
          <w:szCs w:val="22"/>
          <w:lang w:val="fr-FR"/>
        </w:rPr>
        <w:t>hopital</w:t>
      </w:r>
      <w:proofErr w:type="spellEnd"/>
      <w:r>
        <w:rPr>
          <w:b/>
          <w:bCs/>
          <w:sz w:val="22"/>
          <w:szCs w:val="22"/>
          <w:lang w:val="fr-FR"/>
        </w:rPr>
        <w:t xml:space="preserve">. Il permet d’objectiver les situations au temps </w:t>
      </w:r>
      <w:proofErr w:type="gramStart"/>
      <w:r>
        <w:rPr>
          <w:b/>
          <w:bCs/>
          <w:sz w:val="22"/>
          <w:szCs w:val="22"/>
          <w:lang w:val="fr-FR"/>
        </w:rPr>
        <w:t>0 ,</w:t>
      </w:r>
      <w:proofErr w:type="gramEnd"/>
      <w:r>
        <w:rPr>
          <w:b/>
          <w:bCs/>
          <w:sz w:val="22"/>
          <w:szCs w:val="22"/>
          <w:lang w:val="fr-FR"/>
        </w:rPr>
        <w:t xml:space="preserve"> déterminer des objectifs et clarifier les KPI dans la gestion de la nutrition clinique.</w:t>
      </w:r>
    </w:p>
    <w:p w14:paraId="682C4E69" w14:textId="77777777" w:rsidR="00D86084" w:rsidRDefault="00D86084" w:rsidP="00F80409">
      <w:pPr>
        <w:jc w:val="both"/>
        <w:rPr>
          <w:b/>
          <w:bCs/>
          <w:sz w:val="22"/>
          <w:szCs w:val="22"/>
          <w:lang w:val="fr-FR"/>
        </w:rPr>
      </w:pPr>
    </w:p>
    <w:p w14:paraId="3A3F4C99" w14:textId="5CFCC55C" w:rsidR="00D44A8E" w:rsidRPr="00F80409" w:rsidRDefault="00D44A8E" w:rsidP="00F80409">
      <w:pPr>
        <w:jc w:val="both"/>
        <w:rPr>
          <w:b/>
          <w:bCs/>
          <w:sz w:val="22"/>
          <w:szCs w:val="22"/>
          <w:lang w:val="fr-FR"/>
        </w:rPr>
      </w:pPr>
      <w:r w:rsidRPr="00F80409">
        <w:rPr>
          <w:b/>
          <w:bCs/>
          <w:sz w:val="22"/>
          <w:szCs w:val="22"/>
          <w:lang w:val="fr-FR"/>
        </w:rPr>
        <w:t xml:space="preserve">PARTIE 1 : </w:t>
      </w:r>
      <w:r w:rsidR="00F80409" w:rsidRPr="00F80409">
        <w:rPr>
          <w:b/>
          <w:bCs/>
          <w:sz w:val="22"/>
          <w:szCs w:val="22"/>
          <w:lang w:val="fr-FR"/>
        </w:rPr>
        <w:t xml:space="preserve">DONNEES GENERALES </w:t>
      </w:r>
    </w:p>
    <w:p w14:paraId="65E12504" w14:textId="67D20B73" w:rsidR="00D44A8E" w:rsidRDefault="00D44A8E">
      <w:r>
        <w:rPr>
          <w:noProof/>
        </w:rPr>
        <w:drawing>
          <wp:inline distT="0" distB="0" distL="0" distR="0" wp14:anchorId="1775D541" wp14:editId="0ED47CAA">
            <wp:extent cx="6521450" cy="1675650"/>
            <wp:effectExtent l="0" t="0" r="0" b="1270"/>
            <wp:docPr id="8554320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32087" name="Picture 1" descr="A screenshot of a computer&#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6639524" cy="1705988"/>
                    </a:xfrm>
                    <a:prstGeom prst="rect">
                      <a:avLst/>
                    </a:prstGeom>
                  </pic:spPr>
                </pic:pic>
              </a:graphicData>
            </a:graphic>
          </wp:inline>
        </w:drawing>
      </w:r>
    </w:p>
    <w:p w14:paraId="7FFCEF24" w14:textId="003D34E8" w:rsidR="00D44A8E" w:rsidRDefault="00D44A8E">
      <w:pPr>
        <w:rPr>
          <w:lang w:val="fr-FR"/>
        </w:rPr>
      </w:pPr>
      <w:r>
        <w:rPr>
          <w:lang w:val="fr-FR"/>
        </w:rPr>
        <w:t xml:space="preserve">La partie 1 du tableau, permet d’encoder les données </w:t>
      </w:r>
      <w:r w:rsidR="00F80409">
        <w:rPr>
          <w:lang w:val="fr-FR"/>
        </w:rPr>
        <w:t xml:space="preserve">de l’établissement et des données générales relative à la malnutrition. </w:t>
      </w:r>
    </w:p>
    <w:p w14:paraId="3241D620" w14:textId="1AC4E832" w:rsidR="00F80409" w:rsidRDefault="00F80409">
      <w:pPr>
        <w:rPr>
          <w:lang w:val="fr-FR"/>
        </w:rPr>
      </w:pPr>
      <w:r>
        <w:rPr>
          <w:lang w:val="fr-FR"/>
        </w:rPr>
        <w:lastRenderedPageBreak/>
        <w:t xml:space="preserve">Y figure notamment le % de dossier patient ou le code malnutrition est encodé dans le RHM. Cette donnée nécessite une analyse préliminaire. Dans le cas </w:t>
      </w:r>
      <w:proofErr w:type="gramStart"/>
      <w:r>
        <w:rPr>
          <w:lang w:val="fr-FR"/>
        </w:rPr>
        <w:t>Vivalia ,</w:t>
      </w:r>
      <w:proofErr w:type="gramEnd"/>
      <w:r>
        <w:rPr>
          <w:lang w:val="fr-FR"/>
        </w:rPr>
        <w:t xml:space="preserve"> elle a été effectuée par Vivalia avec un rapport émis le 5/12/22. </w:t>
      </w:r>
    </w:p>
    <w:p w14:paraId="74E28E37" w14:textId="1B37D2FB" w:rsidR="00D86084" w:rsidRPr="00F80409" w:rsidRDefault="00F80409" w:rsidP="00D86084">
      <w:pPr>
        <w:jc w:val="both"/>
        <w:rPr>
          <w:b/>
          <w:bCs/>
          <w:sz w:val="22"/>
          <w:szCs w:val="22"/>
          <w:lang w:val="fr-FR"/>
        </w:rPr>
      </w:pPr>
      <w:r w:rsidRPr="00F80409">
        <w:rPr>
          <w:b/>
          <w:bCs/>
          <w:sz w:val="22"/>
          <w:szCs w:val="22"/>
          <w:lang w:val="fr-FR"/>
        </w:rPr>
        <w:t>PAR</w:t>
      </w:r>
      <w:r w:rsidR="00D86084" w:rsidRPr="00F80409">
        <w:rPr>
          <w:b/>
          <w:bCs/>
          <w:sz w:val="22"/>
          <w:szCs w:val="22"/>
          <w:lang w:val="fr-FR"/>
        </w:rPr>
        <w:t xml:space="preserve">TIE </w:t>
      </w:r>
      <w:r w:rsidR="00D86084">
        <w:rPr>
          <w:b/>
          <w:bCs/>
          <w:sz w:val="22"/>
          <w:szCs w:val="22"/>
          <w:lang w:val="fr-FR"/>
        </w:rPr>
        <w:t>2</w:t>
      </w:r>
      <w:r w:rsidR="00D86084" w:rsidRPr="00F80409">
        <w:rPr>
          <w:b/>
          <w:bCs/>
          <w:sz w:val="22"/>
          <w:szCs w:val="22"/>
          <w:lang w:val="fr-FR"/>
        </w:rPr>
        <w:t xml:space="preserve"> : DONNEES </w:t>
      </w:r>
      <w:r w:rsidR="00D86084">
        <w:rPr>
          <w:b/>
          <w:bCs/>
          <w:sz w:val="22"/>
          <w:szCs w:val="22"/>
          <w:lang w:val="fr-FR"/>
        </w:rPr>
        <w:t>EXTERNES</w:t>
      </w:r>
      <w:r w:rsidR="00D86084" w:rsidRPr="00F80409">
        <w:rPr>
          <w:b/>
          <w:bCs/>
          <w:sz w:val="22"/>
          <w:szCs w:val="22"/>
          <w:lang w:val="fr-FR"/>
        </w:rPr>
        <w:t xml:space="preserve"> </w:t>
      </w:r>
    </w:p>
    <w:p w14:paraId="6D839029" w14:textId="3276CE90" w:rsidR="00F80409" w:rsidRPr="00F80409" w:rsidRDefault="00D86084" w:rsidP="00D86084">
      <w:pPr>
        <w:jc w:val="both"/>
        <w:rPr>
          <w:b/>
          <w:bCs/>
          <w:sz w:val="22"/>
          <w:szCs w:val="22"/>
          <w:lang w:val="fr-FR"/>
        </w:rPr>
      </w:pPr>
      <w:r>
        <w:rPr>
          <w:noProof/>
          <w:lang w:val="fr-FR"/>
        </w:rPr>
        <w:drawing>
          <wp:inline distT="0" distB="0" distL="0" distR="0" wp14:anchorId="5270E9A6" wp14:editId="2414B26C">
            <wp:extent cx="5943600" cy="650875"/>
            <wp:effectExtent l="0" t="0" r="0" b="0"/>
            <wp:docPr id="1840281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81821" name="Picture 18402818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650875"/>
                    </a:xfrm>
                    <a:prstGeom prst="rect">
                      <a:avLst/>
                    </a:prstGeom>
                  </pic:spPr>
                </pic:pic>
              </a:graphicData>
            </a:graphic>
          </wp:inline>
        </w:drawing>
      </w:r>
      <w:r w:rsidR="00F80409" w:rsidRPr="00F80409">
        <w:rPr>
          <w:b/>
          <w:bCs/>
          <w:sz w:val="22"/>
          <w:szCs w:val="22"/>
          <w:lang w:val="fr-FR"/>
        </w:rPr>
        <w:t xml:space="preserve"> </w:t>
      </w:r>
    </w:p>
    <w:p w14:paraId="3873A776" w14:textId="2DCF05F6" w:rsidR="00D86084" w:rsidRDefault="00D86084" w:rsidP="00D86084">
      <w:pPr>
        <w:rPr>
          <w:lang w:val="fr-FR"/>
        </w:rPr>
      </w:pPr>
      <w:r>
        <w:rPr>
          <w:lang w:val="fr-FR"/>
        </w:rPr>
        <w:t xml:space="preserve">Cette partie du fichier reprend les données issues d’un consensus scientifiques ou de données présentes dans des </w:t>
      </w:r>
      <w:proofErr w:type="spellStart"/>
      <w:r>
        <w:rPr>
          <w:lang w:val="fr-FR"/>
        </w:rPr>
        <w:t>peer</w:t>
      </w:r>
      <w:proofErr w:type="spellEnd"/>
      <w:r>
        <w:rPr>
          <w:lang w:val="fr-FR"/>
        </w:rPr>
        <w:t xml:space="preserve"> </w:t>
      </w:r>
      <w:proofErr w:type="spellStart"/>
      <w:r>
        <w:rPr>
          <w:lang w:val="fr-FR"/>
        </w:rPr>
        <w:t>review</w:t>
      </w:r>
      <w:proofErr w:type="spellEnd"/>
      <w:r>
        <w:rPr>
          <w:lang w:val="fr-FR"/>
        </w:rPr>
        <w:t xml:space="preserve">. </w:t>
      </w:r>
    </w:p>
    <w:p w14:paraId="5BB48094" w14:textId="77777777" w:rsidR="00D86084" w:rsidRDefault="00D86084" w:rsidP="00D86084">
      <w:pPr>
        <w:jc w:val="both"/>
        <w:rPr>
          <w:b/>
          <w:bCs/>
          <w:sz w:val="22"/>
          <w:szCs w:val="22"/>
          <w:lang w:val="fr-FR"/>
        </w:rPr>
      </w:pPr>
      <w:r w:rsidRPr="00F80409">
        <w:rPr>
          <w:b/>
          <w:bCs/>
          <w:sz w:val="22"/>
          <w:szCs w:val="22"/>
          <w:lang w:val="fr-FR"/>
        </w:rPr>
        <w:t xml:space="preserve">PARTIE </w:t>
      </w:r>
      <w:r>
        <w:rPr>
          <w:b/>
          <w:bCs/>
          <w:sz w:val="22"/>
          <w:szCs w:val="22"/>
          <w:lang w:val="fr-FR"/>
        </w:rPr>
        <w:t>3</w:t>
      </w:r>
      <w:r w:rsidRPr="00F80409">
        <w:rPr>
          <w:b/>
          <w:bCs/>
          <w:sz w:val="22"/>
          <w:szCs w:val="22"/>
          <w:lang w:val="fr-FR"/>
        </w:rPr>
        <w:t xml:space="preserve"> : </w:t>
      </w:r>
      <w:r>
        <w:rPr>
          <w:b/>
          <w:bCs/>
          <w:sz w:val="22"/>
          <w:szCs w:val="22"/>
          <w:lang w:val="fr-FR"/>
        </w:rPr>
        <w:t>RESUME</w:t>
      </w:r>
    </w:p>
    <w:p w14:paraId="10036FFC" w14:textId="6EB8449D" w:rsidR="00D86084" w:rsidRPr="00F80409" w:rsidRDefault="00D86084" w:rsidP="00D86084">
      <w:pPr>
        <w:jc w:val="both"/>
        <w:rPr>
          <w:b/>
          <w:bCs/>
          <w:sz w:val="22"/>
          <w:szCs w:val="22"/>
          <w:lang w:val="fr-FR"/>
        </w:rPr>
      </w:pPr>
      <w:r>
        <w:rPr>
          <w:b/>
          <w:bCs/>
          <w:noProof/>
          <w:sz w:val="22"/>
          <w:szCs w:val="22"/>
          <w:lang w:val="fr-FR"/>
        </w:rPr>
        <w:drawing>
          <wp:inline distT="0" distB="0" distL="0" distR="0" wp14:anchorId="2E2D310C" wp14:editId="7E4B2699">
            <wp:extent cx="5943600" cy="1215390"/>
            <wp:effectExtent l="0" t="0" r="0" b="3810"/>
            <wp:docPr id="1242775586"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5586" name="Picture 4"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215390"/>
                    </a:xfrm>
                    <a:prstGeom prst="rect">
                      <a:avLst/>
                    </a:prstGeom>
                  </pic:spPr>
                </pic:pic>
              </a:graphicData>
            </a:graphic>
          </wp:inline>
        </w:drawing>
      </w:r>
      <w:r w:rsidRPr="00F80409">
        <w:rPr>
          <w:b/>
          <w:bCs/>
          <w:sz w:val="22"/>
          <w:szCs w:val="22"/>
          <w:lang w:val="fr-FR"/>
        </w:rPr>
        <w:t xml:space="preserve"> </w:t>
      </w:r>
    </w:p>
    <w:p w14:paraId="661A6852" w14:textId="5A1D2B50" w:rsidR="00D86084" w:rsidRDefault="00D86084" w:rsidP="00D86084">
      <w:pPr>
        <w:rPr>
          <w:lang w:val="fr-FR"/>
        </w:rPr>
      </w:pPr>
      <w:r>
        <w:rPr>
          <w:lang w:val="fr-FR"/>
        </w:rPr>
        <w:t>Cette partie du fichier permet de visualiser l</w:t>
      </w:r>
      <w:r w:rsidR="00E55024">
        <w:rPr>
          <w:lang w:val="fr-FR"/>
        </w:rPr>
        <w:t>a création/perte de valeur théorique des choix quant à la gestion de la nutrition clinique.</w:t>
      </w:r>
    </w:p>
    <w:p w14:paraId="7C6A11E0" w14:textId="19BCB1C9" w:rsidR="00E55024" w:rsidRDefault="00E55024" w:rsidP="00D86084">
      <w:pPr>
        <w:rPr>
          <w:lang w:val="fr-FR"/>
        </w:rPr>
      </w:pPr>
      <w:r>
        <w:rPr>
          <w:lang w:val="fr-FR"/>
        </w:rPr>
        <w:t>Les impacts importants sont FTE et RHM. Les autres impacts sont des impacts dont la démonstration établissement par établissement nécessite une confirmation multi sources peut utilisable en Belgique.</w:t>
      </w:r>
    </w:p>
    <w:p w14:paraId="4EAAF656" w14:textId="4B28881C" w:rsidR="00E55024" w:rsidRDefault="00E55024" w:rsidP="00E55024">
      <w:pPr>
        <w:jc w:val="both"/>
        <w:rPr>
          <w:b/>
          <w:bCs/>
          <w:sz w:val="22"/>
          <w:szCs w:val="22"/>
          <w:lang w:val="fr-FR"/>
        </w:rPr>
      </w:pPr>
      <w:r w:rsidRPr="00F80409">
        <w:rPr>
          <w:b/>
          <w:bCs/>
          <w:sz w:val="22"/>
          <w:szCs w:val="22"/>
          <w:lang w:val="fr-FR"/>
        </w:rPr>
        <w:t xml:space="preserve">PARTIE </w:t>
      </w:r>
      <w:r>
        <w:rPr>
          <w:b/>
          <w:bCs/>
          <w:sz w:val="22"/>
          <w:szCs w:val="22"/>
          <w:lang w:val="fr-FR"/>
        </w:rPr>
        <w:t>4</w:t>
      </w:r>
      <w:r w:rsidRPr="00F80409">
        <w:rPr>
          <w:b/>
          <w:bCs/>
          <w:sz w:val="22"/>
          <w:szCs w:val="22"/>
          <w:lang w:val="fr-FR"/>
        </w:rPr>
        <w:t xml:space="preserve"> : </w:t>
      </w:r>
      <w:r>
        <w:rPr>
          <w:b/>
          <w:bCs/>
          <w:sz w:val="22"/>
          <w:szCs w:val="22"/>
          <w:lang w:val="fr-FR"/>
        </w:rPr>
        <w:t>RESUME</w:t>
      </w:r>
    </w:p>
    <w:p w14:paraId="059882D0" w14:textId="101F6C35" w:rsidR="00E55024" w:rsidRDefault="00E55024" w:rsidP="00D86084">
      <w:pPr>
        <w:rPr>
          <w:lang w:val="fr-FR"/>
        </w:rPr>
      </w:pPr>
      <w:r>
        <w:rPr>
          <w:noProof/>
          <w:lang w:val="fr-FR"/>
        </w:rPr>
        <w:drawing>
          <wp:inline distT="0" distB="0" distL="0" distR="0" wp14:anchorId="2086F377" wp14:editId="3DE70BFB">
            <wp:extent cx="5943600" cy="1860550"/>
            <wp:effectExtent l="0" t="0" r="0" b="6350"/>
            <wp:docPr id="1273298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8138" name="Picture 12732981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60550"/>
                    </a:xfrm>
                    <a:prstGeom prst="rect">
                      <a:avLst/>
                    </a:prstGeom>
                  </pic:spPr>
                </pic:pic>
              </a:graphicData>
            </a:graphic>
          </wp:inline>
        </w:drawing>
      </w:r>
    </w:p>
    <w:p w14:paraId="25618AE6" w14:textId="15C14FC5" w:rsidR="00E55024" w:rsidRDefault="00E55024" w:rsidP="00AD7C8F">
      <w:pPr>
        <w:rPr>
          <w:lang w:val="fr-FR"/>
        </w:rPr>
      </w:pPr>
      <w:r>
        <w:rPr>
          <w:lang w:val="fr-FR"/>
        </w:rPr>
        <w:t xml:space="preserve">Cette partie du tableau génère les calculs plus précis en fonction des données globales introduites et indique les impacts de l’utilisation de </w:t>
      </w:r>
      <w:proofErr w:type="spellStart"/>
      <w:r>
        <w:rPr>
          <w:lang w:val="fr-FR"/>
        </w:rPr>
        <w:t>Nutrow</w:t>
      </w:r>
      <w:proofErr w:type="spellEnd"/>
      <w:r>
        <w:rPr>
          <w:lang w:val="fr-FR"/>
        </w:rPr>
        <w:t>, l’élément central de la plateforme digitale Dim</w:t>
      </w:r>
      <w:r w:rsidR="00AD7C8F">
        <w:rPr>
          <w:lang w:val="fr-FR"/>
        </w:rPr>
        <w:t>3</w:t>
      </w:r>
    </w:p>
    <w:p w14:paraId="70978A2D" w14:textId="77777777" w:rsidR="00D86084" w:rsidRDefault="00D86084" w:rsidP="00D86084">
      <w:pPr>
        <w:rPr>
          <w:lang w:val="fr-FR"/>
        </w:rPr>
      </w:pPr>
    </w:p>
    <w:p w14:paraId="18B388C6" w14:textId="77777777" w:rsidR="00D86084" w:rsidRDefault="00D86084" w:rsidP="00D86084">
      <w:pPr>
        <w:rPr>
          <w:lang w:val="fr-FR"/>
        </w:rPr>
      </w:pPr>
    </w:p>
    <w:p w14:paraId="2B26E766" w14:textId="77777777" w:rsidR="00D86084" w:rsidRDefault="00D86084" w:rsidP="00D86084">
      <w:pPr>
        <w:rPr>
          <w:lang w:val="fr-FR"/>
        </w:rPr>
      </w:pPr>
    </w:p>
    <w:p w14:paraId="53E02BB1" w14:textId="0AFB2275" w:rsidR="00F80409" w:rsidRPr="00D44A8E" w:rsidRDefault="00F80409">
      <w:pPr>
        <w:rPr>
          <w:lang w:val="fr-FR"/>
        </w:rPr>
      </w:pPr>
    </w:p>
    <w:sectPr w:rsidR="00F80409" w:rsidRPr="00D44A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A8E"/>
    <w:rsid w:val="000A2F1C"/>
    <w:rsid w:val="00112391"/>
    <w:rsid w:val="00410760"/>
    <w:rsid w:val="004772B9"/>
    <w:rsid w:val="005E42C7"/>
    <w:rsid w:val="006B59ED"/>
    <w:rsid w:val="00727AC1"/>
    <w:rsid w:val="00905F1E"/>
    <w:rsid w:val="00AD7C8F"/>
    <w:rsid w:val="00D44A8E"/>
    <w:rsid w:val="00D86084"/>
    <w:rsid w:val="00E55024"/>
    <w:rsid w:val="00F80409"/>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02998"/>
  <w15:chartTrackingRefBased/>
  <w15:docId w15:val="{ECEB49E4-A777-B14E-AFD6-041C1A2B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A8E"/>
    <w:rPr>
      <w:rFonts w:eastAsiaTheme="majorEastAsia" w:cstheme="majorBidi"/>
      <w:color w:val="272727" w:themeColor="text1" w:themeTint="D8"/>
    </w:rPr>
  </w:style>
  <w:style w:type="paragraph" w:styleId="Title">
    <w:name w:val="Title"/>
    <w:basedOn w:val="Normal"/>
    <w:next w:val="Normal"/>
    <w:link w:val="TitleChar"/>
    <w:uiPriority w:val="10"/>
    <w:qFormat/>
    <w:rsid w:val="00D44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A8E"/>
    <w:pPr>
      <w:spacing w:before="160"/>
      <w:jc w:val="center"/>
    </w:pPr>
    <w:rPr>
      <w:i/>
      <w:iCs/>
      <w:color w:val="404040" w:themeColor="text1" w:themeTint="BF"/>
    </w:rPr>
  </w:style>
  <w:style w:type="character" w:customStyle="1" w:styleId="QuoteChar">
    <w:name w:val="Quote Char"/>
    <w:basedOn w:val="DefaultParagraphFont"/>
    <w:link w:val="Quote"/>
    <w:uiPriority w:val="29"/>
    <w:rsid w:val="00D44A8E"/>
    <w:rPr>
      <w:i/>
      <w:iCs/>
      <w:color w:val="404040" w:themeColor="text1" w:themeTint="BF"/>
    </w:rPr>
  </w:style>
  <w:style w:type="paragraph" w:styleId="ListParagraph">
    <w:name w:val="List Paragraph"/>
    <w:basedOn w:val="Normal"/>
    <w:uiPriority w:val="34"/>
    <w:qFormat/>
    <w:rsid w:val="00D44A8E"/>
    <w:pPr>
      <w:ind w:left="720"/>
      <w:contextualSpacing/>
    </w:pPr>
  </w:style>
  <w:style w:type="character" w:styleId="IntenseEmphasis">
    <w:name w:val="Intense Emphasis"/>
    <w:basedOn w:val="DefaultParagraphFont"/>
    <w:uiPriority w:val="21"/>
    <w:qFormat/>
    <w:rsid w:val="00D44A8E"/>
    <w:rPr>
      <w:i/>
      <w:iCs/>
      <w:color w:val="0F4761" w:themeColor="accent1" w:themeShade="BF"/>
    </w:rPr>
  </w:style>
  <w:style w:type="paragraph" w:styleId="IntenseQuote">
    <w:name w:val="Intense Quote"/>
    <w:basedOn w:val="Normal"/>
    <w:next w:val="Normal"/>
    <w:link w:val="IntenseQuoteChar"/>
    <w:uiPriority w:val="30"/>
    <w:qFormat/>
    <w:rsid w:val="00D44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A8E"/>
    <w:rPr>
      <w:i/>
      <w:iCs/>
      <w:color w:val="0F4761" w:themeColor="accent1" w:themeShade="BF"/>
    </w:rPr>
  </w:style>
  <w:style w:type="character" w:styleId="IntenseReference">
    <w:name w:val="Intense Reference"/>
    <w:basedOn w:val="DefaultParagraphFont"/>
    <w:uiPriority w:val="32"/>
    <w:qFormat/>
    <w:rsid w:val="00D44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383</Words>
  <Characters>2185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3</cp:revision>
  <dcterms:created xsi:type="dcterms:W3CDTF">2024-02-12T08:22:00Z</dcterms:created>
  <dcterms:modified xsi:type="dcterms:W3CDTF">2024-02-14T08:12:00Z</dcterms:modified>
</cp:coreProperties>
</file>