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6D19" w14:textId="7F3B99C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B73E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J’ai pas fait pour le chat : trop compliquer pour lui donner des médicaments</w:t>
      </w: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FB73E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sym w:font="Wingdings" w:char="F04A"/>
      </w:r>
    </w:p>
    <w:p w14:paraId="47F37135" w14:textId="535E3D68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B73E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Pour le cheval analyse à faire </w:t>
      </w:r>
    </w:p>
    <w:p w14:paraId="6722B810" w14:textId="77777777" w:rsid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46B4F46" w14:textId="6A0F46F9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73E9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compléments utiles dans les allergies du chien</w:t>
      </w:r>
    </w:p>
    <w:p w14:paraId="03CD252C" w14:textId="77777777" w:rsidR="00FB73E9" w:rsidRPr="00FB73E9" w:rsidRDefault="00FB73E9" w:rsidP="00FB7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u w:val="single"/>
          <w:lang w:eastAsia="en-GB"/>
          <w14:ligatures w14:val="none"/>
        </w:rPr>
        <w:t>Oméga-3 (EPA/DHA – huile de poisson purifiée)</w:t>
      </w:r>
    </w:p>
    <w:p w14:paraId="7017BC4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Mécanisme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Modulation de la voie des eicosanoïdes → diminution des médiateurs pro-inflammatoires (LTB4, PGE2). Effet cortico-sparing démontré.</w:t>
      </w:r>
    </w:p>
    <w:p w14:paraId="59A00CCC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Indication principale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Dermatite atopique chronique. Peu d’intérêt isolé en allergie aux puces. Rôle adjuvant en allergie alimentaire.</w:t>
      </w:r>
    </w:p>
    <w:p w14:paraId="6C17CFBD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Niveau de preuve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Bon (plusieurs études cliniques contrôlées).</w:t>
      </w:r>
    </w:p>
    <w:p w14:paraId="6889797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Délai d’action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6–8 semaines.</w:t>
      </w:r>
    </w:p>
    <w:p w14:paraId="7D06F64B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Dose efficace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100–150 mg/kg/j d’EPA+DHA combinés.</w:t>
      </w:r>
    </w:p>
    <w:p w14:paraId="0F239070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Impact clinique réel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Réduction modérée mais significative du prurit (≈15–30 %). Permet parfois de réduire doses d’oclacitinib ou corticoïdes.</w:t>
      </w:r>
    </w:p>
    <w:p w14:paraId="12480F0B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Positionnement stratégique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Base nutraceutique de fond dans l’atopie.</w:t>
      </w:r>
    </w:p>
    <w:p w14:paraId="4FECE739" w14:textId="77777777" w:rsidR="00FB73E9" w:rsidRPr="00FB73E9" w:rsidRDefault="00FB73E9" w:rsidP="00FB7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u w:val="single"/>
          <w:lang w:eastAsia="en-GB"/>
          <w14:ligatures w14:val="none"/>
        </w:rPr>
        <w:t>Soutien barrière cutanée (complexes lipidiques, céramides)</w:t>
      </w:r>
    </w:p>
    <w:p w14:paraId="4E6F4FD8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Mécanisme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Restauration de la couche lipidique épidermique → réduction perte hydrique transépidermique.</w:t>
      </w:r>
    </w:p>
    <w:p w14:paraId="1F56FF04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Indication principale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Dermatite atopique.</w:t>
      </w:r>
    </w:p>
    <w:p w14:paraId="6782055B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Niveau de preuve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Modéré (plus solide en topique qu’en oral).</w:t>
      </w:r>
    </w:p>
    <w:p w14:paraId="02146A26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lastRenderedPageBreak/>
        <w:t>Délai d’action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2–4 semaines.</w:t>
      </w:r>
    </w:p>
    <w:p w14:paraId="6438F178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Impact clinique réel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Amélioration qualité cutanée, réduction récidives secondaires (pyodermites légères).</w:t>
      </w:r>
    </w:p>
    <w:p w14:paraId="7794753D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Coût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Modéré.</w:t>
      </w:r>
    </w:p>
    <w:p w14:paraId="044F13E2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Positionnement stratégique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Complément structurel, surtout utile en phase de maintenance.</w:t>
      </w:r>
    </w:p>
    <w:p w14:paraId="68BA7F18" w14:textId="77777777" w:rsidR="00FB73E9" w:rsidRPr="00FB73E9" w:rsidRDefault="00E46945" w:rsidP="00FB73E9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6945">
        <w:rPr>
          <w:rFonts w:eastAsia="Times New Roman" w:cs="Times New Roman"/>
          <w:noProof/>
          <w:kern w:val="0"/>
          <w:lang w:eastAsia="en-GB"/>
        </w:rPr>
        <w:pict w14:anchorId="4DC75F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AAAC2F" w14:textId="77777777" w:rsidR="00FB73E9" w:rsidRPr="00FB73E9" w:rsidRDefault="00FB73E9" w:rsidP="00FB7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u w:val="single"/>
          <w:lang w:eastAsia="en-GB"/>
          <w14:ligatures w14:val="none"/>
        </w:rPr>
        <w:t>Probiotiques ciblés (Enterococcus faecium, Lactobacillus rhamnosus…)</w:t>
      </w:r>
    </w:p>
    <w:p w14:paraId="0F9C7991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Mécanisme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Modulation axe intestin-immunité → influence réponse Th2.</w:t>
      </w:r>
    </w:p>
    <w:p w14:paraId="00F07823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Indication principale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Allergie alimentaire ou atopie avec troubles digestifs associés.</w:t>
      </w:r>
    </w:p>
    <w:p w14:paraId="243D7CA1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Niveau de preuve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Variable selon souche (hétérogène).</w:t>
      </w:r>
    </w:p>
    <w:p w14:paraId="65E302E1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Délai d’action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4–8 semaines.</w:t>
      </w:r>
    </w:p>
    <w:p w14:paraId="50F267A3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Impact clinique réel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Bénéfice léger à modéré, dépendant fortement de la souche et du patient.</w:t>
      </w:r>
    </w:p>
    <w:p w14:paraId="7E7EBE0A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Coût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Faible à modéré.</w:t>
      </w:r>
    </w:p>
    <w:p w14:paraId="5F4D8010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Limites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Marché peu standardisé. Tous les produits ne sont pas équivalents.</w:t>
      </w:r>
    </w:p>
    <w:p w14:paraId="3B36DE5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Positionnement stratégique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Option intéressante dans approche intégrative, surtout terrain digestif sensible.</w:t>
      </w:r>
    </w:p>
    <w:p w14:paraId="1CADE92B" w14:textId="77777777" w:rsidR="00FB73E9" w:rsidRPr="00FB73E9" w:rsidRDefault="00FB73E9" w:rsidP="00FB7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u w:val="single"/>
          <w:lang w:eastAsia="en-GB"/>
          <w14:ligatures w14:val="none"/>
        </w:rPr>
        <w:t>Palmitoyléthanolamide (PEA)</w:t>
      </w:r>
    </w:p>
    <w:p w14:paraId="56D6E4F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Mécanisme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Stabilisation mastocytaire, modulation neuro-inflammatoire.</w:t>
      </w:r>
    </w:p>
    <w:p w14:paraId="0D1BE454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Indication principale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Prurit léger à modéré chronique.</w:t>
      </w:r>
    </w:p>
    <w:p w14:paraId="02132E41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lastRenderedPageBreak/>
        <w:t>Niveau de preuve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Modéré mais cohérent.</w:t>
      </w:r>
    </w:p>
    <w:p w14:paraId="34E22EE2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Délai d’action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3–6 semaines.</w:t>
      </w:r>
    </w:p>
    <w:p w14:paraId="642D6194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Impact clinique réel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Effet discret mais mesurable. Utile en stratégie cortico-sparing.</w:t>
      </w:r>
    </w:p>
    <w:p w14:paraId="3C055491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Coût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Modéré.</w:t>
      </w:r>
    </w:p>
    <w:p w14:paraId="338A046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Limites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Ne remplace pas traitement anti-IL-31 ou JAK en cas sévère.</w:t>
      </w:r>
    </w:p>
    <w:p w14:paraId="50D8F449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Positionnement stratégique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Intéressant en entretien ou formes légères.</w:t>
      </w:r>
    </w:p>
    <w:p w14:paraId="2BEEDFD7" w14:textId="77777777" w:rsidR="00FB73E9" w:rsidRPr="00FB73E9" w:rsidRDefault="00FB73E9" w:rsidP="00FB7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Antioxydants (Vitamine E, polyphénols)</w:t>
      </w:r>
    </w:p>
    <w:p w14:paraId="060DF794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Mécanisme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Réduction stress oxydatif cutané.</w:t>
      </w:r>
    </w:p>
    <w:p w14:paraId="60DF8C48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Niveau de preuve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Faible isolément.</w:t>
      </w:r>
    </w:p>
    <w:p w14:paraId="7B1583BD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Impact clinique réel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Faible seul ; utile en association.</w:t>
      </w:r>
    </w:p>
    <w:p w14:paraId="036BE4D9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Positionnement stratégique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Complément secondaire, rarement prioritaire.</w:t>
      </w:r>
    </w:p>
    <w:p w14:paraId="21AC9DB9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B73E9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Hiérarchisation pratique (dermatite atopique)</w:t>
      </w:r>
    </w:p>
    <w:p w14:paraId="762B7754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Priorité 1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Oméga-3 de qualité pharmaceutique.</w:t>
      </w:r>
    </w:p>
    <w:p w14:paraId="7C8DC966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Priorité 2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Soutien barrière cutanée (topique en particulier).</w:t>
      </w:r>
    </w:p>
    <w:p w14:paraId="66743FDE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Priorité 3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PEA en stratégie de réduction médicamenteuse.</w:t>
      </w:r>
    </w:p>
    <w:p w14:paraId="14C3248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Option ciblée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Probiotiques si suspicion implication digestive.</w:t>
      </w:r>
    </w:p>
    <w:p w14:paraId="1D5E2D8F" w14:textId="77777777" w:rsidR="00FB73E9" w:rsidRPr="00FB73E9" w:rsidRDefault="00FB73E9" w:rsidP="00FB73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B73E9">
        <w:rPr>
          <w:rFonts w:eastAsia="Times New Roman" w:cs="Times New Roman"/>
          <w:kern w:val="0"/>
          <w:lang w:eastAsia="en-GB"/>
          <w14:ligatures w14:val="none"/>
        </w:rPr>
        <w:t>Peu prioritaire</w:t>
      </w:r>
      <w:r w:rsidRPr="00FB73E9">
        <w:rPr>
          <w:rFonts w:eastAsia="Times New Roman" w:cs="Times New Roman"/>
          <w:kern w:val="0"/>
          <w:lang w:eastAsia="en-GB"/>
          <w14:ligatures w14:val="none"/>
        </w:rPr>
        <w:br/>
        <w:t>Antioxydants seuls.</w:t>
      </w:r>
    </w:p>
    <w:p w14:paraId="5ECBADA6" w14:textId="77777777" w:rsidR="00FB73E9" w:rsidRPr="00FB73E9" w:rsidRDefault="00FB73E9"/>
    <w:sectPr w:rsidR="00FB73E9" w:rsidRPr="00FB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BFB"/>
    <w:multiLevelType w:val="multilevel"/>
    <w:tmpl w:val="0082E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765C"/>
    <w:multiLevelType w:val="multilevel"/>
    <w:tmpl w:val="019635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F1AF6"/>
    <w:multiLevelType w:val="multilevel"/>
    <w:tmpl w:val="11682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30014"/>
    <w:multiLevelType w:val="multilevel"/>
    <w:tmpl w:val="6F94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E2D7A"/>
    <w:multiLevelType w:val="multilevel"/>
    <w:tmpl w:val="C65C2E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62462">
    <w:abstractNumId w:val="3"/>
  </w:num>
  <w:num w:numId="2" w16cid:durableId="1169490842">
    <w:abstractNumId w:val="2"/>
  </w:num>
  <w:num w:numId="3" w16cid:durableId="272791693">
    <w:abstractNumId w:val="4"/>
  </w:num>
  <w:num w:numId="4" w16cid:durableId="916943746">
    <w:abstractNumId w:val="0"/>
  </w:num>
  <w:num w:numId="5" w16cid:durableId="66770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E9"/>
    <w:rsid w:val="003C4636"/>
    <w:rsid w:val="00E46945"/>
    <w:rsid w:val="00FB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7F30D1"/>
  <w15:chartTrackingRefBased/>
  <w15:docId w15:val="{D7841630-EE1C-BE4C-9905-B3E6509A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 havaux</dc:creator>
  <cp:keywords/>
  <dc:description/>
  <cp:lastModifiedBy>Jean Claude havaux</cp:lastModifiedBy>
  <cp:revision>1</cp:revision>
  <dcterms:created xsi:type="dcterms:W3CDTF">2026-02-16T11:12:00Z</dcterms:created>
  <dcterms:modified xsi:type="dcterms:W3CDTF">2026-02-16T11:20:00Z</dcterms:modified>
</cp:coreProperties>
</file>