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2026-04-30</w:t>
      </w:r>
    </w:p>
    <w:p>
      <w:r>
        <w:pict>
          <v:rect style="width:0;height:1.5pt" o:hralign="center" o:hrstd="t" o:hr="t"/>
        </w:pict>
      </w:r>
    </w:p>
    <w:bookmarkStart w:id="9" w:name="contrat-cadre-de-partenariat-stratégique"/>
    <w:p>
      <w:pPr>
        <w:pStyle w:val="Heading1"/>
      </w:pPr>
      <w:r>
        <w:t xml:space="preserve">CONTRAT CADRE DE PARTENARIAT STRATÉGIQUE</w:t>
      </w:r>
    </w:p>
    <w:bookmarkEnd w:id="9"/>
    <w:bookmarkStart w:id="43" w:name="战略合作框架协议"/>
    <w:p>
      <w:pPr>
        <w:pStyle w:val="Heading1"/>
      </w:pPr>
      <w:r>
        <w:rPr>
          <w:rFonts w:hint="eastAsia"/>
        </w:rPr>
        <w:t xml:space="preserve">战略合作框架协议</w:t>
      </w:r>
    </w:p>
    <w:p>
      <w:pPr>
        <w:pStyle w:val="FirstParagraph"/>
      </w:pPr>
      <w:r>
        <w:rPr>
          <w:b/>
          <w:bCs/>
        </w:rPr>
        <w:t xml:space="preserve">DIAHO</w:t>
      </w:r>
      <w:r>
        <w:t xml:space="preserve"> </w:t>
      </w:r>
      <w:r>
        <w:rPr>
          <w:rFonts w:hint="eastAsia"/>
        </w:rPr>
        <w:t xml:space="preserve">(中国)</w:t>
      </w:r>
      <w:r>
        <w:t xml:space="preserve"> ·</w:t>
      </w:r>
      <w:r>
        <w:t xml:space="preserve"> </w:t>
      </w:r>
      <w:r>
        <w:rPr>
          <w:b/>
          <w:bCs/>
        </w:rPr>
        <w:t xml:space="preserve">VETALYX</w:t>
      </w:r>
      <w:r>
        <w:t xml:space="preserve"> </w:t>
      </w:r>
      <w:r>
        <w:t xml:space="preserve">(Europe)</w:t>
      </w:r>
    </w:p>
    <w:p>
      <w:pPr>
        <w:pStyle w:val="BodyText"/>
      </w:pPr>
      <w:r>
        <w:rPr>
          <w:i/>
          <w:iCs/>
        </w:rPr>
        <w:t xml:space="preserve">Version de travail — Squelette v1 — 30 avril 2026</w:t>
      </w:r>
      <w:r>
        <w:t xml:space="preserve"> </w:t>
      </w:r>
      <w:r>
        <w:rPr>
          <w:rFonts w:hint="eastAsia"/>
          <w:i/>
          <w:iCs/>
        </w:rPr>
        <w:t xml:space="preserve">工作版本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框架初稿</w:t>
      </w:r>
      <w:r>
        <w:rPr>
          <w:i/>
          <w:iCs/>
        </w:rPr>
        <w:t xml:space="preserve"> v1 — </w:t>
      </w:r>
      <w:r>
        <w:rPr>
          <w:rFonts w:hint="eastAsia"/>
          <w:i/>
          <w:iCs/>
        </w:rPr>
        <w:t xml:space="preserve">2026年4月30日</w:t>
      </w:r>
    </w:p>
    <w:p>
      <w:r>
        <w:pict>
          <v:rect style="width:0;height:1.5pt" o:hralign="center" o:hrstd="t" o:hr="t"/>
        </w:pict>
      </w:r>
    </w:p>
    <w:bookmarkStart w:id="10" w:name="préambule-序言"/>
    <w:p>
      <w:pPr>
        <w:pStyle w:val="Heading2"/>
      </w:pPr>
      <w:r>
        <w:t xml:space="preserve">PRÉAMBULE / </w:t>
      </w:r>
      <w:r>
        <w:rPr>
          <w:rFonts w:hint="eastAsia"/>
        </w:rPr>
        <w:t xml:space="preserve">序言</w:t>
      </w:r>
    </w:p>
    <w:p>
      <w:pPr>
        <w:pStyle w:val="FirstParagraph"/>
      </w:pPr>
      <w:r>
        <w:t xml:space="preserve">Le présent contrat cadre (ci-après le « Contrat ») est conclu entre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DIAHO</w:t>
      </w:r>
      <w:r>
        <w:t xml:space="preserve">, société de droit [chinois / à préciser], dont le siège social est sis [adresse], immatriculée sous le numéro [RCS/numéro d’enregistrement chinois] (ci-après « DIAHO »)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VETALYX</w:t>
      </w:r>
      <w:r>
        <w:t xml:space="preserve">, société à responsabilité limitée de droit français, dont le siège social est sis [adresse], immatriculée au RCS sous le numéro [numéro] (ci-après « VETALYX »)</w:t>
      </w:r>
    </w:p>
    <w:p>
      <w:pPr>
        <w:pStyle w:val="FirstParagraph"/>
      </w:pPr>
      <w:r>
        <w:rPr>
          <w:rFonts w:hint="eastAsia"/>
        </w:rPr>
        <w:t xml:space="preserve">本框架协议（以下简称”协议”）由以下双方签订：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迪豪公司（DIAHO）</w:t>
      </w:r>
      <w:r>
        <w:rPr>
          <w:rFonts w:hint="eastAsia"/>
        </w:rPr>
        <w:t xml:space="preserve">，[中国法律体系下的公司类型]，注册地址为[地址]，注册号为[编号]（以下简称”迪豪”）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VETALYX公司</w:t>
      </w:r>
      <w:r>
        <w:rPr>
          <w:rFonts w:hint="eastAsia"/>
        </w:rPr>
        <w:t xml:space="preserve">，法国有限责任公司，注册地址为[地址]，工商注册号为[编号]（以下简称”VETALYX”）</w:t>
      </w:r>
    </w:p>
    <w:p>
      <w:r>
        <w:pict>
          <v:rect style="width:0;height:1.5pt" o:hralign="center" o:hrstd="t" o:hr="t"/>
        </w:pict>
      </w:r>
    </w:p>
    <w:bookmarkEnd w:id="10"/>
    <w:bookmarkStart w:id="13" w:name="titre-i-objet-du-contrat-第一章-协议目的"/>
    <w:p>
      <w:pPr>
        <w:pStyle w:val="Heading2"/>
      </w:pPr>
      <w:r>
        <w:t xml:space="preserve">TITRE I — OBJET DU CONTRAT / </w:t>
      </w:r>
      <w:r>
        <w:rPr>
          <w:rFonts w:hint="eastAsia"/>
        </w:rPr>
        <w:t xml:space="preserve">第一章</w:t>
      </w:r>
      <w:r>
        <w:t xml:space="preserve"> — </w:t>
      </w:r>
      <w:r>
        <w:rPr>
          <w:rFonts w:hint="eastAsia"/>
        </w:rPr>
        <w:t xml:space="preserve">协议目的</w:t>
      </w:r>
    </w:p>
    <w:bookmarkStart w:id="11" w:name="article-1-objet-第一条-目的"/>
    <w:p>
      <w:pPr>
        <w:pStyle w:val="Heading3"/>
      </w:pPr>
      <w:r>
        <w:t xml:space="preserve">Article 1 — Objet / </w:t>
      </w:r>
      <w:r>
        <w:rPr>
          <w:rFonts w:hint="eastAsia"/>
        </w:rPr>
        <w:t xml:space="preserve">第一条</w:t>
      </w:r>
      <w:r>
        <w:t xml:space="preserve"> —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Le présent Contrat a pour objet de définir le cadre général du partenariat stratégique entre DIAHO et VETALYX, portant sur :</w:t>
      </w:r>
    </w:p>
    <w:p>
      <w:pPr>
        <w:pStyle w:val="Compact"/>
        <w:numPr>
          <w:ilvl w:val="0"/>
          <w:numId w:val="1003"/>
        </w:numPr>
      </w:pPr>
      <w:r>
        <w:t xml:space="preserve">L’octroi à VETALYX d’un droit exclusif de commercialisation en Europe de la gamme de produits vétérinaires fédérée par DIAHO auprès de ses partenaires chinois (ci-après les « Produits »).</w:t>
      </w:r>
    </w:p>
    <w:p>
      <w:pPr>
        <w:pStyle w:val="Compact"/>
        <w:numPr>
          <w:ilvl w:val="0"/>
          <w:numId w:val="1003"/>
        </w:numPr>
      </w:pPr>
      <w:r>
        <w:t xml:space="preserve">L’option accordée à VETALYX d’un droit exclusif de production des Produits sur décision de VETALYX.</w:t>
      </w:r>
    </w:p>
    <w:p>
      <w:pPr>
        <w:pStyle w:val="Compact"/>
        <w:numPr>
          <w:ilvl w:val="0"/>
          <w:numId w:val="1003"/>
        </w:numPr>
      </w:pPr>
      <w:r>
        <w:t xml:space="preserve">En cas d’exercice du droit de production, l’entrée de DIAHO au capital de VETALYX à hauteur de 40 % en contrepartie d’un apport en actifs intellectuels.</w:t>
      </w:r>
    </w:p>
    <w:p>
      <w:pPr>
        <w:pStyle w:val="FirstParagraph"/>
      </w:pPr>
      <w:r>
        <w:rPr>
          <w:rFonts w:hint="eastAsia"/>
        </w:rPr>
        <w:t xml:space="preserve">本协议旨在确立迪豪与VETALYX之间战略合作伙伴关系的总体框架，内容包括：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授予VETALYX在欧洲独家销售迪豪整合的兽用产品系列（以下简称”产品”）的权利。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授予VETALYX根据其自身决定获得产品独家生产权的选择权。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若VETALYX行使生产权，迪豪以知识产权资产出资，获得VETALYX</w:t>
      </w:r>
      <w:r>
        <w:t xml:space="preserve"> </w:t>
      </w:r>
      <w:r>
        <w:rPr>
          <w:rFonts w:hint="eastAsia"/>
        </w:rPr>
        <w:t xml:space="preserve">40%的股权。</w:t>
      </w:r>
    </w:p>
    <w:bookmarkEnd w:id="11"/>
    <w:bookmarkStart w:id="12" w:name="X7dbf5ca90cb48c085ed5bab9e0b17f621f1f10f"/>
    <w:p>
      <w:pPr>
        <w:pStyle w:val="Heading3"/>
      </w:pPr>
      <w:r>
        <w:t xml:space="preserve">Article 2 — Définition des Produits / </w:t>
      </w:r>
      <w:r>
        <w:rPr>
          <w:rFonts w:hint="eastAsia"/>
        </w:rPr>
        <w:t xml:space="preserve">第二条</w:t>
      </w:r>
      <w:r>
        <w:t xml:space="preserve"> — </w:t>
      </w:r>
      <w:r>
        <w:rPr>
          <w:rFonts w:hint="eastAsia"/>
        </w:rPr>
        <w:t xml:space="preserve">产品定义</w:t>
      </w:r>
    </w:p>
    <w:p>
      <w:pPr>
        <w:pStyle w:val="FirstParagraph"/>
      </w:pPr>
      <w:r>
        <w:t xml:space="preserve">Les « Produits » désignent l’ensemble de la gamme vétérinaire [diagnostics / vaccins / médicaments / dispositifs / à préciser] fédérée par DIAHO auprès de ses partenaires chinois, telle que définie à l’Annexe 1 (liste des produits).</w:t>
      </w:r>
    </w:p>
    <w:p>
      <w:pPr>
        <w:pStyle w:val="BodyText"/>
      </w:pPr>
      <w:r>
        <w:rPr>
          <w:b/>
          <w:bCs/>
        </w:rPr>
        <w:t xml:space="preserve">[À COMPLÉTER — Annexe 1 : liste des produits, références, catégories réglementaires]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c84a49ab27f6169c64e173a981049fa20875ed"/>
    <w:p>
      <w:pPr>
        <w:pStyle w:val="Heading2"/>
      </w:pPr>
      <w:r>
        <w:t xml:space="preserve">TITRE II — EXCLUSIVITÉ DE COMMERCIALISATION EN EUROPE</w:t>
      </w:r>
    </w:p>
    <w:bookmarkEnd w:id="14"/>
    <w:bookmarkStart w:id="18" w:name="第二章-欧洲独家销售权"/>
    <w:p>
      <w:pPr>
        <w:pStyle w:val="Heading2"/>
      </w:pPr>
      <w:r>
        <w:rPr>
          <w:rFonts w:hint="eastAsia"/>
        </w:rPr>
        <w:t xml:space="preserve">第二章</w:t>
      </w:r>
      <w:r>
        <w:t xml:space="preserve"> — </w:t>
      </w:r>
      <w:r>
        <w:rPr>
          <w:rFonts w:hint="eastAsia"/>
        </w:rPr>
        <w:t xml:space="preserve">欧洲独家销售权</w:t>
      </w:r>
    </w:p>
    <w:bookmarkStart w:id="15" w:name="X76f12d603a9a2a8feb1e63abaa26bebd5e42641"/>
    <w:p>
      <w:pPr>
        <w:pStyle w:val="Heading3"/>
      </w:pPr>
      <w:r>
        <w:t xml:space="preserve">Article 3 — Périmètre géographique / </w:t>
      </w:r>
      <w:r>
        <w:rPr>
          <w:rFonts w:hint="eastAsia"/>
        </w:rPr>
        <w:t xml:space="preserve">第三条</w:t>
      </w:r>
      <w:r>
        <w:t xml:space="preserve"> — </w:t>
      </w:r>
      <w:r>
        <w:rPr>
          <w:rFonts w:hint="eastAsia"/>
        </w:rPr>
        <w:t xml:space="preserve">地理范围</w:t>
      </w:r>
    </w:p>
    <w:p>
      <w:pPr>
        <w:pStyle w:val="FirstParagraph"/>
      </w:pPr>
      <w:r>
        <w:t xml:space="preserve">VETALYX bénéficie d’un droit exclusif de commercialisation des Produits sur le territoire européen défini comme suit : [Union européenne uniquement / EEE / Europe élargie — à préciser].</w:t>
      </w:r>
    </w:p>
    <w:p>
      <w:pPr>
        <w:pStyle w:val="BodyText"/>
      </w:pPr>
      <w:r>
        <w:rPr>
          <w:rFonts w:hint="eastAsia"/>
        </w:rPr>
        <w:t xml:space="preserve">VETALYX在以下欧洲地区享有产品独家销售权：[仅限欧盟/欧洲经济区/更广泛的欧洲地区——待明确]。</w:t>
      </w:r>
    </w:p>
    <w:bookmarkEnd w:id="15"/>
    <w:bookmarkStart w:id="16" w:name="X1f3506479e7c941018ee9ec37a1aa8f6e3a48ff"/>
    <w:p>
      <w:pPr>
        <w:pStyle w:val="Heading3"/>
      </w:pPr>
      <w:r>
        <w:t xml:space="preserve">Article 4 — Obligations de VETALYX / </w:t>
      </w:r>
      <w:r>
        <w:rPr>
          <w:rFonts w:hint="eastAsia"/>
        </w:rPr>
        <w:t xml:space="preserve">第四条</w:t>
      </w:r>
      <w:r>
        <w:t xml:space="preserve"> — </w:t>
      </w:r>
      <w:r>
        <w:rPr>
          <w:rFonts w:hint="eastAsia"/>
        </w:rPr>
        <w:t xml:space="preserve">VETALYX的义务</w:t>
      </w:r>
    </w:p>
    <w:p>
      <w:pPr>
        <w:pStyle w:val="Compact"/>
        <w:numPr>
          <w:ilvl w:val="0"/>
          <w:numId w:val="1005"/>
        </w:numPr>
      </w:pPr>
      <w:r>
        <w:t xml:space="preserve">Déployer les moyens commerciaux nécessaires à la distribution des Produits sur le territoire.</w:t>
      </w:r>
    </w:p>
    <w:p>
      <w:pPr>
        <w:pStyle w:val="Compact"/>
        <w:numPr>
          <w:ilvl w:val="0"/>
          <w:numId w:val="1005"/>
        </w:numPr>
      </w:pPr>
      <w:r>
        <w:t xml:space="preserve">Respecter les réglementations européennes applicables aux produits vétérinaires (Règlement UE 2019/6).</w:t>
      </w:r>
    </w:p>
    <w:p>
      <w:pPr>
        <w:pStyle w:val="Compact"/>
        <w:numPr>
          <w:ilvl w:val="0"/>
          <w:numId w:val="1005"/>
        </w:numPr>
      </w:pPr>
      <w:r>
        <w:t xml:space="preserve">Obtenir et maintenir les autorisations de mise sur le marché (AMM) nécessaires.</w:t>
      </w:r>
    </w:p>
    <w:p>
      <w:pPr>
        <w:pStyle w:val="Compact"/>
        <w:numPr>
          <w:ilvl w:val="0"/>
          <w:numId w:val="1005"/>
        </w:numPr>
      </w:pPr>
      <w:r>
        <w:t xml:space="preserve">Atteindre les objectifs minimaux de vente définis à l’Annexe 2 [à négocier].</w:t>
      </w:r>
    </w:p>
    <w:bookmarkEnd w:id="16"/>
    <w:bookmarkStart w:id="17" w:name="article-5-obligations-de-diaho-第五条-迪豪的义务"/>
    <w:p>
      <w:pPr>
        <w:pStyle w:val="Heading3"/>
      </w:pPr>
      <w:r>
        <w:t xml:space="preserve">Article 5 — Obligations de DIAHO / </w:t>
      </w:r>
      <w:r>
        <w:rPr>
          <w:rFonts w:hint="eastAsia"/>
        </w:rPr>
        <w:t xml:space="preserve">第五条</w:t>
      </w:r>
      <w:r>
        <w:t xml:space="preserve"> — </w:t>
      </w:r>
      <w:r>
        <w:rPr>
          <w:rFonts w:hint="eastAsia"/>
        </w:rPr>
        <w:t xml:space="preserve">迪豪的义务</w:t>
      </w:r>
    </w:p>
    <w:p>
      <w:pPr>
        <w:pStyle w:val="Compact"/>
        <w:numPr>
          <w:ilvl w:val="0"/>
          <w:numId w:val="1006"/>
        </w:numPr>
      </w:pPr>
      <w:r>
        <w:t xml:space="preserve">Fournir les Produits conformes aux spécifications techniques et normes qualité définies à l’Annexe 3.</w:t>
      </w:r>
    </w:p>
    <w:p>
      <w:pPr>
        <w:pStyle w:val="Compact"/>
        <w:numPr>
          <w:ilvl w:val="0"/>
          <w:numId w:val="1006"/>
        </w:numPr>
      </w:pPr>
      <w:r>
        <w:t xml:space="preserve">Garantir l’exclusivité territoriale européenne à VETALYX pour la durée du Contrat.</w:t>
      </w:r>
    </w:p>
    <w:p>
      <w:pPr>
        <w:pStyle w:val="Compact"/>
        <w:numPr>
          <w:ilvl w:val="0"/>
          <w:numId w:val="1006"/>
        </w:numPr>
      </w:pPr>
      <w:r>
        <w:t xml:space="preserve">Transmettre toute documentation technique, réglementaire et qualité nécessaire aux démarches d’AMM.</w:t>
      </w:r>
    </w:p>
    <w:p>
      <w:pPr>
        <w:pStyle w:val="Compact"/>
        <w:numPr>
          <w:ilvl w:val="0"/>
          <w:numId w:val="1006"/>
        </w:numPr>
      </w:pPr>
      <w:r>
        <w:t xml:space="preserve">Ne pas commercialiser directement ou indirectement les Produits en Europe pendant la durée du Contrat.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5c5ebead1ca4af4a6fcd80d94271e17ab1e24be"/>
    <w:p>
      <w:pPr>
        <w:pStyle w:val="Heading2"/>
      </w:pPr>
      <w:r>
        <w:t xml:space="preserve">TITRE III — DROIT DE PRODUCTION EXCLUSIF (OPTION)</w:t>
      </w:r>
    </w:p>
    <w:bookmarkEnd w:id="19"/>
    <w:bookmarkStart w:id="22" w:name="第三章-独家生产权选择权"/>
    <w:p>
      <w:pPr>
        <w:pStyle w:val="Heading2"/>
      </w:pPr>
      <w:r>
        <w:rPr>
          <w:rFonts w:hint="eastAsia"/>
        </w:rPr>
        <w:t xml:space="preserve">第三章</w:t>
      </w:r>
      <w:r>
        <w:t xml:space="preserve"> — </w:t>
      </w:r>
      <w:r>
        <w:rPr>
          <w:rFonts w:hint="eastAsia"/>
        </w:rPr>
        <w:t xml:space="preserve">独家生产权（选择权）</w:t>
      </w:r>
    </w:p>
    <w:bookmarkStart w:id="20" w:name="article-6-option-de-production-第六条-生产选择权"/>
    <w:p>
      <w:pPr>
        <w:pStyle w:val="Heading3"/>
      </w:pPr>
      <w:r>
        <w:t xml:space="preserve">Article 6 — Option de production / </w:t>
      </w:r>
      <w:r>
        <w:rPr>
          <w:rFonts w:hint="eastAsia"/>
        </w:rPr>
        <w:t xml:space="preserve">第六条</w:t>
      </w:r>
      <w:r>
        <w:t xml:space="preserve"> — </w:t>
      </w:r>
      <w:r>
        <w:rPr>
          <w:rFonts w:hint="eastAsia"/>
        </w:rPr>
        <w:t xml:space="preserve">生产选择权</w:t>
      </w:r>
    </w:p>
    <w:p>
      <w:pPr>
        <w:pStyle w:val="FirstParagraph"/>
      </w:pPr>
      <w:r>
        <w:t xml:space="preserve">VETALYX dispose d’une option de droit exclusif de production des Produits, exerçable selon les modalités suivantes :</w:t>
      </w:r>
    </w:p>
    <w:p>
      <w:pPr>
        <w:pStyle w:val="Compact"/>
        <w:numPr>
          <w:ilvl w:val="0"/>
          <w:numId w:val="1007"/>
        </w:numPr>
      </w:pPr>
      <w:r>
        <w:t xml:space="preserve">Notification écrite de VETALYX à DIAHO dans un délai de [X] mois suivant [événement déclencheur — à définir].</w:t>
      </w:r>
    </w:p>
    <w:p>
      <w:pPr>
        <w:pStyle w:val="Compact"/>
        <w:numPr>
          <w:ilvl w:val="0"/>
          <w:numId w:val="1007"/>
        </w:numPr>
      </w:pPr>
      <w:r>
        <w:t xml:space="preserve">L’option porte sur [tous les Produits / sous-ensemble à définir].</w:t>
      </w:r>
    </w:p>
    <w:p>
      <w:pPr>
        <w:pStyle w:val="Compact"/>
        <w:numPr>
          <w:ilvl w:val="0"/>
          <w:numId w:val="1007"/>
        </w:numPr>
      </w:pPr>
      <w:r>
        <w:t xml:space="preserve">L’exercice de l’option est irrévocable.</w:t>
      </w:r>
    </w:p>
    <w:p>
      <w:pPr>
        <w:pStyle w:val="FirstParagraph"/>
      </w:pPr>
      <w:r>
        <w:rPr>
          <w:rFonts w:hint="eastAsia"/>
        </w:rPr>
        <w:t xml:space="preserve">VETALYX享有产品独家生产权选择权，行使条件如下：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VETALYX须在[触发事件——待定义]后[X]个月内以书面形式通知迪豪。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该选择权涵盖[全部产品/待定义的产品子集]。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选择权一经行使，不可撤销。</w:t>
      </w:r>
    </w:p>
    <w:bookmarkEnd w:id="20"/>
    <w:bookmarkStart w:id="21" w:name="X07b481c3923261b4407354d3555cce120e6c0d7"/>
    <w:p>
      <w:pPr>
        <w:pStyle w:val="Heading3"/>
      </w:pPr>
      <w:r>
        <w:t xml:space="preserve">Article 7 — Transfert de technologie / </w:t>
      </w:r>
      <w:r>
        <w:rPr>
          <w:rFonts w:hint="eastAsia"/>
        </w:rPr>
        <w:t xml:space="preserve">第七条</w:t>
      </w:r>
      <w:r>
        <w:t xml:space="preserve"> — </w:t>
      </w:r>
      <w:r>
        <w:rPr>
          <w:rFonts w:hint="eastAsia"/>
        </w:rPr>
        <w:t xml:space="preserve">技术转让</w:t>
      </w:r>
    </w:p>
    <w:p>
      <w:pPr>
        <w:pStyle w:val="FirstParagraph"/>
      </w:pPr>
      <w:r>
        <w:t xml:space="preserve">En cas d’exercice de l’option de production, DIAHO s’engage à transférer à VETALYX :</w:t>
      </w:r>
    </w:p>
    <w:p>
      <w:pPr>
        <w:pStyle w:val="Compact"/>
        <w:numPr>
          <w:ilvl w:val="0"/>
          <w:numId w:val="1009"/>
        </w:numPr>
      </w:pPr>
      <w:r>
        <w:t xml:space="preserve">Les formulations, procédés de fabrication et savoir-faire nécessaires à la production des Produits.</w:t>
      </w:r>
    </w:p>
    <w:p>
      <w:pPr>
        <w:pStyle w:val="Compact"/>
        <w:numPr>
          <w:ilvl w:val="0"/>
          <w:numId w:val="1009"/>
        </w:numPr>
      </w:pPr>
      <w:r>
        <w:t xml:space="preserve">Les droits de propriété intellectuelle associés [licences / cessions — à préciser].</w:t>
      </w:r>
    </w:p>
    <w:p>
      <w:pPr>
        <w:pStyle w:val="Compact"/>
        <w:numPr>
          <w:ilvl w:val="0"/>
          <w:numId w:val="1009"/>
        </w:numPr>
      </w:pPr>
      <w:r>
        <w:t xml:space="preserve">L’assistance technique pour la mise en place des lignes de production.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4b9535a856507d9bb16da1ccbc4721ccb074520"/>
    <w:p>
      <w:pPr>
        <w:pStyle w:val="Heading2"/>
      </w:pPr>
      <w:r>
        <w:t xml:space="preserve">TITRE IV — ENTRÉE DE DIAHO AU CAPITAL DE VETALYX</w:t>
      </w:r>
    </w:p>
    <w:bookmarkEnd w:id="23"/>
    <w:bookmarkStart w:id="26" w:name="第四章-迪豪入股vetalyx"/>
    <w:p>
      <w:pPr>
        <w:pStyle w:val="Heading2"/>
      </w:pPr>
      <w:r>
        <w:rPr>
          <w:rFonts w:hint="eastAsia"/>
        </w:rPr>
        <w:t xml:space="preserve">第四章</w:t>
      </w:r>
      <w:r>
        <w:t xml:space="preserve"> — </w:t>
      </w:r>
      <w:r>
        <w:rPr>
          <w:rFonts w:hint="eastAsia"/>
        </w:rPr>
        <w:t xml:space="preserve">迪豪入股VETALYX</w:t>
      </w:r>
    </w:p>
    <w:bookmarkStart w:id="24" w:name="X7c9f881dec37bce25a3b6161658077f1e004266"/>
    <w:p>
      <w:pPr>
        <w:pStyle w:val="Heading3"/>
      </w:pPr>
      <w:r>
        <w:t xml:space="preserve">Article 8 — Conditions de l’entrée au capital / </w:t>
      </w:r>
      <w:r>
        <w:rPr>
          <w:rFonts w:hint="eastAsia"/>
        </w:rPr>
        <w:t xml:space="preserve">第八条</w:t>
      </w:r>
      <w:r>
        <w:t xml:space="preserve"> — </w:t>
      </w:r>
      <w:r>
        <w:rPr>
          <w:rFonts w:hint="eastAsia"/>
        </w:rPr>
        <w:t xml:space="preserve">入股条件</w:t>
      </w:r>
    </w:p>
    <w:p>
      <w:pPr>
        <w:pStyle w:val="FirstParagraph"/>
      </w:pPr>
      <w:r>
        <w:t xml:space="preserve">En contrepartie du transfert des actifs intellectuels visés à l’Article 7, et conditionné à l’exercice de l’option de production par VETALYX, DIAHO pourra recevoir une participation de</w:t>
      </w:r>
      <w:r>
        <w:t xml:space="preserve"> </w:t>
      </w:r>
      <w:r>
        <w:rPr>
          <w:b/>
          <w:bCs/>
        </w:rPr>
        <w:t xml:space="preserve">40 % du capital de VETALYX</w:t>
      </w:r>
      <w:r>
        <w:t xml:space="preserve">, selon les modalités suivantes :</w:t>
      </w:r>
    </w:p>
    <w:p>
      <w:pPr>
        <w:pStyle w:val="Compact"/>
        <w:numPr>
          <w:ilvl w:val="0"/>
          <w:numId w:val="1010"/>
        </w:numPr>
      </w:pPr>
      <w:r>
        <w:t xml:space="preserve">La valorisation des actifs intellectuels apportés est déterminée par [expert indépendant / méthode convenue — à préciser].</w:t>
      </w:r>
    </w:p>
    <w:p>
      <w:pPr>
        <w:pStyle w:val="Compact"/>
        <w:numPr>
          <w:ilvl w:val="0"/>
          <w:numId w:val="1010"/>
        </w:numPr>
      </w:pPr>
      <w:r>
        <w:t xml:space="preserve">L’entrée au capital est formalisée par une augmentation de capital réservée à DIAHO.</w:t>
      </w:r>
    </w:p>
    <w:p>
      <w:pPr>
        <w:pStyle w:val="Compact"/>
        <w:numPr>
          <w:ilvl w:val="0"/>
          <w:numId w:val="1010"/>
        </w:numPr>
      </w:pPr>
      <w:r>
        <w:t xml:space="preserve">Les droits politiques de DIAHO sont limités à [liste à définir — cf. pacte d’actionnaires].</w:t>
      </w:r>
    </w:p>
    <w:p>
      <w:pPr>
        <w:pStyle w:val="Compact"/>
        <w:numPr>
          <w:ilvl w:val="0"/>
          <w:numId w:val="1010"/>
        </w:numPr>
      </w:pPr>
      <w:r>
        <w:t xml:space="preserve">L’entrée de DIAHO au capital est soumise à l’agrément des fondateurs de VETALYX conformément au Pacte d’Actionnaires en vigueur.</w:t>
      </w:r>
    </w:p>
    <w:p>
      <w:pPr>
        <w:pStyle w:val="FirstParagraph"/>
      </w:pPr>
      <w:r>
        <w:rPr>
          <w:rFonts w:hint="eastAsia"/>
        </w:rPr>
        <w:t xml:space="preserve">作为第七条所述知识产权资产转让的对价，且以VETALYX行使生产选择权为前提，迪豪可获得</w:t>
      </w:r>
      <w:r>
        <w:rPr>
          <w:b/>
          <w:bCs/>
        </w:rPr>
        <w:t xml:space="preserve">VETALYX </w:t>
      </w:r>
      <w:r>
        <w:rPr>
          <w:rFonts w:hint="eastAsia"/>
          <w:b/>
          <w:bCs/>
        </w:rPr>
        <w:t xml:space="preserve">40%的股权</w:t>
      </w:r>
      <w:r>
        <w:rPr>
          <w:rFonts w:hint="eastAsia"/>
        </w:rPr>
        <w:t xml:space="preserve">，具体条件如下：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知识产权资产价值由[独立评估机构/约定方法——待明确]确定。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入股通过向迪豪定向增资方式完成。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迪豪的表决权限于[待定义清单——参见股东协议]。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迪豪入股须经VETALYX现有股东依据现行股东协议批准。</w:t>
      </w:r>
    </w:p>
    <w:bookmarkEnd w:id="24"/>
    <w:bookmarkStart w:id="25" w:name="X05f69b32a391d089a8476b5c9cbc24e41737138"/>
    <w:p>
      <w:pPr>
        <w:pStyle w:val="Heading3"/>
      </w:pPr>
      <w:r>
        <w:t xml:space="preserve">Article 9 — Nature des apports intellectuels / </w:t>
      </w:r>
      <w:r>
        <w:rPr>
          <w:rFonts w:hint="eastAsia"/>
        </w:rPr>
        <w:t xml:space="preserve">第九条</w:t>
      </w:r>
      <w:r>
        <w:t xml:space="preserve"> — </w:t>
      </w:r>
      <w:r>
        <w:rPr>
          <w:rFonts w:hint="eastAsia"/>
        </w:rPr>
        <w:t xml:space="preserve">知识产权出资性质</w:t>
      </w:r>
    </w:p>
    <w:p>
      <w:pPr>
        <w:pStyle w:val="FirstParagraph"/>
      </w:pPr>
      <w:r>
        <w:t xml:space="preserve">Les actifs intellectuels apportés par DIAHO comprennent, sans que cette liste soit limitative :</w:t>
      </w:r>
    </w:p>
    <w:p>
      <w:pPr>
        <w:pStyle w:val="Compact"/>
        <w:numPr>
          <w:ilvl w:val="0"/>
          <w:numId w:val="1012"/>
        </w:numPr>
      </w:pPr>
      <w:r>
        <w:t xml:space="preserve">Brevets, formules, procédés de fabrication relatifs aux Produits.</w:t>
      </w:r>
    </w:p>
    <w:p>
      <w:pPr>
        <w:pStyle w:val="Compact"/>
        <w:numPr>
          <w:ilvl w:val="0"/>
          <w:numId w:val="1012"/>
        </w:numPr>
      </w:pPr>
      <w:r>
        <w:t xml:space="preserve">Données cliniques et études d’efficacité disponibles.</w:t>
      </w:r>
    </w:p>
    <w:p>
      <w:pPr>
        <w:pStyle w:val="Compact"/>
        <w:numPr>
          <w:ilvl w:val="0"/>
          <w:numId w:val="1012"/>
        </w:numPr>
      </w:pPr>
      <w:r>
        <w:t xml:space="preserve">Marques et droits associés pour les marchés hors Europe [à préciser].</w:t>
      </w:r>
    </w:p>
    <w:p>
      <w:pPr>
        <w:pStyle w:val="Compact"/>
        <w:numPr>
          <w:ilvl w:val="0"/>
          <w:numId w:val="1012"/>
        </w:numPr>
      </w:pPr>
      <w:r>
        <w:t xml:space="preserve">Savoir-faire et données réglementaires (dossiers d’enregistrement).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itre-v-qualité-et-normes-第五章-质量与标准"/>
    <w:p>
      <w:pPr>
        <w:pStyle w:val="Heading2"/>
      </w:pPr>
      <w:r>
        <w:t xml:space="preserve">TITRE V — QUALITÉ ET NORMES / </w:t>
      </w:r>
      <w:r>
        <w:rPr>
          <w:rFonts w:hint="eastAsia"/>
        </w:rPr>
        <w:t xml:space="preserve">第五章</w:t>
      </w:r>
      <w:r>
        <w:t xml:space="preserve"> — </w:t>
      </w:r>
      <w:r>
        <w:rPr>
          <w:rFonts w:hint="eastAsia"/>
        </w:rPr>
        <w:t xml:space="preserve">质量与标准</w:t>
      </w:r>
    </w:p>
    <w:bookmarkStart w:id="27" w:name="article-10-référentiel-qualité-第十条-质量标准"/>
    <w:p>
      <w:pPr>
        <w:pStyle w:val="Heading3"/>
      </w:pPr>
      <w:r>
        <w:t xml:space="preserve">Article 10 — Référentiel qualité / </w:t>
      </w:r>
      <w:r>
        <w:rPr>
          <w:rFonts w:hint="eastAsia"/>
        </w:rPr>
        <w:t xml:space="preserve">第十条</w:t>
      </w:r>
      <w:r>
        <w:t xml:space="preserve"> — </w:t>
      </w:r>
      <w:r>
        <w:rPr>
          <w:rFonts w:hint="eastAsia"/>
        </w:rPr>
        <w:t xml:space="preserve">质量标准</w:t>
      </w:r>
    </w:p>
    <w:p>
      <w:pPr>
        <w:pStyle w:val="FirstParagraph"/>
      </w:pPr>
      <w:r>
        <w:t xml:space="preserve">Les Produits sont soumis aux normes qualité suivantes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Normes ISO applicables :</w:t>
      </w:r>
      <w:r>
        <w:t xml:space="preserve"> </w:t>
      </w:r>
      <w:r>
        <w:t xml:space="preserve">[ISO 9001 / normes VICH / autres — à préciser] adaptées au marché vétérinaire européen.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Référentiel BPF vétérinaires</w:t>
      </w:r>
      <w:r>
        <w:t xml:space="preserve"> </w:t>
      </w:r>
      <w:r>
        <w:t xml:space="preserve">: Bonnes Pratiques de Fabrication vétérinaires selon Règlement UE 2019/6.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Contrôle qualité entrant</w:t>
      </w:r>
      <w:r>
        <w:t xml:space="preserve"> </w:t>
      </w:r>
      <w:r>
        <w:t xml:space="preserve">: VETALYX se réserve le droit de faire contrôler chaque lot par un laboratoire indépendant agréé avant mise sur le marché.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Non-conformité</w:t>
      </w:r>
      <w:r>
        <w:t xml:space="preserve"> </w:t>
      </w:r>
      <w:r>
        <w:t xml:space="preserve">: tout lot non conforme est refusé aux frais de DIAHO.</w:t>
      </w:r>
    </w:p>
    <w:p>
      <w:pPr>
        <w:pStyle w:val="FirstParagraph"/>
      </w:pPr>
      <w:r>
        <w:rPr>
          <w:rFonts w:hint="eastAsia"/>
        </w:rPr>
        <w:t xml:space="preserve">产品须符合以下质量标准：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适用ISO标准：</w:t>
      </w:r>
      <w:r>
        <w:t xml:space="preserve">[ISO 9001 / </w:t>
      </w:r>
      <w:r>
        <w:rPr>
          <w:rFonts w:hint="eastAsia"/>
        </w:rPr>
        <w:t xml:space="preserve">VICH指南</w:t>
      </w:r>
      <w:r>
        <w:t xml:space="preserve"> / </w:t>
      </w:r>
      <w:r>
        <w:rPr>
          <w:rFonts w:hint="eastAsia"/>
        </w:rPr>
        <w:t xml:space="preserve">其他——待明确]，适用于欧洲兽用市场。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兽用GMP规范</w:t>
      </w:r>
      <w:r>
        <w:rPr>
          <w:rFonts w:hint="eastAsia"/>
        </w:rPr>
        <w:t xml:space="preserve">：依据欧盟法规2019/6的兽用药品生产质量管理规范。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进货质量控制</w:t>
      </w:r>
      <w:r>
        <w:rPr>
          <w:rFonts w:hint="eastAsia"/>
        </w:rPr>
        <w:t xml:space="preserve">：VETALYX保留在上市前委托经认可的独立实验室对每批产品进行检验的权利。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不合格处理</w:t>
      </w:r>
      <w:r>
        <w:rPr>
          <w:rFonts w:hint="eastAsia"/>
        </w:rPr>
        <w:t xml:space="preserve">：不合格批次由迪豪承担费用予以拒收。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itre-vi-conditions-financières-第六章-财务条款"/>
    <w:p>
      <w:pPr>
        <w:pStyle w:val="Heading2"/>
      </w:pPr>
      <w:r>
        <w:t xml:space="preserve">TITRE VI — CONDITIONS FINANCIÈRES / </w:t>
      </w:r>
      <w:r>
        <w:rPr>
          <w:rFonts w:hint="eastAsia"/>
        </w:rPr>
        <w:t xml:space="preserve">第六章</w:t>
      </w:r>
      <w:r>
        <w:t xml:space="preserve"> — </w:t>
      </w:r>
      <w:r>
        <w:rPr>
          <w:rFonts w:hint="eastAsia"/>
        </w:rPr>
        <w:t xml:space="preserve">财务条款</w:t>
      </w:r>
    </w:p>
    <w:bookmarkStart w:id="29" w:name="article-11-prix-et-conditions-第十一条-价格与条件"/>
    <w:p>
      <w:pPr>
        <w:pStyle w:val="Heading3"/>
      </w:pPr>
      <w:r>
        <w:t xml:space="preserve">Article 11 — Prix et conditions / </w:t>
      </w:r>
      <w:r>
        <w:rPr>
          <w:rFonts w:hint="eastAsia"/>
        </w:rPr>
        <w:t xml:space="preserve">第十一条</w:t>
      </w:r>
      <w:r>
        <w:t xml:space="preserve"> — </w:t>
      </w:r>
      <w:r>
        <w:rPr>
          <w:rFonts w:hint="eastAsia"/>
        </w:rPr>
        <w:t xml:space="preserve">价格与条件</w:t>
      </w:r>
    </w:p>
    <w:p>
      <w:pPr>
        <w:pStyle w:val="FirstParagraph"/>
      </w:pPr>
      <w:r>
        <w:rPr>
          <w:b/>
          <w:bCs/>
        </w:rPr>
        <w:t xml:space="preserve">[SQUELETTE — à négocier et compléter]</w:t>
      </w:r>
    </w:p>
    <w:p>
      <w:pPr>
        <w:pStyle w:val="Compact"/>
        <w:numPr>
          <w:ilvl w:val="0"/>
          <w:numId w:val="1015"/>
        </w:numPr>
      </w:pPr>
      <w:r>
        <w:t xml:space="preserve">Prix de transfert des Produits : [à définir — ex. prix de revient + marge / prix fixe par unité]</w:t>
      </w:r>
    </w:p>
    <w:p>
      <w:pPr>
        <w:pStyle w:val="Compact"/>
        <w:numPr>
          <w:ilvl w:val="0"/>
          <w:numId w:val="1015"/>
        </w:numPr>
      </w:pPr>
      <w:r>
        <w:t xml:space="preserve">Modalités de paiement : [délais, devise, Incoterms]</w:t>
      </w:r>
    </w:p>
    <w:p>
      <w:pPr>
        <w:pStyle w:val="Compact"/>
        <w:numPr>
          <w:ilvl w:val="0"/>
          <w:numId w:val="1015"/>
        </w:numPr>
      </w:pPr>
      <w:r>
        <w:t xml:space="preserve">Redevances de licence en cas de production : [% du CA / montant fixe / à définir]</w:t>
      </w:r>
    </w:p>
    <w:p>
      <w:pPr>
        <w:pStyle w:val="Compact"/>
        <w:numPr>
          <w:ilvl w:val="0"/>
          <w:numId w:val="1015"/>
        </w:numPr>
      </w:pPr>
      <w:r>
        <w:t xml:space="preserve">Révision annuelle des prix : [mécanisme d’indexation]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itre-vii-durée-et-résiliation-第七章-期限与终止"/>
    <w:p>
      <w:pPr>
        <w:pStyle w:val="Heading2"/>
      </w:pPr>
      <w:r>
        <w:t xml:space="preserve">TITRE VII — DURÉE ET RÉSILIATION / </w:t>
      </w:r>
      <w:r>
        <w:rPr>
          <w:rFonts w:hint="eastAsia"/>
        </w:rPr>
        <w:t xml:space="preserve">第七章</w:t>
      </w:r>
      <w:r>
        <w:t xml:space="preserve"> — </w:t>
      </w:r>
      <w:r>
        <w:rPr>
          <w:rFonts w:hint="eastAsia"/>
        </w:rPr>
        <w:t xml:space="preserve">期限与终止</w:t>
      </w:r>
    </w:p>
    <w:bookmarkStart w:id="31" w:name="article-12-durée-第十二条-期限"/>
    <w:p>
      <w:pPr>
        <w:pStyle w:val="Heading3"/>
      </w:pPr>
      <w:r>
        <w:t xml:space="preserve">Article 12 — Durée / </w:t>
      </w:r>
      <w:r>
        <w:rPr>
          <w:rFonts w:hint="eastAsia"/>
        </w:rPr>
        <w:t xml:space="preserve">第十二条</w:t>
      </w:r>
      <w:r>
        <w:t xml:space="preserve"> — </w:t>
      </w:r>
      <w:r>
        <w:rPr>
          <w:rFonts w:hint="eastAsia"/>
        </w:rPr>
        <w:t xml:space="preserve">期限</w:t>
      </w:r>
    </w:p>
    <w:p>
      <w:pPr>
        <w:pStyle w:val="FirstParagraph"/>
      </w:pPr>
      <w:r>
        <w:t xml:space="preserve">Le Contrat est conclu pour une durée initiale de [5 / 7 / 10] ans à compter de sa date de signature, renouvelable par tacite reconduction par périodes successives de [X] ans, sauf dénonciation par l’une des Parties avec un préavis de [12] mois.</w:t>
      </w:r>
    </w:p>
    <w:bookmarkEnd w:id="31"/>
    <w:bookmarkStart w:id="32" w:name="article-13-résiliation-第十三条-终止"/>
    <w:p>
      <w:pPr>
        <w:pStyle w:val="Heading3"/>
      </w:pPr>
      <w:r>
        <w:t xml:space="preserve">Article 13 — Résiliation / </w:t>
      </w:r>
      <w:r>
        <w:rPr>
          <w:rFonts w:hint="eastAsia"/>
        </w:rPr>
        <w:t xml:space="preserve">第十三条</w:t>
      </w:r>
      <w:r>
        <w:t xml:space="preserve"> — </w:t>
      </w:r>
      <w:r>
        <w:rPr>
          <w:rFonts w:hint="eastAsia"/>
        </w:rPr>
        <w:t xml:space="preserve">终止</w:t>
      </w:r>
    </w:p>
    <w:p>
      <w:pPr>
        <w:pStyle w:val="FirstParagraph"/>
      </w:pPr>
      <w:r>
        <w:rPr>
          <w:b/>
          <w:bCs/>
        </w:rPr>
        <w:t xml:space="preserve">[Cas de résiliation à définir : inexécution, insolvabilité, force majeure, changement de contrôle]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c4927ed532b1c8aadc096dec32d33783bdeef96"/>
    <w:p>
      <w:pPr>
        <w:pStyle w:val="Heading2"/>
      </w:pPr>
      <w:r>
        <w:t xml:space="preserve">TITRE VIII — DISPOSITIONS GÉNÉRALES / </w:t>
      </w:r>
      <w:r>
        <w:rPr>
          <w:rFonts w:hint="eastAsia"/>
        </w:rPr>
        <w:t xml:space="preserve">第八章</w:t>
      </w:r>
      <w:r>
        <w:t xml:space="preserve"> — </w:t>
      </w:r>
      <w:r>
        <w:rPr>
          <w:rFonts w:hint="eastAsia"/>
        </w:rPr>
        <w:t xml:space="preserve">一般条款</w:t>
      </w:r>
    </w:p>
    <w:bookmarkStart w:id="34" w:name="article-14-confidentialité-第十四条-保密"/>
    <w:p>
      <w:pPr>
        <w:pStyle w:val="Heading3"/>
      </w:pPr>
      <w:r>
        <w:t xml:space="preserve">Article 14 — Confidentialité / </w:t>
      </w:r>
      <w:r>
        <w:rPr>
          <w:rFonts w:hint="eastAsia"/>
        </w:rPr>
        <w:t xml:space="preserve">第十四条</w:t>
      </w:r>
      <w:r>
        <w:t xml:space="preserve"> — </w:t>
      </w:r>
      <w:r>
        <w:rPr>
          <w:rFonts w:hint="eastAsia"/>
        </w:rPr>
        <w:t xml:space="preserve">保密</w:t>
      </w:r>
    </w:p>
    <w:bookmarkEnd w:id="34"/>
    <w:bookmarkStart w:id="35" w:name="X0ae3682324de78b3aa7afec4446c48b925326ae"/>
    <w:p>
      <w:pPr>
        <w:pStyle w:val="Heading3"/>
      </w:pPr>
      <w:r>
        <w:t xml:space="preserve">Article 15 — Propriété intellectuelle / </w:t>
      </w:r>
      <w:r>
        <w:rPr>
          <w:rFonts w:hint="eastAsia"/>
        </w:rPr>
        <w:t xml:space="preserve">第十五条</w:t>
      </w:r>
      <w:r>
        <w:t xml:space="preserve"> — </w:t>
      </w:r>
      <w:r>
        <w:rPr>
          <w:rFonts w:hint="eastAsia"/>
        </w:rPr>
        <w:t xml:space="preserve">知识产权</w:t>
      </w:r>
    </w:p>
    <w:bookmarkEnd w:id="35"/>
    <w:bookmarkStart w:id="36" w:name="X87d91a81cda5bb3cdcceebf472541032789372f"/>
    <w:p>
      <w:pPr>
        <w:pStyle w:val="Heading3"/>
      </w:pPr>
      <w:r>
        <w:t xml:space="preserve">Article 16 — Droit applicable et juridiction / </w:t>
      </w:r>
      <w:r>
        <w:rPr>
          <w:rFonts w:hint="eastAsia"/>
        </w:rPr>
        <w:t xml:space="preserve">第十六条</w:t>
      </w:r>
      <w:r>
        <w:t xml:space="preserve"> — </w:t>
      </w:r>
      <w:r>
        <w:rPr>
          <w:rFonts w:hint="eastAsia"/>
        </w:rPr>
        <w:t xml:space="preserve">适用法律与管辖</w:t>
      </w:r>
    </w:p>
    <w:p>
      <w:pPr>
        <w:pStyle w:val="FirstParagraph"/>
      </w:pPr>
      <w:r>
        <w:rPr>
          <w:b/>
          <w:bCs/>
        </w:rPr>
        <w:t xml:space="preserve">[À DÉCIDER : droit français / droit chinois / droit d’un État tiers neutre (Singapour ?) / arbitrage CCI / CIETAC]</w:t>
      </w:r>
    </w:p>
    <w:bookmarkEnd w:id="36"/>
    <w:bookmarkStart w:id="37" w:name="article-17-langue-du-contrat-第十七条-合同语言"/>
    <w:p>
      <w:pPr>
        <w:pStyle w:val="Heading3"/>
      </w:pPr>
      <w:r>
        <w:t xml:space="preserve">Article 17 — Langue du contrat / </w:t>
      </w:r>
      <w:r>
        <w:rPr>
          <w:rFonts w:hint="eastAsia"/>
        </w:rPr>
        <w:t xml:space="preserve">第十七条</w:t>
      </w:r>
      <w:r>
        <w:t xml:space="preserve"> — </w:t>
      </w:r>
      <w:r>
        <w:rPr>
          <w:rFonts w:hint="eastAsia"/>
        </w:rPr>
        <w:t xml:space="preserve">合同语言</w:t>
      </w:r>
    </w:p>
    <w:p>
      <w:pPr>
        <w:pStyle w:val="FirstParagraph"/>
      </w:pPr>
      <w:r>
        <w:t xml:space="preserve">Le présent Contrat est rédigé en français et en chinois. En cas de divergence d’interprétation, la version [française / chinoise / les deux font foi à parts égales] prévaut.</w:t>
      </w:r>
    </w:p>
    <w:p>
      <w:pPr>
        <w:pStyle w:val="BodyText"/>
      </w:pPr>
      <w:r>
        <w:rPr>
          <w:rFonts w:hint="eastAsia"/>
        </w:rPr>
        <w:t xml:space="preserve">本协议以法文和中文书写。如存在解释分歧，以[法文/中文/两种文本具有同等效力]为准。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nnexes-附件"/>
    <w:p>
      <w:pPr>
        <w:pStyle w:val="Heading2"/>
      </w:pPr>
      <w:r>
        <w:t xml:space="preserve">ANNEXES / </w:t>
      </w: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Annexe 1</w:t>
      </w:r>
      <w:r>
        <w:t xml:space="preserve"> </w:t>
      </w:r>
      <w:r>
        <w:t xml:space="preserve">: Liste des Produits — </w:t>
      </w:r>
      <w:r>
        <w:rPr>
          <w:rFonts w:hint="eastAsia"/>
        </w:rPr>
        <w:t xml:space="preserve">产品清单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Annexe 2</w:t>
      </w:r>
      <w:r>
        <w:t xml:space="preserve"> </w:t>
      </w:r>
      <w:r>
        <w:t xml:space="preserve">: Objectifs minimaux de vente — </w:t>
      </w:r>
      <w:r>
        <w:rPr>
          <w:rFonts w:hint="eastAsia"/>
        </w:rPr>
        <w:t xml:space="preserve">最低销售目标</w:t>
      </w:r>
      <w:r>
        <w:t xml:space="preserve"> </w:t>
      </w:r>
      <w:r>
        <w:rPr>
          <w:i/>
          <w:iCs/>
        </w:rPr>
        <w:t xml:space="preserve">(à négocier)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Annexe 3</w:t>
      </w:r>
      <w:r>
        <w:t xml:space="preserve"> </w:t>
      </w:r>
      <w:r>
        <w:t xml:space="preserve">: Spécifications techniques et qualité — </w:t>
      </w:r>
      <w:r>
        <w:rPr>
          <w:rFonts w:hint="eastAsia"/>
        </w:rPr>
        <w:t xml:space="preserve">技术与质量规范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Annexe 4</w:t>
      </w:r>
      <w:r>
        <w:t xml:space="preserve"> </w:t>
      </w:r>
      <w:r>
        <w:t xml:space="preserve">: Liste des actifs intellectuels apportés par DIAHO — </w:t>
      </w:r>
      <w:r>
        <w:rPr>
          <w:rFonts w:hint="eastAsia"/>
        </w:rPr>
        <w:t xml:space="preserve">迪豪知识产权资产清单</w:t>
      </w:r>
      <w:r>
        <w:t xml:space="preserve"> </w:t>
      </w:r>
      <w:r>
        <w:rPr>
          <w:i/>
          <w:iCs/>
        </w:rPr>
        <w:t xml:space="preserve">(à compléter)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Annexe 5</w:t>
      </w:r>
      <w:r>
        <w:t xml:space="preserve"> </w:t>
      </w:r>
      <w:r>
        <w:t xml:space="preserve">: Méthode de valorisation des actifs intellectuels — </w:t>
      </w:r>
      <w:r>
        <w:rPr>
          <w:rFonts w:hint="eastAsia"/>
        </w:rPr>
        <w:t xml:space="preserve">知识产权估值方法</w:t>
      </w:r>
      <w:r>
        <w:t xml:space="preserve"> </w:t>
      </w:r>
      <w:r>
        <w:rPr>
          <w:i/>
          <w:iCs/>
        </w:rPr>
        <w:t xml:space="preserve">(à définir)</w:t>
      </w:r>
    </w:p>
    <w:p>
      <w:r>
        <w:pict>
          <v:rect style="width:0;height:1.5pt" o:hralign="center" o:hrstd="t" o:hr="t"/>
        </w:pict>
      </w:r>
    </w:p>
    <w:bookmarkEnd w:id="39"/>
    <w:bookmarkStart w:id="40" w:name="questions-de-clarification-renard"/>
    <w:p>
      <w:pPr>
        <w:pStyle w:val="Heading2"/>
      </w:pPr>
      <w:r>
        <w:t xml:space="preserve">QUESTIONS DE CLARIFICATION — RENARD</w:t>
      </w:r>
    </w:p>
    <w:bookmarkEnd w:id="40"/>
    <w:bookmarkStart w:id="41" w:name="待澄清问题-法律顾问"/>
    <w:p>
      <w:pPr>
        <w:pStyle w:val="Heading2"/>
      </w:pPr>
      <w:r>
        <w:rPr>
          <w:rFonts w:hint="eastAsia"/>
        </w:rPr>
        <w:t xml:space="preserve">待澄清问题</w:t>
      </w:r>
      <w:r>
        <w:t xml:space="preserve"> — </w:t>
      </w:r>
      <w:r>
        <w:rPr>
          <w:rFonts w:hint="eastAsia"/>
        </w:rPr>
        <w:t xml:space="preserve">法律顾问</w:t>
      </w:r>
    </w:p>
    <w:p>
      <w:pPr>
        <w:pStyle w:val="FirstParagraph"/>
      </w:pPr>
      <w:r>
        <w:rPr>
          <w:i/>
          <w:iCs/>
        </w:rPr>
        <w:t xml:space="preserve">À soumettre à JCH avant de passer à la version v2</w:t>
      </w:r>
    </w:p>
    <w:p>
      <w:pPr>
        <w:pStyle w:val="BodyText"/>
      </w:pPr>
      <w:r>
        <w:rPr>
          <w:b/>
          <w:bCs/>
        </w:rPr>
        <w:t xml:space="preserve">Sur les Produits</w:t>
      </w:r>
      <w:r>
        <w:t xml:space="preserve"> </w:t>
      </w:r>
      <w:r>
        <w:t xml:space="preserve">1. Quelle est la gamme exacte ? Diagnostics, vaccins, médicaments, dispositifs médicaux vétérinaires ? Une liste existe-t-elle déjà ?</w:t>
      </w:r>
      <w:r>
        <w:t xml:space="preserve"> </w:t>
      </w:r>
      <w:r>
        <w:t xml:space="preserve">2. DIAHO est-elle fabricante ou agrégateur/distributeur de produits fabriqués par ses partenaires chinois ? Cette distinction est critique pour les dossiers AMM.</w:t>
      </w:r>
      <w:r>
        <w:t xml:space="preserve"> </w:t>
      </w:r>
      <w:r>
        <w:t xml:space="preserve">3. Les produits sont-ils déjà enregistrés en Chine (équivalent AMM) ? Des dossiers réglementaires existent-ils ?</w:t>
      </w:r>
    </w:p>
    <w:p>
      <w:pPr>
        <w:pStyle w:val="BodyText"/>
      </w:pPr>
      <w:r>
        <w:rPr>
          <w:b/>
          <w:bCs/>
        </w:rPr>
        <w:t xml:space="preserve">Sur la commercialisation</w:t>
      </w:r>
      <w:r>
        <w:t xml:space="preserve"> </w:t>
      </w:r>
      <w:r>
        <w:t xml:space="preserve">4.</w:t>
      </w:r>
      <w:r>
        <w:t xml:space="preserve"> </w:t>
      </w:r>
      <w:r>
        <w:t xml:space="preserve">“Europe”</w:t>
      </w:r>
      <w:r>
        <w:t xml:space="preserve"> </w:t>
      </w:r>
      <w:r>
        <w:t xml:space="preserve">= Union européenne uniquement, ou Europe élargie (UK, Suisse, Norvège, EEE) ?</w:t>
      </w:r>
      <w:r>
        <w:t xml:space="preserve"> </w:t>
      </w:r>
      <w:r>
        <w:t xml:space="preserve">5. VETALYX a-t-elle déjà des autorisations vétérinaires en Europe, ou tout est à construire ?</w:t>
      </w:r>
      <w:r>
        <w:t xml:space="preserve"> </w:t>
      </w:r>
      <w:r>
        <w:t xml:space="preserve">6. Y a-t-il des minimums garantis de vente ? Si oui, quelle sanction en cas de non-atteinte ?</w:t>
      </w:r>
    </w:p>
    <w:p>
      <w:pPr>
        <w:pStyle w:val="BodyText"/>
      </w:pPr>
      <w:r>
        <w:rPr>
          <w:b/>
          <w:bCs/>
        </w:rPr>
        <w:t xml:space="preserve">Sur la production</w:t>
      </w:r>
      <w:r>
        <w:t xml:space="preserve"> </w:t>
      </w:r>
      <w:r>
        <w:t xml:space="preserve">7. Le droit de production porte-t-il sur tous les Produits ou un sous-ensemble ?</w:t>
      </w:r>
      <w:r>
        <w:t xml:space="preserve"> </w:t>
      </w:r>
      <w:r>
        <w:t xml:space="preserve">8. Quel est l’événement déclencheur de l’option ? (ex. atteinte d’un seuil de CA, décision unilatérale de VETALYX, etc.)</w:t>
      </w:r>
      <w:r>
        <w:t xml:space="preserve"> </w:t>
      </w:r>
      <w:r>
        <w:t xml:space="preserve">9. Quel délai entre l’exercice de l’option et le début effectif de la production ?</w:t>
      </w:r>
    </w:p>
    <w:p>
      <w:pPr>
        <w:pStyle w:val="BodyText"/>
      </w:pPr>
      <w:r>
        <w:rPr>
          <w:b/>
          <w:bCs/>
        </w:rPr>
        <w:t xml:space="preserve">Sur l’entrée au capital</w:t>
      </w:r>
      <w:r>
        <w:t xml:space="preserve"> </w:t>
      </w:r>
      <w:r>
        <w:t xml:space="preserve">10. Le 40% pour DIAHO est-il une obligation automatique en cas d’exercice de la production, ou une option supplémentaire ?</w:t>
      </w:r>
      <w:r>
        <w:t xml:space="preserve"> </w:t>
      </w:r>
      <w:r>
        <w:t xml:space="preserve">11. Comment valorise-t-on les actifs intellectuels apportés ? Qui mandate l’expert ?</w:t>
      </w:r>
      <w:r>
        <w:t xml:space="preserve"> </w:t>
      </w:r>
      <w:r>
        <w:t xml:space="preserve">12. DIAHO aura-t-elle des droits de vote ? Si oui, lesquels ? (Cf. Pacte d’actionnaires VETALYX existant)</w:t>
      </w:r>
      <w:r>
        <w:t xml:space="preserve"> </w:t>
      </w:r>
      <w:r>
        <w:t xml:space="preserve">13. Quid si les 4 fondateurs de VETALYX ne s’accordent pas sur l’entrée de DIAHO ? (Le Pacte impose l’unanimité pour certaines décisions)</w:t>
      </w:r>
    </w:p>
    <w:p>
      <w:pPr>
        <w:pStyle w:val="BodyText"/>
      </w:pPr>
      <w:r>
        <w:rPr>
          <w:b/>
          <w:bCs/>
        </w:rPr>
        <w:t xml:space="preserve">Sur la qualité</w:t>
      </w:r>
      <w:r>
        <w:t xml:space="preserve"> </w:t>
      </w:r>
      <w:r>
        <w:t xml:space="preserve">14. Quelles normes ISO précisément ? VICH est le référentiel international vétérinaire — est-il connu de DIAHO ?</w:t>
      </w:r>
      <w:r>
        <w:t xml:space="preserve"> </w:t>
      </w:r>
      <w:r>
        <w:t xml:space="preserve">15. Qui finance les audits qualité initiaux et les certifications ?</w:t>
      </w:r>
    </w:p>
    <w:p>
      <w:pPr>
        <w:pStyle w:val="BodyText"/>
      </w:pPr>
      <w:r>
        <w:rPr>
          <w:b/>
          <w:bCs/>
        </w:rPr>
        <w:t xml:space="preserve">Sur le juridique</w:t>
      </w:r>
      <w:r>
        <w:t xml:space="preserve"> </w:t>
      </w:r>
      <w:r>
        <w:t xml:space="preserve">16. Quel droit applicable ? Une partie chinoise préférera souvent le droit chinois ou un arbitrage CIETAC. VETALYX voudra le droit français ou un tiers neutre (Singapour, droit suisse).</w:t>
      </w:r>
      <w:r>
        <w:t xml:space="preserve"> </w:t>
      </w:r>
      <w:r>
        <w:t xml:space="preserve">17. Quelle langue fait foi en cas de divergence d’interprétation ?</w:t>
      </w:r>
    </w:p>
    <w:p>
      <w:r>
        <w:pict>
          <v:rect style="width:0;height:1.5pt" o:hralign="center" o:hrstd="t" o:hr="t"/>
        </w:pict>
      </w:r>
    </w:p>
    <w:bookmarkEnd w:id="41"/>
    <w:bookmarkStart w:id="42" w:name="X9ba27dd5a1f3891304727f3f93167bb7dcc766b"/>
    <w:p>
      <w:pPr>
        <w:pStyle w:val="Heading2"/>
      </w:pPr>
      <w:r>
        <w:t xml:space="preserve">NOTE DE JADE — TERMES SANS ÉQUIVALENT PROPRE EN CHINOIS JURIDIQUE</w:t>
      </w:r>
    </w:p>
    <w:p>
      <w:pPr>
        <w:pStyle w:val="FirstParagraph"/>
      </w:pPr>
      <w:r>
        <w:rPr>
          <w:i/>
          <w:iCs/>
        </w:rPr>
        <w:t xml:space="preserve">Signalés pour discussion avant finalisation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8"/>
        <w:gridCol w:w="2731"/>
        <w:gridCol w:w="3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 français</w:t>
            </w:r>
          </w:p>
        </w:tc>
        <w:tc>
          <w:tcPr/>
          <w:p>
            <w:pPr>
              <w:pStyle w:val="Compact"/>
            </w:pPr>
            <w:r>
              <w:t xml:space="preserve">Traduction proposée</w:t>
            </w:r>
          </w:p>
        </w:tc>
        <w:tc>
          <w:tcPr/>
          <w:p>
            <w:pPr>
              <w:pStyle w:val="Compact"/>
            </w:pPr>
            <w:r>
              <w:t xml:space="preserve">Risque d’interprétation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 cadre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框架协议</w:t>
            </w:r>
          </w:p>
        </w:tc>
        <w:tc>
          <w:tcPr/>
          <w:p>
            <w:pPr>
              <w:pStyle w:val="Compact"/>
            </w:pPr>
            <w:r>
              <w:t xml:space="preserve">Standard —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Exclusivité territoriale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区域独家权</w:t>
            </w:r>
          </w:p>
        </w:tc>
        <w:tc>
          <w:tcPr/>
          <w:p>
            <w:pPr>
              <w:pStyle w:val="Compact"/>
            </w:pPr>
            <w:r>
              <w:t xml:space="preserve">Solide mais la notion d’exclusivité peut être contestée en droit chinois selon la formulation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Apport en actifs intellectuels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知识产权出资</w:t>
            </w:r>
          </w:p>
        </w:tc>
        <w:tc>
          <w:tcPr/>
          <w:p>
            <w:pPr>
              <w:pStyle w:val="Compact"/>
            </w:pPr>
            <w:r>
              <w:t xml:space="preserve">Bien établi en droit chinois des sociétés — vérifier la valorisation légale max (en Chine, plafond 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de 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生产选择权</w:t>
            </w:r>
          </w:p>
        </w:tc>
        <w:tc>
          <w:tcPr/>
          <w:p>
            <w:pPr>
              <w:pStyle w:val="Compact"/>
            </w:pPr>
            <w:r>
              <w:t xml:space="preserve">Moins standard — à définir précisément dans une clause de définition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Bonnes Pratiques de Fabrication vétérinaires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兽用药品生产质量管理规范</w:t>
            </w:r>
            <w:r>
              <w:t xml:space="preserve"> </w:t>
            </w:r>
            <w:r>
              <w:rPr>
                <w:rFonts w:hint="eastAsia"/>
              </w:rPr>
              <w:t xml:space="preserve">(GMP兽用)</w:t>
            </w:r>
          </w:p>
        </w:tc>
        <w:tc>
          <w:tcPr/>
          <w:p>
            <w:pPr>
              <w:pStyle w:val="Compact"/>
            </w:pPr>
            <w:r>
              <w:t xml:space="preserve">Terme réglementaire européen sans équivalent direct en Chine — expliquer dans une note de bas de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Autorisation de Mise sur le Marché (AMM)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上市许可</w:t>
            </w:r>
          </w:p>
        </w:tc>
        <w:tc>
          <w:tcPr/>
          <w:p>
            <w:pPr>
              <w:pStyle w:val="Compact"/>
            </w:pPr>
            <w:r>
              <w:t xml:space="preserve">Le terme est compris mais le processus européen est très différent — clarifier dans l’Annexe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Fin du squelette v1 —</w:t>
      </w:r>
    </w:p>
    <w:p>
      <w:pPr>
        <w:pStyle w:val="BodyText"/>
      </w:pPr>
      <w:r>
        <w:rPr>
          <w:i/>
          <w:iCs/>
        </w:rPr>
        <w:t xml:space="preserve">Prochaine étape : réponses de JCH aux questions de clarification → Renard rédige v2 complète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2026-05-10T19:00:06Z</dcterms:created>
  <dcterms:modified xsi:type="dcterms:W3CDTF">2026-05-10T19:00:06Z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langue">
    <vt:lpwstr>FR + ZH (bilingue dès v1)</vt:lpwstr>
  </property>
  <property fmtid="{D5CDD505-2E9C-101B-9397-08002B2CF9AE}" pid="4" name="specialists">
    <vt:lpwstr>Renard + Jade</vt:lpwstr>
  </property>
  <property fmtid="{D5CDD505-2E9C-101B-9397-08002B2CF9AE}" pid="5" name="status">
    <vt:lpwstr>SKELETON — questions de clarification en attente de réponse</vt:lpwstr>
  </property>
  <property fmtid="{D5CDD505-2E9C-101B-9397-08002B2CF9AE}" pid="6" name="topic">
    <vt:lpwstr>Contrat Cadre DIAHO / VETALYX — Squelette v1 (draft)</vt:lpwstr>
  </property>
</Properties>
</file>