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B0E9" w14:textId="77777777" w:rsidR="00195018" w:rsidRPr="00195018" w:rsidRDefault="00195018" w:rsidP="0019501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195018">
        <w:rPr>
          <w:rFonts w:asciiTheme="minorHAnsi" w:hAnsiTheme="minorHAnsi"/>
        </w:rPr>
        <w:t>Contrat de prestation de services (lancement Europe)</w:t>
      </w:r>
    </w:p>
    <w:p w14:paraId="573AB635" w14:textId="77777777" w:rsidR="00195018" w:rsidRPr="00195018" w:rsidRDefault="00195018" w:rsidP="0019501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195018">
        <w:rPr>
          <w:rFonts w:asciiTheme="minorHAnsi" w:hAnsiTheme="minorHAnsi"/>
        </w:rPr>
        <w:t>Contrat-cadre d’approvisionnement</w:t>
      </w:r>
    </w:p>
    <w:p w14:paraId="026CE7C0" w14:textId="77777777" w:rsidR="00195018" w:rsidRPr="00195018" w:rsidRDefault="00195018" w:rsidP="0019501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195018">
        <w:rPr>
          <w:rFonts w:asciiTheme="minorHAnsi" w:hAnsiTheme="minorHAnsi"/>
        </w:rPr>
        <w:t>Pacte d’option d’entrée au capital (sous seing privé)</w:t>
      </w:r>
    </w:p>
    <w:p w14:paraId="4562D6B0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────────────────────────</w:t>
      </w:r>
      <w:r w:rsidRPr="00195018">
        <w:rPr>
          <w:rFonts w:asciiTheme="minorHAnsi" w:hAnsiTheme="minorHAnsi"/>
        </w:rPr>
        <w:br/>
        <w:t>DOCUMENT 1</w:t>
      </w:r>
      <w:r w:rsidRPr="00195018">
        <w:rPr>
          <w:rFonts w:asciiTheme="minorHAnsi" w:hAnsiTheme="minorHAnsi"/>
        </w:rPr>
        <w:br/>
        <w:t>CONTRAT DE PRESTATION DE SERVICES</w:t>
      </w:r>
      <w:r w:rsidRPr="00195018">
        <w:rPr>
          <w:rFonts w:asciiTheme="minorHAnsi" w:hAnsiTheme="minorHAnsi"/>
        </w:rPr>
        <w:br/>
        <w:t>────────────────────────</w:t>
      </w:r>
    </w:p>
    <w:p w14:paraId="7BD2FC6B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Entre :</w:t>
      </w:r>
    </w:p>
    <w:p w14:paraId="682A96F2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La société VETALYS, société à responsabilité limitée au capital de [●] euros, immatriculée au RCS de [●], dont le siège social est situé [●], représentée par [Nom], en qualité de Gérant,</w:t>
      </w:r>
    </w:p>
    <w:p w14:paraId="44EDA857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Ci-après « VETALYS »,</w:t>
      </w:r>
    </w:p>
    <w:p w14:paraId="6C5FF70E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Et :</w:t>
      </w:r>
    </w:p>
    <w:p w14:paraId="3895D20B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La société DIAHO [dénomination complète], société de droit chinois, dont le siège est situé [●], représentée par [Nom], en qualité de [●],</w:t>
      </w:r>
    </w:p>
    <w:p w14:paraId="66A7B082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Ci-après « DIAHO »,</w:t>
      </w:r>
    </w:p>
    <w:p w14:paraId="4A2B5420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Il est convenu ce qui suit :</w:t>
      </w:r>
    </w:p>
    <w:p w14:paraId="7B4734DA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1 – Objet</w:t>
      </w:r>
    </w:p>
    <w:p w14:paraId="75C3783E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Le présent contrat a pour objet la réalisation par VETALYS d’une mission globale de lancement et de structuration de l’activité des produits DIAHO sur le territoire européen.</w:t>
      </w:r>
    </w:p>
    <w:p w14:paraId="66E8D5B0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2 – Contenu de la mission</w:t>
      </w:r>
    </w:p>
    <w:p w14:paraId="0D5AA1D3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La mission comprend notamment :</w:t>
      </w:r>
    </w:p>
    <w:p w14:paraId="68FEC9CE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– Analyse réglementaire européenne</w:t>
      </w:r>
      <w:r w:rsidRPr="00195018">
        <w:rPr>
          <w:rFonts w:asciiTheme="minorHAnsi" w:hAnsiTheme="minorHAnsi"/>
        </w:rPr>
        <w:br/>
        <w:t>– Structuration des démarches d’enregistrement et conformité</w:t>
      </w:r>
      <w:r w:rsidRPr="00195018">
        <w:rPr>
          <w:rFonts w:asciiTheme="minorHAnsi" w:hAnsiTheme="minorHAnsi"/>
        </w:rPr>
        <w:br/>
        <w:t>– Déploiement marketing stratégique</w:t>
      </w:r>
      <w:r w:rsidRPr="00195018">
        <w:rPr>
          <w:rFonts w:asciiTheme="minorHAnsi" w:hAnsiTheme="minorHAnsi"/>
        </w:rPr>
        <w:br/>
        <w:t>– Mise en place du réseau commercial</w:t>
      </w:r>
      <w:r w:rsidRPr="00195018">
        <w:rPr>
          <w:rFonts w:asciiTheme="minorHAnsi" w:hAnsiTheme="minorHAnsi"/>
        </w:rPr>
        <w:br/>
        <w:t>– Négociation avec distributeurs et partenaires</w:t>
      </w:r>
      <w:r w:rsidRPr="00195018">
        <w:rPr>
          <w:rFonts w:asciiTheme="minorHAnsi" w:hAnsiTheme="minorHAnsi"/>
        </w:rPr>
        <w:br/>
        <w:t>– Structuration logistique initiale</w:t>
      </w:r>
    </w:p>
    <w:p w14:paraId="1190DFD8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3 – Rémunération</w:t>
      </w:r>
    </w:p>
    <w:p w14:paraId="7DE82C8B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En contrepartie de la mission, DIAHO versera à VETALYS une rémunération forfaitaire de 100.000 euros HT.</w:t>
      </w:r>
    </w:p>
    <w:p w14:paraId="4F01D0D9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lastRenderedPageBreak/>
        <w:t>Modalités :</w:t>
      </w:r>
    </w:p>
    <w:p w14:paraId="13B5F485" w14:textId="2C7CA812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 xml:space="preserve">– </w:t>
      </w:r>
      <w:r>
        <w:rPr>
          <w:rFonts w:asciiTheme="minorHAnsi" w:hAnsiTheme="minorHAnsi"/>
        </w:rPr>
        <w:t>100</w:t>
      </w:r>
      <w:r w:rsidRPr="00195018">
        <w:rPr>
          <w:rFonts w:asciiTheme="minorHAnsi" w:hAnsiTheme="minorHAnsi"/>
        </w:rPr>
        <w:t xml:space="preserve"> % à la signature</w:t>
      </w:r>
      <w:r w:rsidRPr="00195018">
        <w:rPr>
          <w:rFonts w:asciiTheme="minorHAnsi" w:hAnsiTheme="minorHAnsi"/>
        </w:rPr>
        <w:br/>
      </w:r>
    </w:p>
    <w:p w14:paraId="46724412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4 – Indépendance</w:t>
      </w:r>
    </w:p>
    <w:p w14:paraId="28AA3165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VETALYS agit en qualité de prestataire indépendant. Le présent contrat ne crée aucun lien de subordination ni société de fait entre les parties.</w:t>
      </w:r>
    </w:p>
    <w:p w14:paraId="2435B4C7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5 – Garantie d’approvisionnement</w:t>
      </w:r>
    </w:p>
    <w:p w14:paraId="3B64FBE7" w14:textId="55F60D5E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DIAHO s’engage à garantir à VETALYS la fourniture prioritaire de kits de diagnostic et d’instruments de lecture, dans la limite d’un plafond cumulé de 50.000 euros HT sur une période de [●] mois.</w:t>
      </w:r>
      <w:r>
        <w:rPr>
          <w:rFonts w:asciiTheme="minorHAnsi" w:hAnsiTheme="minorHAnsi"/>
        </w:rPr>
        <w:t xml:space="preserve"> Voir contrat d’aprovissionement</w:t>
      </w:r>
    </w:p>
    <w:p w14:paraId="2C209CF1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Les commandes seront passées selon les besoins de développement de VETALYS.</w:t>
      </w:r>
    </w:p>
    <w:p w14:paraId="7A31A316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6 – Propriété intellectuelle</w:t>
      </w:r>
    </w:p>
    <w:p w14:paraId="5D4A8584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Chaque partie conserve la propriété de ses droits antérieurs. Les supports développés dans le cadre de la mission appartiennent à VETALYS sauf stipulation contraire.</w:t>
      </w:r>
    </w:p>
    <w:p w14:paraId="0EF102D5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7 – Durée</w:t>
      </w:r>
    </w:p>
    <w:p w14:paraId="4F064BBE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Le contrat est conclu pour une durée de [●] mois.</w:t>
      </w:r>
    </w:p>
    <w:p w14:paraId="3F9491DD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8 – Droit applicable</w:t>
      </w:r>
    </w:p>
    <w:p w14:paraId="41AC9CF5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Droit français – Tribunal compétent : [●].</w:t>
      </w:r>
    </w:p>
    <w:p w14:paraId="160E3C65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────────────────────────</w:t>
      </w:r>
      <w:r w:rsidRPr="00195018">
        <w:rPr>
          <w:rFonts w:asciiTheme="minorHAnsi" w:hAnsiTheme="minorHAnsi"/>
        </w:rPr>
        <w:br/>
        <w:t>DOCUMENT 2</w:t>
      </w:r>
      <w:r w:rsidRPr="00195018">
        <w:rPr>
          <w:rFonts w:asciiTheme="minorHAnsi" w:hAnsiTheme="minorHAnsi"/>
        </w:rPr>
        <w:br/>
        <w:t>CONTRAT-CADRE D’APPROVISIONNEMENT</w:t>
      </w:r>
      <w:r w:rsidRPr="00195018">
        <w:rPr>
          <w:rFonts w:asciiTheme="minorHAnsi" w:hAnsiTheme="minorHAnsi"/>
        </w:rPr>
        <w:br/>
        <w:t>────────────────────────</w:t>
      </w:r>
    </w:p>
    <w:p w14:paraId="3B2FBCEB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Ce contrat peut être intégré au précédent ou autonome.</w:t>
      </w:r>
    </w:p>
    <w:p w14:paraId="316F4F20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Points essentiels :</w:t>
      </w:r>
    </w:p>
    <w:p w14:paraId="163B4A9B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– Plafond : 50.000 euros HT</w:t>
      </w:r>
      <w:r w:rsidRPr="00195018">
        <w:rPr>
          <w:rFonts w:asciiTheme="minorHAnsi" w:hAnsiTheme="minorHAnsi"/>
        </w:rPr>
        <w:br/>
        <w:t>– Tarification préférentielle définie en annexe</w:t>
      </w:r>
      <w:r w:rsidRPr="00195018">
        <w:rPr>
          <w:rFonts w:asciiTheme="minorHAnsi" w:hAnsiTheme="minorHAnsi"/>
        </w:rPr>
        <w:br/>
        <w:t>– Délai de livraison garanti</w:t>
      </w:r>
      <w:r w:rsidRPr="00195018">
        <w:rPr>
          <w:rFonts w:asciiTheme="minorHAnsi" w:hAnsiTheme="minorHAnsi"/>
        </w:rPr>
        <w:br/>
        <w:t>– Clause d’exclusivité territoriale Europe au profit de VETALYS</w:t>
      </w:r>
      <w:r w:rsidRPr="00195018">
        <w:rPr>
          <w:rFonts w:asciiTheme="minorHAnsi" w:hAnsiTheme="minorHAnsi"/>
        </w:rPr>
        <w:br/>
        <w:t>– Condition suspensive : conformité réglementaire obtenue</w:t>
      </w:r>
    </w:p>
    <w:p w14:paraId="7BA9D6D3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clé :</w:t>
      </w:r>
    </w:p>
    <w:p w14:paraId="3DA35789" w14:textId="4DE270B3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lastRenderedPageBreak/>
        <w:t>DIAHO accorde à VETALYS une exclusivité territoriale pour la distribution de ses produits sur le territoire européen</w:t>
      </w:r>
      <w:r>
        <w:rPr>
          <w:rFonts w:asciiTheme="minorHAnsi" w:hAnsiTheme="minorHAnsi"/>
        </w:rPr>
        <w:t>/</w:t>
      </w:r>
    </w:p>
    <w:p w14:paraId="3E61F86A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────────────────────────</w:t>
      </w:r>
      <w:r w:rsidRPr="00195018">
        <w:rPr>
          <w:rFonts w:asciiTheme="minorHAnsi" w:hAnsiTheme="minorHAnsi"/>
        </w:rPr>
        <w:br/>
        <w:t>DOCUMENT 3</w:t>
      </w:r>
      <w:r w:rsidRPr="00195018">
        <w:rPr>
          <w:rFonts w:asciiTheme="minorHAnsi" w:hAnsiTheme="minorHAnsi"/>
        </w:rPr>
        <w:br/>
        <w:t>PACTE D’OPTION D’ENTRÉE AU CAPITAL</w:t>
      </w:r>
      <w:r w:rsidRPr="00195018">
        <w:rPr>
          <w:rFonts w:asciiTheme="minorHAnsi" w:hAnsiTheme="minorHAnsi"/>
        </w:rPr>
        <w:br/>
        <w:t>────────────────────────</w:t>
      </w:r>
    </w:p>
    <w:p w14:paraId="4F83C596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Entre :</w:t>
      </w:r>
    </w:p>
    <w:p w14:paraId="0D3FE57C" w14:textId="47E2876D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 xml:space="preserve">Les associés fondateurs de VETALYS (détenant </w:t>
      </w:r>
      <w:r>
        <w:rPr>
          <w:rFonts w:asciiTheme="minorHAnsi" w:hAnsiTheme="minorHAnsi"/>
        </w:rPr>
        <w:t>avant signature 100</w:t>
      </w:r>
      <w:r w:rsidRPr="00195018">
        <w:rPr>
          <w:rFonts w:asciiTheme="minorHAnsi" w:hAnsiTheme="minorHAnsi"/>
        </w:rPr>
        <w:t xml:space="preserve"> % à parts égales)</w:t>
      </w:r>
    </w:p>
    <w:p w14:paraId="67537F4A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Et</w:t>
      </w:r>
    </w:p>
    <w:p w14:paraId="09473166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DIAHO</w:t>
      </w:r>
    </w:p>
    <w:p w14:paraId="0B3EBEAB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1 – Objet</w:t>
      </w:r>
    </w:p>
    <w:p w14:paraId="01256AD6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Le présent pacte organise les conditions dans lesquelles DIAHO pourra entrer au capital de VETALYS.</w:t>
      </w:r>
    </w:p>
    <w:p w14:paraId="13803683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2 – Mécanisme</w:t>
      </w:r>
    </w:p>
    <w:p w14:paraId="38B7FDDB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DIAHO bénéficiera d’une option d’acquisition lui permettant d’atteindre jusqu’à 40 % du capital social de VETALYS.</w:t>
      </w:r>
    </w:p>
    <w:p w14:paraId="05929DBB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3 – Modalité de transformation</w:t>
      </w:r>
    </w:p>
    <w:p w14:paraId="64B9BEA9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Les montants correspondant aux ventes de kits et instruments effectuées au bénéfice de VETALYS, dans la limite du plafond contractuel, pourront être convertis en capital par voie :</w:t>
      </w:r>
    </w:p>
    <w:p w14:paraId="44D44E48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– soit d’augmentation de capital réservée,</w:t>
      </w:r>
      <w:r w:rsidRPr="00195018">
        <w:rPr>
          <w:rFonts w:asciiTheme="minorHAnsi" w:hAnsiTheme="minorHAnsi"/>
        </w:rPr>
        <w:br/>
        <w:t>– soit de cession de parts existantes,</w:t>
      </w:r>
      <w:r w:rsidRPr="00195018">
        <w:rPr>
          <w:rFonts w:asciiTheme="minorHAnsi" w:hAnsiTheme="minorHAnsi"/>
        </w:rPr>
        <w:br/>
        <w:t>selon décision collective des associés.</w:t>
      </w:r>
    </w:p>
    <w:p w14:paraId="1FCC07C9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4 – Valorisation</w:t>
      </w:r>
    </w:p>
    <w:p w14:paraId="71536583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La valorisation sera déterminée au moment de l’exercice de l’option d’un commun accord entre les parties.</w:t>
      </w:r>
    </w:p>
    <w:p w14:paraId="276A34F9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À défaut d’accord dans un délai de [60 jours], la valorisation sera déterminée par un expert indépendant désigné d’un commun accord.</w:t>
      </w:r>
    </w:p>
    <w:p w14:paraId="307EFAF7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5 – Exercice de l’option</w:t>
      </w:r>
    </w:p>
    <w:p w14:paraId="126EACA7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L’option pourra être exercée à tout moment dans un délai de [●] ans à compter de la signature.</w:t>
      </w:r>
    </w:p>
    <w:p w14:paraId="3AE22AC1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lastRenderedPageBreak/>
        <w:t>Article 6 – Gouvernance</w:t>
      </w:r>
    </w:p>
    <w:p w14:paraId="118F0EC6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À compter de l’entrée au capital :</w:t>
      </w:r>
    </w:p>
    <w:p w14:paraId="3836818B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– DIAHO pourra désigner un représentant</w:t>
      </w:r>
      <w:r w:rsidRPr="00195018">
        <w:rPr>
          <w:rFonts w:asciiTheme="minorHAnsi" w:hAnsiTheme="minorHAnsi"/>
        </w:rPr>
        <w:br/>
        <w:t>– Certaines décisions stratégiques feront l’objet d’une majorité qualifiée</w:t>
      </w:r>
    </w:p>
    <w:p w14:paraId="1E149381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Article 7 – Sortie</w:t>
      </w:r>
    </w:p>
    <w:p w14:paraId="166B85D2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Clauses à prévoir :</w:t>
      </w:r>
    </w:p>
    <w:p w14:paraId="35F9877B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– Droit de préemption</w:t>
      </w:r>
      <w:r w:rsidRPr="00195018">
        <w:rPr>
          <w:rFonts w:asciiTheme="minorHAnsi" w:hAnsiTheme="minorHAnsi"/>
        </w:rPr>
        <w:br/>
        <w:t>– Clause d’agrément</w:t>
      </w:r>
      <w:r w:rsidRPr="00195018">
        <w:rPr>
          <w:rFonts w:asciiTheme="minorHAnsi" w:hAnsiTheme="minorHAnsi"/>
        </w:rPr>
        <w:br/>
        <w:t>– Clause de sortie conjointe (tag along)</w:t>
      </w:r>
      <w:r w:rsidRPr="00195018">
        <w:rPr>
          <w:rFonts w:asciiTheme="minorHAnsi" w:hAnsiTheme="minorHAnsi"/>
        </w:rPr>
        <w:br/>
        <w:t>– Clause d’exclusion éventuelle</w:t>
      </w:r>
    </w:p>
    <w:p w14:paraId="40CF4A62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────────────────────────</w:t>
      </w:r>
      <w:r w:rsidRPr="00195018">
        <w:rPr>
          <w:rFonts w:asciiTheme="minorHAnsi" w:hAnsiTheme="minorHAnsi"/>
        </w:rPr>
        <w:br/>
        <w:t>ANALYSE JURIDIQUE IMPORTANTE</w:t>
      </w:r>
      <w:r w:rsidRPr="00195018">
        <w:rPr>
          <w:rFonts w:asciiTheme="minorHAnsi" w:hAnsiTheme="minorHAnsi"/>
        </w:rPr>
        <w:br/>
        <w:t>────────────────────────</w:t>
      </w:r>
    </w:p>
    <w:p w14:paraId="6B655D21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Le mécanisme « transformation des ventes en capital » est sensible.</w:t>
      </w:r>
    </w:p>
    <w:p w14:paraId="2AB2986D" w14:textId="77777777" w:rsidR="00195018" w:rsidRPr="00195018" w:rsidRDefault="00195018" w:rsidP="00195018">
      <w:pPr>
        <w:pStyle w:val="NormalWeb"/>
        <w:rPr>
          <w:rFonts w:asciiTheme="minorHAnsi" w:hAnsiTheme="minorHAnsi"/>
        </w:rPr>
      </w:pPr>
      <w:r w:rsidRPr="00195018">
        <w:rPr>
          <w:rFonts w:asciiTheme="minorHAnsi" w:hAnsiTheme="minorHAnsi"/>
        </w:rPr>
        <w:t>Points de vigilance majeurs :</w:t>
      </w:r>
    </w:p>
    <w:p w14:paraId="208E548F" w14:textId="77777777" w:rsidR="00195018" w:rsidRPr="00195018" w:rsidRDefault="00195018" w:rsidP="0019501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195018">
        <w:rPr>
          <w:rFonts w:asciiTheme="minorHAnsi" w:hAnsiTheme="minorHAnsi"/>
        </w:rPr>
        <w:t>Risque de requalification fiscale si absence de valorisation objective</w:t>
      </w:r>
    </w:p>
    <w:p w14:paraId="0F4EA5F4" w14:textId="77777777" w:rsidR="00195018" w:rsidRPr="00195018" w:rsidRDefault="00195018" w:rsidP="0019501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195018">
        <w:rPr>
          <w:rFonts w:asciiTheme="minorHAnsi" w:hAnsiTheme="minorHAnsi"/>
        </w:rPr>
        <w:t>Risque de conflit si absence de formule de calcul</w:t>
      </w:r>
    </w:p>
    <w:p w14:paraId="5741375D" w14:textId="77777777" w:rsidR="00195018" w:rsidRPr="00195018" w:rsidRDefault="00195018" w:rsidP="0019501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195018">
        <w:rPr>
          <w:rFonts w:asciiTheme="minorHAnsi" w:hAnsiTheme="minorHAnsi"/>
        </w:rPr>
        <w:t>Risque de déséquilibre pour les fondateurs</w:t>
      </w:r>
    </w:p>
    <w:p w14:paraId="7BF5CDB0" w14:textId="77777777" w:rsidR="00195018" w:rsidRPr="00195018" w:rsidRDefault="00195018" w:rsidP="0019501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195018">
        <w:rPr>
          <w:rFonts w:asciiTheme="minorHAnsi" w:hAnsiTheme="minorHAnsi"/>
        </w:rPr>
        <w:t>Nécessité d’encadrer strictement l’exclusivité Europe</w:t>
      </w:r>
    </w:p>
    <w:p w14:paraId="3C88FE85" w14:textId="77777777" w:rsidR="00195018" w:rsidRPr="00195018" w:rsidRDefault="00195018" w:rsidP="00195018"/>
    <w:sectPr w:rsidR="00195018" w:rsidRPr="00195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D22AA"/>
    <w:multiLevelType w:val="multilevel"/>
    <w:tmpl w:val="C54A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A050BD"/>
    <w:multiLevelType w:val="multilevel"/>
    <w:tmpl w:val="44F25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44295">
    <w:abstractNumId w:val="0"/>
  </w:num>
  <w:num w:numId="2" w16cid:durableId="1001739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18"/>
    <w:rsid w:val="000040FF"/>
    <w:rsid w:val="0019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292116"/>
  <w15:chartTrackingRefBased/>
  <w15:docId w15:val="{288CE465-B85A-A141-9236-0E9CE994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0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5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Claude havaux</dc:creator>
  <cp:keywords/>
  <dc:description/>
  <cp:lastModifiedBy>Jean Claude havaux</cp:lastModifiedBy>
  <cp:revision>1</cp:revision>
  <dcterms:created xsi:type="dcterms:W3CDTF">2026-02-26T14:03:00Z</dcterms:created>
  <dcterms:modified xsi:type="dcterms:W3CDTF">2026-02-26T14:07:00Z</dcterms:modified>
</cp:coreProperties>
</file>