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DIATECH – Market &amp; Sales Deck Content</w:t>
      </w:r>
    </w:p>
    <w:p>
      <w:pPr>
        <w:pStyle w:val="Heading2"/>
      </w:pPr>
      <w:r>
        <w:t>Market Context</w:t>
      </w:r>
    </w:p>
    <w:p>
      <w:r>
        <w:t>• Strong increase in dermatology consultations (+8–12%/year)</w:t>
      </w:r>
    </w:p>
    <w:p>
      <w:r>
        <w:t>• Rising pet ownership across EU5</w:t>
      </w:r>
    </w:p>
    <w:p>
      <w:r>
        <w:t>• Owners demand rapid answers; less tolerance for guesswork</w:t>
      </w:r>
    </w:p>
    <w:p>
      <w:r>
        <w:t>• Insurance coverage expanding in FR/IT/ES</w:t>
      </w:r>
    </w:p>
    <w:p>
      <w:r>
        <w:t>• Clinics shift to in-house diagnostics for margin optimisation</w:t>
      </w:r>
    </w:p>
    <w:p>
      <w:pPr>
        <w:pStyle w:val="Heading2"/>
      </w:pPr>
      <w:r>
        <w:t>Epidemiology – Allergies</w:t>
      </w:r>
    </w:p>
    <w:p>
      <w:r>
        <w:t>• Dogs: 12–18% prevalence</w:t>
      </w:r>
    </w:p>
    <w:p>
      <w:r>
        <w:t>• Cats: 10–14% prevalence</w:t>
      </w:r>
    </w:p>
    <w:p>
      <w:r>
        <w:t>• Less than 25% of symptomatic cases tested</w:t>
      </w:r>
    </w:p>
    <w:p>
      <w:r>
        <w:t>• Symptoms: pruritus, skin lesions, respiratory signs</w:t>
      </w:r>
    </w:p>
    <w:p>
      <w:pPr>
        <w:pStyle w:val="Heading2"/>
      </w:pPr>
      <w:r>
        <w:t>Epidemiology – Viral Diseases</w:t>
      </w:r>
    </w:p>
    <w:p>
      <w:r>
        <w:t>• Parvo, Distemper, Corona in dogs</w:t>
      </w:r>
    </w:p>
    <w:p>
      <w:r>
        <w:t>• Panleukopenia, Calicivirus in cats</w:t>
      </w:r>
    </w:p>
    <w:p>
      <w:r>
        <w:t>• Strong driver for rapid in-clinic testing</w:t>
      </w:r>
    </w:p>
    <w:p>
      <w:pPr>
        <w:pStyle w:val="Heading2"/>
      </w:pPr>
      <w:r>
        <w:t>Pet Allergy Diagnostics Market</w:t>
      </w:r>
    </w:p>
    <w:p>
      <w:r>
        <w:t>• Global: $370M (2025) → $714M (2035)</w:t>
      </w:r>
    </w:p>
    <w:p>
      <w:r>
        <w:t>• EU is fastest-growing region</w:t>
      </w:r>
    </w:p>
    <w:p>
      <w:r>
        <w:t>• Diagnostics driven by insurance, dermatology and vet margins</w:t>
      </w:r>
    </w:p>
    <w:p>
      <w:pPr>
        <w:pStyle w:val="Heading2"/>
      </w:pPr>
      <w:r>
        <w:t>Segmentation</w:t>
      </w:r>
    </w:p>
    <w:p>
      <w:r>
        <w:t>• By test type: LFIA, ELISA, Dot Arrays</w:t>
      </w:r>
    </w:p>
    <w:p>
      <w:r>
        <w:t>• By channel: clinics, specialists, distributors, D2C</w:t>
      </w:r>
    </w:p>
    <w:p>
      <w:r>
        <w:t>• By species: dogs (~75%), cats (~25%)</w:t>
      </w:r>
    </w:p>
    <w:p>
      <w:pPr>
        <w:pStyle w:val="Heading2"/>
      </w:pPr>
      <w:r>
        <w:t>Competitive Landscape</w:t>
      </w:r>
    </w:p>
    <w:p>
      <w:r>
        <w:t>• Lab IgE panels: detailed but slow &amp; expensive</w:t>
      </w:r>
    </w:p>
    <w:p>
      <w:r>
        <w:t>• Existing rapid tests: inconsistent quality</w:t>
      </w:r>
    </w:p>
    <w:p>
      <w:r>
        <w:t>• Specialists: limited throughput</w:t>
      </w:r>
    </w:p>
    <w:p>
      <w:r>
        <w:t>• DIATECH: Fast + Accurate + Affordable + Scalable</w:t>
      </w:r>
    </w:p>
    <w:p>
      <w:pPr>
        <w:pStyle w:val="Heading2"/>
      </w:pPr>
      <w:r>
        <w:t>Pricing Benchmarks</w:t>
      </w:r>
    </w:p>
    <w:p>
      <w:r>
        <w:t>• Lab IgE panels: €85–150</w:t>
      </w:r>
    </w:p>
    <w:p>
      <w:r>
        <w:t>• Rapid tests: €28–45</w:t>
      </w:r>
    </w:p>
    <w:p>
      <w:r>
        <w:t>• Dot arrays: €120–180</w:t>
      </w:r>
    </w:p>
    <w:p>
      <w:r>
        <w:t>• DIATECH Rapid Test: €35–39</w:t>
      </w:r>
    </w:p>
    <w:p>
      <w:r>
        <w:t>• DIATECH Array: €120–150</w:t>
      </w:r>
    </w:p>
    <w:p>
      <w:pPr>
        <w:pStyle w:val="Heading2"/>
      </w:pPr>
      <w:r>
        <w:t>EU5 Prioritisation</w:t>
      </w:r>
    </w:p>
    <w:p>
      <w:r>
        <w:t>• France: High potential / Medium complexity</w:t>
      </w:r>
    </w:p>
    <w:p>
      <w:r>
        <w:t>• Italy: High potential / Medium complexity</w:t>
      </w:r>
    </w:p>
    <w:p>
      <w:r>
        <w:t>• Spain: Medium potential / Low complexity</w:t>
      </w:r>
    </w:p>
    <w:p>
      <w:r>
        <w:t>• Germany: High potential / High complexity</w:t>
      </w:r>
    </w:p>
    <w:p>
      <w:r>
        <w:t>• Belgium: Low potential / Easy entry</w:t>
      </w:r>
    </w:p>
    <w:p>
      <w:pPr>
        <w:pStyle w:val="Heading2"/>
      </w:pPr>
      <w:r>
        <w:t>France – Overview</w:t>
      </w:r>
    </w:p>
    <w:p>
      <w:r>
        <w:t>• ~7,200 clinics</w:t>
      </w:r>
    </w:p>
    <w:p>
      <w:r>
        <w:t>• High dermatology caseload</w:t>
      </w:r>
    </w:p>
    <w:p>
      <w:r>
        <w:t>• Strong distributors: Centravet, Alcyon, Coveto</w:t>
      </w:r>
    </w:p>
    <w:p>
      <w:pPr>
        <w:pStyle w:val="Heading2"/>
      </w:pPr>
      <w:r>
        <w:t>France – Market Potential</w:t>
      </w:r>
    </w:p>
    <w:p>
      <w:r>
        <w:t>• 230k–290k tests annually</w:t>
      </w:r>
    </w:p>
    <w:p>
      <w:r>
        <w:t>• High willingness to adopt rapid testing</w:t>
      </w:r>
    </w:p>
    <w:p>
      <w:pPr>
        <w:pStyle w:val="Heading2"/>
      </w:pPr>
      <w:r>
        <w:t>France – Competitive</w:t>
      </w:r>
    </w:p>
    <w:p>
      <w:r>
        <w:t>• Lab panels strong but costly</w:t>
      </w:r>
    </w:p>
    <w:p>
      <w:r>
        <w:t>• Rapid tests: low CE compliance</w:t>
      </w:r>
    </w:p>
    <w:p>
      <w:r>
        <w:t>• Specialists overloaded → clinics need tools</w:t>
      </w:r>
    </w:p>
    <w:p>
      <w:pPr>
        <w:pStyle w:val="Heading2"/>
      </w:pPr>
      <w:r>
        <w:t>France – Go-to-Market</w:t>
      </w:r>
    </w:p>
    <w:p>
      <w:r>
        <w:t>• Phase 1: KOL network AFVAC</w:t>
      </w:r>
    </w:p>
    <w:p>
      <w:r>
        <w:t>• Phase 2: Distributors onboarding</w:t>
      </w:r>
    </w:p>
    <w:p>
      <w:r>
        <w:t>• Phase 3: Direct-to-clinic activation</w:t>
      </w:r>
    </w:p>
    <w:p>
      <w:r>
        <w:t>• Phase 4: Upsell arrays + reader</w:t>
      </w:r>
    </w:p>
    <w:p>
      <w:pPr>
        <w:pStyle w:val="Heading2"/>
      </w:pPr>
      <w:r>
        <w:t>Italy – Overview</w:t>
      </w:r>
    </w:p>
    <w:p>
      <w:r>
        <w:t>• High dermatology culture</w:t>
      </w:r>
    </w:p>
    <w:p>
      <w:r>
        <w:t>• Key distributors: Agrisan, Virbac Italy</w:t>
      </w:r>
    </w:p>
    <w:p>
      <w:pPr>
        <w:pStyle w:val="Heading2"/>
      </w:pPr>
      <w:r>
        <w:t>Spain – Overview</w:t>
      </w:r>
    </w:p>
    <w:p>
      <w:r>
        <w:t>• Price-sensitive but easy entry</w:t>
      </w:r>
    </w:p>
    <w:p>
      <w:r>
        <w:t>• Key distributors: Distrivet, Covetrus Iberia</w:t>
      </w:r>
    </w:p>
    <w:p>
      <w:pPr>
        <w:pStyle w:val="Heading2"/>
      </w:pPr>
      <w:r>
        <w:t>Germany – Overview</w:t>
      </w:r>
    </w:p>
    <w:p>
      <w:r>
        <w:t>• Highest ARPU</w:t>
      </w:r>
    </w:p>
    <w:p>
      <w:r>
        <w:t>• Strict regulations</w:t>
      </w:r>
    </w:p>
    <w:p>
      <w:r>
        <w:t>• Long-term strategic market</w:t>
      </w:r>
    </w:p>
    <w:p>
      <w:pPr>
        <w:pStyle w:val="Heading2"/>
      </w:pPr>
      <w:r>
        <w:t>Belgium – Overview</w:t>
      </w:r>
    </w:p>
    <w:p>
      <w:r>
        <w:t>• Small market, easy entry</w:t>
      </w:r>
    </w:p>
    <w:p>
      <w:r>
        <w:t>• High distributor centralisation</w:t>
      </w:r>
    </w:p>
    <w:p>
      <w:pPr>
        <w:pStyle w:val="Heading2"/>
      </w:pPr>
      <w:r>
        <w:t>Product Portfolio – Rapid Test</w:t>
      </w:r>
    </w:p>
    <w:p>
      <w:r>
        <w:t>• 10–15 minutes, high specificity</w:t>
      </w:r>
    </w:p>
    <w:p>
      <w:r>
        <w:t>• No equipment needed</w:t>
      </w:r>
    </w:p>
    <w:p>
      <w:r>
        <w:t>• Ideal for first-line allergy workflow</w:t>
      </w:r>
    </w:p>
    <w:p>
      <w:pPr>
        <w:pStyle w:val="Heading2"/>
      </w:pPr>
      <w:r>
        <w:t>Product Portfolio – Reader</w:t>
      </w:r>
    </w:p>
    <w:p>
      <w:r>
        <w:t>• Standardises interpretation</w:t>
      </w:r>
    </w:p>
    <w:p>
      <w:r>
        <w:t>• Reduces variability</w:t>
      </w:r>
    </w:p>
    <w:p>
      <w:r>
        <w:t>• Valuable upsell</w:t>
      </w:r>
    </w:p>
    <w:p>
      <w:pPr>
        <w:pStyle w:val="Heading2"/>
      </w:pPr>
      <w:r>
        <w:t>Product Portfolio – Dot Array</w:t>
      </w:r>
    </w:p>
    <w:p>
      <w:r>
        <w:t>• High-information differential mapping</w:t>
      </w:r>
    </w:p>
    <w:p>
      <w:r>
        <w:t>• Great for chronic or complex cases</w:t>
      </w:r>
    </w:p>
    <w:p>
      <w:pPr>
        <w:pStyle w:val="Heading2"/>
      </w:pPr>
      <w:r>
        <w:t>Distribution Strategy EU5</w:t>
      </w:r>
    </w:p>
    <w:p>
      <w:r>
        <w:t>• FR: Centravet, Alcyon, Coveto</w:t>
      </w:r>
    </w:p>
    <w:p>
      <w:r>
        <w:t>• IT: Agrisan, Virbac Italy</w:t>
      </w:r>
    </w:p>
    <w:p>
      <w:r>
        <w:t>• ES: Distrivet, Covetrus</w:t>
      </w:r>
    </w:p>
    <w:p>
      <w:r>
        <w:t>• DE: Alvetra &amp; Werfft</w:t>
      </w:r>
    </w:p>
    <w:p>
      <w:r>
        <w:t>• BE: Ecuphar, Cenvet</w:t>
      </w:r>
    </w:p>
    <w:p>
      <w:pPr>
        <w:pStyle w:val="Heading2"/>
      </w:pPr>
      <w:r>
        <w:t>Marketing Strategy</w:t>
      </w:r>
    </w:p>
    <w:p>
      <w:r>
        <w:t>• KOL programmes</w:t>
      </w:r>
    </w:p>
    <w:p>
      <w:r>
        <w:t>• Veterinary congresses</w:t>
      </w:r>
    </w:p>
    <w:p>
      <w:r>
        <w:t>• Training webinars</w:t>
      </w:r>
    </w:p>
    <w:p>
      <w:r>
        <w:t>• Distributor activation kits</w:t>
      </w:r>
    </w:p>
    <w:p>
      <w:pPr>
        <w:pStyle w:val="Heading2"/>
      </w:pPr>
      <w:r>
        <w:t>Sales Funnel &amp; KPIs</w:t>
      </w:r>
    </w:p>
    <w:p>
      <w:r>
        <w:t>• Awareness → Trial → Repeat → Subscription</w:t>
      </w:r>
    </w:p>
    <w:p>
      <w:r>
        <w:t>• KPIs: CAC, reorder rate, usage per clinic</w:t>
      </w:r>
    </w:p>
    <w:p>
      <w:pPr>
        <w:pStyle w:val="Heading2"/>
      </w:pPr>
      <w:r>
        <w:t>Regulatory Roadmap</w:t>
      </w:r>
    </w:p>
    <w:p>
      <w:r>
        <w:t>• CE-IVD technical file</w:t>
      </w:r>
    </w:p>
    <w:p>
      <w:r>
        <w:t>• Import steps per country</w:t>
      </w:r>
    </w:p>
    <w:p>
      <w:r>
        <w:t>• Multilingual IFUs</w:t>
      </w:r>
    </w:p>
    <w:p>
      <w:pPr>
        <w:pStyle w:val="Heading2"/>
      </w:pPr>
      <w:r>
        <w:t>Operational Roadmap</w:t>
      </w:r>
    </w:p>
    <w:p>
      <w:r>
        <w:t>• Q1: Distributor onboarding</w:t>
      </w:r>
    </w:p>
    <w:p>
      <w:r>
        <w:t>• Q2: KOL activation</w:t>
      </w:r>
    </w:p>
    <w:p>
      <w:r>
        <w:t>• Q3: FR + ES rollout</w:t>
      </w:r>
    </w:p>
    <w:p>
      <w:r>
        <w:t>• Q4: IT + BE</w:t>
      </w:r>
    </w:p>
    <w:p>
      <w:r>
        <w:t>• Year 2: DE</w:t>
      </w:r>
    </w:p>
    <w:p>
      <w:r>
        <w:t>• Year 3: Arrays &amp; Reader scale-up</w:t>
      </w:r>
    </w:p>
    <w:p>
      <w:pPr>
        <w:pStyle w:val="Heading2"/>
      </w:pPr>
      <w:r>
        <w:t>Recommendations</w:t>
      </w:r>
    </w:p>
    <w:p>
      <w:r>
        <w:t>• France first</w:t>
      </w:r>
    </w:p>
    <w:p>
      <w:r>
        <w:t>• Italy + Spain parallel</w:t>
      </w:r>
    </w:p>
    <w:p>
      <w:r>
        <w:t>• Belgium opportunistic</w:t>
      </w:r>
    </w:p>
    <w:p>
      <w:r>
        <w:t>• Germany long-term</w:t>
      </w:r>
    </w:p>
    <w:p>
      <w:pPr>
        <w:pStyle w:val="Heading2"/>
      </w:pPr>
      <w:r>
        <w:t>Closing</w:t>
      </w:r>
    </w:p>
    <w:p>
      <w:r>
        <w:t>• DIATECH — Empowering veterinarians with rapid, accurate in-clinic diagnostics.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