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1609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— here’s your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ready-to-use PowerPoint slide structure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Copy each numbered section into PowerPoint as a new slide.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a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blue gradient theme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place the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JCHYTECH logo top-right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keep Chinese subtitles directly below English headings.</w:t>
      </w:r>
    </w:p>
    <w:p w14:paraId="2771201A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638DC8F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E95C92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🟦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JCHYTECH – Pet Allergy Diagnostic Market Analysis (Europe)</w:t>
      </w:r>
    </w:p>
    <w:p w14:paraId="489111E6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诊断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分析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报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告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洲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0687BA0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7FF0253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5B5F26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Executive Summary</w:t>
      </w:r>
    </w:p>
    <w:p w14:paraId="235E0D39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Growing demand for pet allergy diagnostics across Europe</w:t>
      </w:r>
    </w:p>
    <w:p w14:paraId="6A2E1274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Veterinary clinics seeking fast, affordable point-of-care tests</w:t>
      </w:r>
    </w:p>
    <w:p w14:paraId="0486E8AD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JCHYTECH rapid kits: simple, accurate, cost-effective</w:t>
      </w:r>
    </w:p>
    <w:p w14:paraId="4698E3FA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France identified as the primary launch market</w:t>
      </w:r>
    </w:p>
    <w:p w14:paraId="726ED153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5-year strategic plan: France → Italy/Spain → Germany/Belgium</w:t>
      </w:r>
    </w:p>
    <w:p w14:paraId="20613F63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Manufacturing base: China | EU distribution center planned</w:t>
      </w:r>
    </w:p>
    <w:p w14:paraId="4DC97189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05A7841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1573E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European Overview</w:t>
      </w:r>
    </w:p>
    <w:p w14:paraId="060D3F2A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 pet population &gt;120M (dogs + cats)</w:t>
      </w:r>
    </w:p>
    <w:p w14:paraId="453CEF98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Veterinary diagnostic market ≈ €1.2 B, growing 7–9 %/yr</w:t>
      </w:r>
    </w:p>
    <w:p w14:paraId="4DC0830B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Few competitors in rapid allergy tests (ELISA/Lateral Flow)</w:t>
      </w:r>
    </w:p>
    <w:p w14:paraId="6D701B41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Opportunity: capture early leadership in allergy PoC segment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(Map placeholder: stylized blue outline of Europe highlighting FR, IT, ES, DE, BE)</w:t>
      </w:r>
    </w:p>
    <w:p w14:paraId="00D279CA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082FCED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96E086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🇫🇷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France – Primary Market</w:t>
      </w:r>
    </w:p>
    <w:p w14:paraId="2830399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Context</w:t>
      </w:r>
    </w:p>
    <w:p w14:paraId="5D1F2592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~7 500 veterinary clinics; 18 000 veterinarians</w:t>
      </w:r>
    </w:p>
    <w:p w14:paraId="0EF138F5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7.6 M dogs, 15.1 M cats</w:t>
      </w:r>
    </w:p>
    <w:p w14:paraId="5722C1E1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Dermatology cases ≈ 20 % of consultations</w:t>
      </w:r>
    </w:p>
    <w:p w14:paraId="6B74BB63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TAM 2028 ≈ €12.6 M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(Insert column chart 2025–2028 revenue forecast)</w:t>
      </w:r>
    </w:p>
    <w:p w14:paraId="7845BF52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Competitive Landscape</w:t>
      </w:r>
    </w:p>
    <w:p w14:paraId="26C99E75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Heska / Allercept – reliable but slow lab ELISA</w:t>
      </w:r>
    </w:p>
    <w:p w14:paraId="1FD0B71D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Nextmune / Artuvetrin – specialized, costly</w:t>
      </w:r>
    </w:p>
    <w:p w14:paraId="250D8763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IDEXX – no rapid allergy kit line</w:t>
      </w:r>
    </w:p>
    <w:p w14:paraId="130FAF1E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JCHYTECH = fast + affordable first-intention diagnostic</w:t>
      </w:r>
    </w:p>
    <w:p w14:paraId="5BBDD6A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(FR)</w:t>
      </w:r>
    </w:p>
    <w:p w14:paraId="1CE1C7AD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 workflow, fast results, accessible price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Weaknesses: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brand, local validation needed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Opportunities: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pet care culture, limited PoC options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Threats: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regulatory delays, established players</w:t>
      </w:r>
    </w:p>
    <w:p w14:paraId="1CB5F1FF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Regulatory Context</w:t>
      </w:r>
    </w:p>
    <w:p w14:paraId="0B117551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DGCCRF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product import declaration</w:t>
      </w:r>
    </w:p>
    <w:p w14:paraId="37CE6850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ANSES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biocontent &amp; diagnostic test registration</w:t>
      </w:r>
    </w:p>
    <w:p w14:paraId="04848E45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marking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required for EU distribution</w:t>
      </w:r>
    </w:p>
    <w:p w14:paraId="6C52B24C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 workflow: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manufacturer → customs → French distributor → clinic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(Placeholder: regulatory flow diagram)</w:t>
      </w:r>
    </w:p>
    <w:p w14:paraId="3B8F0785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Strategy</w:t>
      </w:r>
    </w:p>
    <w:p w14:paraId="7920412B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with Centravet / Alcyon / Coveto</w:t>
      </w:r>
    </w:p>
    <w:p w14:paraId="6571163D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 kits during AFVAC congresses</w:t>
      </w:r>
    </w:p>
    <w:p w14:paraId="3E6F1985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French KOL endorsement program</w:t>
      </w:r>
    </w:p>
    <w:p w14:paraId="4732EAB8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54F1AF1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6361C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🇮🇹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Italy</w:t>
      </w:r>
    </w:p>
    <w:p w14:paraId="0AAB977E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~8 000 clinics | 9 M dogs, 10 M cats</w:t>
      </w:r>
    </w:p>
    <w:p w14:paraId="73DF8214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test adoption potential ≈ 40 % / 5 yrs</w:t>
      </w:r>
    </w:p>
    <w:p w14:paraId="608E3A24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€13 M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(Chart placeholder)</w:t>
      </w:r>
    </w:p>
    <w:p w14:paraId="4B59611A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(IT):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dense clinic networks (north/center)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brand awareness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growth in dermatology specialization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economic volatility</w:t>
      </w:r>
    </w:p>
    <w:p w14:paraId="3EEEFD1C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12EB7D7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170ECC4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🇪🇸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Spain</w:t>
      </w:r>
    </w:p>
    <w:p w14:paraId="143813FE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~6 000 clinics | 9 M dogs, 6 M cats</w:t>
      </w:r>
    </w:p>
    <w:p w14:paraId="4663A342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€9 M</w:t>
      </w:r>
    </w:p>
    <w:p w14:paraId="777AE65A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Growing pet insurance market supports testing</w:t>
      </w:r>
    </w:p>
    <w:p w14:paraId="40E4008F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(ES):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affordable positioning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limited reference labs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rising preventive medicine trend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regulatory fragmentation</w:t>
      </w:r>
    </w:p>
    <w:p w14:paraId="05F63D27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252E46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94B46B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🇩🇪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6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Germany</w:t>
      </w:r>
    </w:p>
    <w:p w14:paraId="2DDA5001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~10 000 clinics | 10.5 M dogs, 15 M cats</w:t>
      </w:r>
    </w:p>
    <w:p w14:paraId="2B3BF5C1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€15 M (@ €38/test)</w:t>
      </w:r>
    </w:p>
    <w:p w14:paraId="364FBA37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High-quality expectation, premium pricing tolerance</w:t>
      </w:r>
    </w:p>
    <w:p w14:paraId="2BA7A64D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(DE):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advanced veterinary infrastructure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stringent validation norms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high pet spending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slow adoption of new suppliers</w:t>
      </w:r>
    </w:p>
    <w:p w14:paraId="59A3950A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15FD9D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997BE5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🇧🇪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Belgium</w:t>
      </w:r>
    </w:p>
    <w:p w14:paraId="6232E32C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~1 500 clinics | 2.3 M dogs, 2.3 M cats</w:t>
      </w:r>
    </w:p>
    <w:p w14:paraId="5541E6E0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€2 M</w:t>
      </w:r>
    </w:p>
    <w:p w14:paraId="5C42FBAF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Compact, fast-networked market</w:t>
      </w:r>
    </w:p>
    <w:p w14:paraId="10BE6063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(BE):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easy KOL diffusion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small national volume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gateway to Benelux expansion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price sensitivity</w:t>
      </w:r>
    </w:p>
    <w:p w14:paraId="72847A72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4FAE12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5A685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67"/>
        <w:gridCol w:w="2047"/>
        <w:gridCol w:w="1627"/>
        <w:gridCol w:w="2422"/>
      </w:tblGrid>
      <w:tr w:rsidR="002E6158" w:rsidRPr="002E6158" w14:paraId="44234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2A8DB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F490B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Clinics</w:t>
            </w:r>
          </w:p>
        </w:tc>
        <w:tc>
          <w:tcPr>
            <w:tcW w:w="0" w:type="auto"/>
            <w:vAlign w:val="center"/>
            <w:hideMark/>
          </w:tcPr>
          <w:p w14:paraId="32603D9B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2028 Revenue (M€)</w:t>
            </w:r>
          </w:p>
        </w:tc>
        <w:tc>
          <w:tcPr>
            <w:tcW w:w="0" w:type="auto"/>
            <w:vAlign w:val="center"/>
            <w:hideMark/>
          </w:tcPr>
          <w:p w14:paraId="3128329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CAGR 2025-28</w:t>
            </w:r>
          </w:p>
        </w:tc>
        <w:tc>
          <w:tcPr>
            <w:tcW w:w="0" w:type="auto"/>
            <w:vAlign w:val="center"/>
            <w:hideMark/>
          </w:tcPr>
          <w:p w14:paraId="6E295EB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Key Opportunity</w:t>
            </w:r>
          </w:p>
        </w:tc>
      </w:tr>
      <w:tr w:rsidR="002E6158" w:rsidRPr="002E6158" w14:paraId="3CFC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F0C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13F1E5B2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7 500</w:t>
            </w:r>
          </w:p>
        </w:tc>
        <w:tc>
          <w:tcPr>
            <w:tcW w:w="0" w:type="auto"/>
            <w:vAlign w:val="center"/>
            <w:hideMark/>
          </w:tcPr>
          <w:p w14:paraId="42059F6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6CC00B2D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35 %</w:t>
            </w:r>
          </w:p>
        </w:tc>
        <w:tc>
          <w:tcPr>
            <w:tcW w:w="0" w:type="auto"/>
            <w:vAlign w:val="center"/>
            <w:hideMark/>
          </w:tcPr>
          <w:p w14:paraId="1E79AD5E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First launch, strong base</w:t>
            </w:r>
          </w:p>
        </w:tc>
      </w:tr>
      <w:tr w:rsidR="002E6158" w:rsidRPr="002E6158" w14:paraId="6CC6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011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7BDD573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8 000</w:t>
            </w:r>
          </w:p>
        </w:tc>
        <w:tc>
          <w:tcPr>
            <w:tcW w:w="0" w:type="auto"/>
            <w:vAlign w:val="center"/>
            <w:hideMark/>
          </w:tcPr>
          <w:p w14:paraId="18B2625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0E72601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33 %</w:t>
            </w:r>
          </w:p>
        </w:tc>
        <w:tc>
          <w:tcPr>
            <w:tcW w:w="0" w:type="auto"/>
            <w:vAlign w:val="center"/>
            <w:hideMark/>
          </w:tcPr>
          <w:p w14:paraId="54DE3C8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Dense clinic network</w:t>
            </w:r>
          </w:p>
        </w:tc>
      </w:tr>
      <w:tr w:rsidR="002E6158" w:rsidRPr="002E6158" w14:paraId="7B4C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BAB2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Spain</w:t>
            </w:r>
          </w:p>
        </w:tc>
        <w:tc>
          <w:tcPr>
            <w:tcW w:w="0" w:type="auto"/>
            <w:vAlign w:val="center"/>
            <w:hideMark/>
          </w:tcPr>
          <w:p w14:paraId="62D2F9A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6 000</w:t>
            </w:r>
          </w:p>
        </w:tc>
        <w:tc>
          <w:tcPr>
            <w:tcW w:w="0" w:type="auto"/>
            <w:vAlign w:val="center"/>
            <w:hideMark/>
          </w:tcPr>
          <w:p w14:paraId="52BF93D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A969C3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31 %</w:t>
            </w:r>
          </w:p>
        </w:tc>
        <w:tc>
          <w:tcPr>
            <w:tcW w:w="0" w:type="auto"/>
            <w:vAlign w:val="center"/>
            <w:hideMark/>
          </w:tcPr>
          <w:p w14:paraId="1EF36A9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Insurance growth</w:t>
            </w:r>
          </w:p>
        </w:tc>
      </w:tr>
      <w:tr w:rsidR="002E6158" w:rsidRPr="002E6158" w14:paraId="726F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B2FA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7F8FD3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3616B2AC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1FD130DA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34 %</w:t>
            </w:r>
          </w:p>
        </w:tc>
        <w:tc>
          <w:tcPr>
            <w:tcW w:w="0" w:type="auto"/>
            <w:vAlign w:val="center"/>
            <w:hideMark/>
          </w:tcPr>
          <w:p w14:paraId="374BCFCC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Premium adoption</w:t>
            </w:r>
          </w:p>
        </w:tc>
      </w:tr>
      <w:tr w:rsidR="002E6158" w:rsidRPr="002E6158" w14:paraId="0FDD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248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3D5B580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744BDBA7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D3685D7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29 %</w:t>
            </w:r>
          </w:p>
        </w:tc>
        <w:tc>
          <w:tcPr>
            <w:tcW w:w="0" w:type="auto"/>
            <w:vAlign w:val="center"/>
            <w:hideMark/>
          </w:tcPr>
          <w:p w14:paraId="4FB9396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 influence diffusion</w:t>
            </w:r>
          </w:p>
        </w:tc>
      </w:tr>
    </w:tbl>
    <w:p w14:paraId="349CBF75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(Add stylized EU map with numeric bubbles)</w:t>
      </w:r>
    </w:p>
    <w:p w14:paraId="7C69A9FE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5CF726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AB61D7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Strategic Roadmap 2025–2028</w:t>
      </w:r>
    </w:p>
    <w:p w14:paraId="55D57CF3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2025: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France launch + clinical validation</w:t>
      </w:r>
    </w:p>
    <w:p w14:paraId="7A275C40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2026: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Italy/Spain, secure EU CE certification</w:t>
      </w:r>
    </w:p>
    <w:p w14:paraId="530B0B9E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2027: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Enter Germany &amp; Belgium, scale manufacturing</w:t>
      </w:r>
    </w:p>
    <w:p w14:paraId="69C99CB7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2028: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European distribution hub + OEM integration in China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(Timeline chart placeholder)</w:t>
      </w:r>
    </w:p>
    <w:p w14:paraId="768DFD08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01632C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3112F8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🔟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Closing Slide</w:t>
      </w:r>
    </w:p>
    <w:p w14:paraId="35B17FB3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“Innovation that connects diagnostics and care.”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JCHYTECH Applied Strategic Innovation</w:t>
      </w:r>
    </w:p>
    <w:p w14:paraId="757CB411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508690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14D94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🇨🇳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Final Chinese Summary Slide</w:t>
      </w:r>
    </w:p>
    <w:p w14:paraId="56E132D1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诊断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分析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报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告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总</w:t>
      </w:r>
      <w:r w:rsidRPr="002E6158">
        <w:rPr>
          <w:rFonts w:ascii="Heiti TC" w:eastAsia="Heiti TC" w:hAnsi="Heiti TC" w:cs="Heiti TC"/>
          <w:b/>
          <w:bCs/>
          <w:color w:val="000000"/>
          <w:kern w:val="0"/>
          <w14:ligatures w14:val="none"/>
        </w:rPr>
        <w:t>结</w:t>
      </w:r>
    </w:p>
    <w:p w14:paraId="18675F95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法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是首要目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，潜力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约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1,260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万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元</w:t>
      </w:r>
    </w:p>
    <w:p w14:paraId="50CAA0EF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意大利、西班牙、德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、比利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时为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第二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阶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段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扩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展</w:t>
      </w:r>
    </w:p>
    <w:p w14:paraId="088CC772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JCHYTECH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快速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检测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简单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、快速、可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靠</w:t>
      </w:r>
    </w:p>
    <w:p w14:paraId="1BCC12FE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战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略路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径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：法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国验证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盟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扩张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中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制造基地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协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同</w:t>
      </w:r>
    </w:p>
    <w:p w14:paraId="7F01650C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目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2028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年建立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洲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诊断领导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品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牌</w:t>
      </w:r>
    </w:p>
    <w:p w14:paraId="738E8833" w14:textId="77777777" w:rsidR="002E6158" w:rsidRPr="002E6158" w:rsidRDefault="0094345C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45C">
        <w:rPr>
          <w:rFonts w:ascii="Times New Roman" w:eastAsia="Times New Roman" w:hAnsi="Times New Roman" w:cs="Times New Roman"/>
          <w:noProof/>
          <w:kern w:val="0"/>
        </w:rPr>
        <w:pict w14:anchorId="6A387F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0BFCB2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you can paste this outline into PowerPoint, apply your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blue gradient template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insert the JCHYTECH logo.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You’ll have a full, board-ready bilingual deck within minutes.</w:t>
      </w:r>
    </w:p>
    <w:p w14:paraId="168B5684" w14:textId="77777777" w:rsidR="00727AC1" w:rsidRDefault="00727AC1"/>
    <w:sectPr w:rsidR="00727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813"/>
    <w:multiLevelType w:val="multilevel"/>
    <w:tmpl w:val="A46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38FD"/>
    <w:multiLevelType w:val="multilevel"/>
    <w:tmpl w:val="DDA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AE4"/>
    <w:multiLevelType w:val="multilevel"/>
    <w:tmpl w:val="A43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CE1"/>
    <w:multiLevelType w:val="multilevel"/>
    <w:tmpl w:val="8DC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0DA"/>
    <w:multiLevelType w:val="multilevel"/>
    <w:tmpl w:val="915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250B6"/>
    <w:multiLevelType w:val="multilevel"/>
    <w:tmpl w:val="1E7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57AB"/>
    <w:multiLevelType w:val="multilevel"/>
    <w:tmpl w:val="29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B2FCB"/>
    <w:multiLevelType w:val="multilevel"/>
    <w:tmpl w:val="51F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38A2"/>
    <w:multiLevelType w:val="multilevel"/>
    <w:tmpl w:val="B6B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F0DA6"/>
    <w:multiLevelType w:val="multilevel"/>
    <w:tmpl w:val="917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E24DE"/>
    <w:multiLevelType w:val="multilevel"/>
    <w:tmpl w:val="881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7409E"/>
    <w:multiLevelType w:val="multilevel"/>
    <w:tmpl w:val="46E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94877">
    <w:abstractNumId w:val="10"/>
  </w:num>
  <w:num w:numId="2" w16cid:durableId="472986357">
    <w:abstractNumId w:val="8"/>
  </w:num>
  <w:num w:numId="3" w16cid:durableId="393969123">
    <w:abstractNumId w:val="2"/>
  </w:num>
  <w:num w:numId="4" w16cid:durableId="857037513">
    <w:abstractNumId w:val="9"/>
  </w:num>
  <w:num w:numId="5" w16cid:durableId="1607998725">
    <w:abstractNumId w:val="4"/>
  </w:num>
  <w:num w:numId="6" w16cid:durableId="361175151">
    <w:abstractNumId w:val="0"/>
  </w:num>
  <w:num w:numId="7" w16cid:durableId="1171289265">
    <w:abstractNumId w:val="1"/>
  </w:num>
  <w:num w:numId="8" w16cid:durableId="1981180929">
    <w:abstractNumId w:val="11"/>
  </w:num>
  <w:num w:numId="9" w16cid:durableId="1512717847">
    <w:abstractNumId w:val="6"/>
  </w:num>
  <w:num w:numId="10" w16cid:durableId="866064640">
    <w:abstractNumId w:val="7"/>
  </w:num>
  <w:num w:numId="11" w16cid:durableId="422261186">
    <w:abstractNumId w:val="5"/>
  </w:num>
  <w:num w:numId="12" w16cid:durableId="48281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58"/>
    <w:rsid w:val="000A2F1C"/>
    <w:rsid w:val="000A44C8"/>
    <w:rsid w:val="00112391"/>
    <w:rsid w:val="002E6158"/>
    <w:rsid w:val="00410760"/>
    <w:rsid w:val="004772B9"/>
    <w:rsid w:val="005E42C7"/>
    <w:rsid w:val="00727AC1"/>
    <w:rsid w:val="00905F1E"/>
    <w:rsid w:val="0094345C"/>
    <w:rsid w:val="00F4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BEAAC"/>
  <w15:chartTrackingRefBased/>
  <w15:docId w15:val="{4EE4E400-B545-D843-9E1C-CCCDD59E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E6158"/>
  </w:style>
  <w:style w:type="character" w:styleId="Strong">
    <w:name w:val="Strong"/>
    <w:basedOn w:val="DefaultParagraphFont"/>
    <w:uiPriority w:val="22"/>
    <w:qFormat/>
    <w:rsid w:val="002E6158"/>
    <w:rPr>
      <w:b/>
      <w:bCs/>
    </w:rPr>
  </w:style>
  <w:style w:type="character" w:styleId="Emphasis">
    <w:name w:val="Emphasis"/>
    <w:basedOn w:val="DefaultParagraphFont"/>
    <w:uiPriority w:val="20"/>
    <w:qFormat/>
    <w:rsid w:val="002E61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 - Brevo</dc:creator>
  <cp:keywords/>
  <dc:description/>
  <cp:lastModifiedBy>Jean-Claude Havaux - Brevo</cp:lastModifiedBy>
  <cp:revision>1</cp:revision>
  <dcterms:created xsi:type="dcterms:W3CDTF">2025-10-30T19:00:00Z</dcterms:created>
  <dcterms:modified xsi:type="dcterms:W3CDTF">2025-10-30T19:01:00Z</dcterms:modified>
</cp:coreProperties>
</file>