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V3 : 06/10/2026</w:t>
      </w:r>
    </w:p>
    <w:p>
      <w:pPr>
        <w:pStyle w:val="BodyText"/>
      </w:pPr>
      <w:r>
        <w:t xml:space="preserve">by Jchytech</w:t>
      </w:r>
    </w:p>
    <w:p>
      <w:pPr>
        <w:pStyle w:val="BodyText"/>
      </w:pPr>
      <w:r>
        <w:t xml:space="preserve">V3 — recalé sur le modèle financier actuel (2026-2030)</w:t>
      </w:r>
    </w:p>
    <w:p>
      <w:pPr>
        <w:pStyle w:val="BodyText"/>
      </w:pPr>
      <w:r>
        <w:rPr>
          <w:b/>
          <w:bCs/>
        </w:rPr>
        <w:t xml:space="preserve">PRELIMINARY REMARKS</w:t>
      </w:r>
    </w:p>
    <w:p>
      <w:pPr>
        <w:pStyle w:val="BodyText"/>
      </w:pPr>
      <w:r>
        <w:t xml:space="preserve">Focused on Vet market without strategic inclusion of human test (not</w:t>
      </w:r>
      <w:r>
        <w:t xml:space="preserve"> </w:t>
      </w:r>
      <w:r>
        <w:t xml:space="preserve">recommended)</w:t>
      </w:r>
    </w:p>
    <w:p>
      <w:pPr>
        <w:pStyle w:val="BodyText"/>
      </w:pPr>
      <w:r>
        <w:t xml:space="preserve">Base ONLY on existing products allergy line. Does not include potential</w:t>
      </w:r>
      <w:r>
        <w:t xml:space="preserve"> </w:t>
      </w:r>
      <w:r>
        <w:t xml:space="preserve">catalog increase with other companies linked to Diaho</w:t>
      </w:r>
    </w:p>
    <w:p>
      <w:pPr>
        <w:pStyle w:val="BodyText"/>
      </w:pPr>
      <w:r>
        <w:t xml:space="preserve">Instrumentation is key for success</w:t>
      </w:r>
    </w:p>
    <w:p>
      <w:pPr>
        <w:pStyle w:val="BodyText"/>
      </w:pPr>
      <w:r>
        <w:rPr>
          <w:b/>
          <w:bCs/>
        </w:rPr>
        <w:t xml:space="preserve">Business plan data are a draft version needing update linked to</w:t>
      </w:r>
      <w:r>
        <w:rPr>
          <w:b/>
          <w:bCs/>
        </w:rPr>
        <w:t xml:space="preserve"> </w:t>
      </w:r>
      <w:r>
        <w:rPr>
          <w:b/>
          <w:bCs/>
        </w:rPr>
        <w:t xml:space="preserve">investments strategies</w:t>
      </w:r>
    </w:p>
    <w:bookmarkStart w:id="9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Vetalyx is a Belgian‑incorporated diagnostic company focused on the</w:t>
      </w:r>
      <w:r>
        <w:t xml:space="preserve"> </w:t>
      </w:r>
      <w:r>
        <w:t xml:space="preserve">development, commercialization, and distribution of allergy diagnostic</w:t>
      </w:r>
      <w:r>
        <w:t xml:space="preserve"> </w:t>
      </w:r>
      <w:r>
        <w:t xml:space="preserve">solutions for companion animals. Location of Vetalyx is Marche en</w:t>
      </w:r>
      <w:r>
        <w:t xml:space="preserve"> </w:t>
      </w:r>
      <w:r>
        <w:t xml:space="preserve">Famenne Scientific-industrial area.</w:t>
      </w:r>
    </w:p>
    <w:p>
      <w:pPr>
        <w:pStyle w:val="BodyText"/>
      </w:pPr>
      <w:r>
        <w:t xml:space="preserve">The company addresses a growing and structurally underserved veterinary</w:t>
      </w:r>
      <w:r>
        <w:t xml:space="preserve"> </w:t>
      </w:r>
      <w:r>
        <w:t xml:space="preserve">need: reliable, accessible, and clinically actionable allergy</w:t>
      </w:r>
      <w:r>
        <w:t xml:space="preserve"> </w:t>
      </w:r>
      <w:r>
        <w:t xml:space="preserve">diagnostics for dogs and cats. The initial product scope is strictly</w:t>
      </w:r>
      <w:r>
        <w:t xml:space="preserve"> </w:t>
      </w:r>
      <w:r>
        <w:t xml:space="preserve">limited to allergy diagnostics in order to ensure regulatory focus,</w:t>
      </w:r>
      <w:r>
        <w:t xml:space="preserve"> </w:t>
      </w:r>
      <w:r>
        <w:t xml:space="preserve">operational discipline, and rapid market entry.</w:t>
      </w:r>
    </w:p>
    <w:p>
      <w:pPr>
        <w:pStyle w:val="BodyText"/>
      </w:pPr>
      <w:r>
        <w:t xml:space="preserve">Vetalyx targets veterinary clinics and veterinary diagnostic</w:t>
      </w:r>
      <w:r>
        <w:t xml:space="preserve"> </w:t>
      </w:r>
      <w:r>
        <w:t xml:space="preserve">distributors as its primary customers, positioning itself as a</w:t>
      </w:r>
      <w:r>
        <w:t xml:space="preserve"> </w:t>
      </w:r>
      <w:r>
        <w:t xml:space="preserve">pragmatic, science‑driven, and commercially realistic player rather than</w:t>
      </w:r>
      <w:r>
        <w:t xml:space="preserve"> </w:t>
      </w:r>
      <w:r>
        <w:t xml:space="preserve">a pure research organization. Other products for prevention and</w:t>
      </w:r>
      <w:r>
        <w:t xml:space="preserve"> </w:t>
      </w:r>
      <w:r>
        <w:t xml:space="preserve">treatment are part of the growing strategy</w:t>
      </w:r>
    </w:p>
    <w:bookmarkEnd w:id="9"/>
    <w:bookmarkStart w:id="10" w:name="section"/>
    <w:p>
      <w:pPr>
        <w:pStyle w:val="Heading1"/>
      </w:pPr>
    </w:p>
    <w:bookmarkEnd w:id="10"/>
    <w:bookmarkStart w:id="11" w:name="company-overview-and-vision"/>
    <w:p>
      <w:pPr>
        <w:pStyle w:val="Heading1"/>
      </w:pPr>
      <w:r>
        <w:t xml:space="preserve">Company Overview and Vision</w:t>
      </w:r>
    </w:p>
    <w:p>
      <w:pPr>
        <w:pStyle w:val="FirstParagraph"/>
      </w:pPr>
      <w:r>
        <w:t xml:space="preserve">Vetalyx was established to bridge the gap between advanced immunological</w:t>
      </w:r>
      <w:r>
        <w:t xml:space="preserve"> </w:t>
      </w:r>
      <w:r>
        <w:t xml:space="preserve">diagnostics and everyday veterinary practice. While allergy prevalence</w:t>
      </w:r>
      <w:r>
        <w:t xml:space="preserve"> </w:t>
      </w:r>
      <w:r>
        <w:t xml:space="preserve">in companion animals continues to rise due to urbanization,</w:t>
      </w:r>
      <w:r>
        <w:t xml:space="preserve"> </w:t>
      </w:r>
      <w:r>
        <w:t xml:space="preserve">environmental exposure, and changes in pet lifestyles, diagnostic</w:t>
      </w:r>
      <w:r>
        <w:t xml:space="preserve"> </w:t>
      </w:r>
      <w:r>
        <w:t xml:space="preserve">practices remain fragmented, expensive, or insufficiently standardized.</w:t>
      </w:r>
    </w:p>
    <w:p>
      <w:pPr>
        <w:pStyle w:val="BodyText"/>
      </w:pPr>
      <w:r>
        <w:t xml:space="preserve">Vetalyx long‑term vision is to become a trusted European reference in</w:t>
      </w:r>
      <w:r>
        <w:t xml:space="preserve"> </w:t>
      </w:r>
      <w:r>
        <w:t xml:space="preserve">veterinary allergy diagnostics by offering validated, scalable, and</w:t>
      </w:r>
      <w:r>
        <w:t xml:space="preserve"> </w:t>
      </w:r>
      <w:r>
        <w:t xml:space="preserve">regulatory‑compliant diagnostic kits that integrate seamlessly into</w:t>
      </w:r>
      <w:r>
        <w:t xml:space="preserve"> </w:t>
      </w:r>
      <w:r>
        <w:t xml:space="preserve">routine clinical workflows.</w:t>
      </w:r>
    </w:p>
    <w:bookmarkEnd w:id="11"/>
    <w:bookmarkStart w:id="12" w:name="section-1"/>
    <w:p>
      <w:pPr>
        <w:pStyle w:val="Heading1"/>
      </w:pPr>
    </w:p>
    <w:bookmarkEnd w:id="12"/>
    <w:bookmarkStart w:id="13" w:name="problem-definition-and-unmet-need"/>
    <w:p>
      <w:pPr>
        <w:pStyle w:val="Heading1"/>
      </w:pPr>
      <w:r>
        <w:t xml:space="preserve">Problem Definition and Unmet Need</w:t>
      </w:r>
    </w:p>
    <w:p>
      <w:pPr>
        <w:pStyle w:val="FirstParagraph"/>
      </w:pPr>
      <w:r>
        <w:t xml:space="preserve">Veterinary practitioners frequently face uncertainty when diagnosing</w:t>
      </w:r>
      <w:r>
        <w:t xml:space="preserve"> </w:t>
      </w:r>
      <w:r>
        <w:t xml:space="preserve">allergic conditions in companion animals. Clinical symptoms are often</w:t>
      </w:r>
      <w:r>
        <w:t xml:space="preserve"> </w:t>
      </w:r>
      <w:r>
        <w:t xml:space="preserve">non‑specific, overlapping with parasitic, infectious, or dietary</w:t>
      </w:r>
      <w:r>
        <w:t xml:space="preserve"> </w:t>
      </w:r>
      <w:r>
        <w:t xml:space="preserve">disorders.</w:t>
      </w:r>
    </w:p>
    <w:p>
      <w:pPr>
        <w:pStyle w:val="BodyText"/>
      </w:pPr>
      <w:r>
        <w:t xml:space="preserve">Existing diagnostic pathways are either indirect, slow, or</w:t>
      </w:r>
      <w:r>
        <w:t xml:space="preserve"> </w:t>
      </w:r>
      <w:r>
        <w:t xml:space="preserve">cost‑prohibitive. Many clinics rely on empirical treatment or exclusion</w:t>
      </w:r>
      <w:r>
        <w:t xml:space="preserve"> </w:t>
      </w:r>
      <w:r>
        <w:t xml:space="preserve">diets, leading to delayed diagnosis and suboptimal outcomes. Vetalyx</w:t>
      </w:r>
      <w:r>
        <w:t xml:space="preserve"> </w:t>
      </w:r>
      <w:r>
        <w:t xml:space="preserve">addresses this unmet need by providing targeted allergy diagnostics that</w:t>
      </w:r>
      <w:r>
        <w:t xml:space="preserve"> </w:t>
      </w:r>
      <w:r>
        <w:t xml:space="preserve">are reliable, rapid, and adapted to real‑world veterinary constraints.</w:t>
      </w:r>
      <w:r>
        <w:t xml:space="preserve"> </w:t>
      </w:r>
      <w:r>
        <w:t xml:space="preserve">The service includes the furniture of IT reader working in network if</w:t>
      </w:r>
      <w:r>
        <w:t xml:space="preserve"> </w:t>
      </w:r>
      <w:r>
        <w:t xml:space="preserve">requested.</w:t>
      </w:r>
    </w:p>
    <w:p>
      <w:pPr>
        <w:pStyle w:val="BodyText"/>
      </w:pPr>
      <w:r>
        <w:t xml:space="preserve">****</w:t>
      </w:r>
    </w:p>
    <w:bookmarkEnd w:id="13"/>
    <w:bookmarkStart w:id="14" w:name="company-assets"/>
    <w:p>
      <w:pPr>
        <w:pStyle w:val="Heading1"/>
      </w:pPr>
      <w:r>
        <w:t xml:space="preserve">Company Assets</w:t>
      </w:r>
    </w:p>
    <w:p>
      <w:pPr>
        <w:pStyle w:val="FirstParagraph"/>
      </w:pPr>
      <w:r>
        <w:t xml:space="preserve">Contractual Partnering with competent Chinese partners in R&amp;D and</w:t>
      </w:r>
      <w:r>
        <w:t xml:space="preserve"> </w:t>
      </w:r>
      <w:r>
        <w:t xml:space="preserve">Production in Veterinary diagnostics :</w:t>
      </w:r>
    </w:p>
    <w:p>
      <w:pPr>
        <w:numPr>
          <w:ilvl w:val="0"/>
          <w:numId w:val="1001"/>
        </w:numPr>
      </w:pPr>
      <w:r>
        <w:t xml:space="preserve">Exclusive European distributor contract with partners</w:t>
      </w:r>
    </w:p>
    <w:p>
      <w:pPr>
        <w:numPr>
          <w:ilvl w:val="0"/>
          <w:numId w:val="1001"/>
        </w:numPr>
      </w:pPr>
      <w:r>
        <w:t xml:space="preserve">Industrial localisation option for production in Europe of kits and</w:t>
      </w:r>
      <w:r>
        <w:t xml:space="preserve"> </w:t>
      </w:r>
      <w:r>
        <w:t xml:space="preserve">instruments</w:t>
      </w:r>
    </w:p>
    <w:p>
      <w:pPr>
        <w:numPr>
          <w:ilvl w:val="0"/>
          <w:numId w:val="1001"/>
        </w:numPr>
      </w:pPr>
      <w:r>
        <w:t xml:space="preserve">DIAHO (Chinese partner) as founding shareholder at 40 % from incorporation (cash contribution)</w:t>
      </w:r>
    </w:p>
    <w:p>
      <w:pPr>
        <w:numPr>
          <w:ilvl w:val="0"/>
          <w:numId w:val="1001"/>
        </w:numPr>
      </w:pPr>
      <w:r>
        <w:t xml:space="preserve">Seasoned competent partners in IVD field.</w:t>
      </w:r>
    </w:p>
    <w:p>
      <w:pPr>
        <w:numPr>
          <w:ilvl w:val="0"/>
          <w:numId w:val="1001"/>
        </w:numPr>
      </w:pPr>
      <w:r>
        <w:t xml:space="preserve">Strategic preparation assignment for European market entry (entrusted by DIAHO) — EUR 120,000</w:t>
      </w:r>
    </w:p>
    <w:p>
      <w:pPr>
        <w:numPr>
          <w:ilvl w:val="0"/>
          <w:numId w:val="1001"/>
        </w:numPr>
      </w:pPr>
      <w:r>
        <w:t xml:space="preserve">Launch stock of diagnostic kits provided by DIAHO — EUR 50,000 (reimbursed progressively on sales)</w:t>
      </w:r>
    </w:p>
    <w:bookmarkEnd w:id="14"/>
    <w:bookmarkStart w:id="15" w:name="product-and-technology-description"/>
    <w:p>
      <w:pPr>
        <w:pStyle w:val="Heading1"/>
      </w:pPr>
      <w:r>
        <w:t xml:space="preserve">Product and Technology Description</w:t>
      </w:r>
    </w:p>
    <w:p>
      <w:pPr>
        <w:pStyle w:val="FirstParagraph"/>
      </w:pPr>
      <w:r>
        <w:t xml:space="preserve">Vetalyx initial product portfolio focuses on allergy diagnostic kits</w:t>
      </w:r>
      <w:r>
        <w:t xml:space="preserve"> </w:t>
      </w:r>
      <w:r>
        <w:t xml:space="preserve">designed to detect immunoglobulin E (IgE) responses to relevant</w:t>
      </w:r>
      <w:r>
        <w:t xml:space="preserve"> </w:t>
      </w:r>
      <w:r>
        <w:t xml:space="preserve">allergens in dogs and cats.</w:t>
      </w:r>
    </w:p>
    <w:p>
      <w:pPr>
        <w:pStyle w:val="BodyText"/>
      </w:pPr>
      <w:r>
        <w:t xml:space="preserve">The technology platform supports both rapid lateral flow formats and</w:t>
      </w:r>
      <w:r>
        <w:t xml:space="preserve"> </w:t>
      </w:r>
      <w:r>
        <w:t xml:space="preserve">ELISA‑based assays, allowing flexibility in clinical use. The products</w:t>
      </w:r>
      <w:r>
        <w:t xml:space="preserve"> </w:t>
      </w:r>
      <w:r>
        <w:t xml:space="preserve">are intended for professional veterinary use only and are designed with</w:t>
      </w:r>
      <w:r>
        <w:t xml:space="preserve"> </w:t>
      </w:r>
      <w:r>
        <w:t xml:space="preserve">a strong emphasis on reproducibility, ease of use, and consistency</w:t>
      </w:r>
      <w:r>
        <w:t xml:space="preserve"> </w:t>
      </w:r>
      <w:r>
        <w:t xml:space="preserve">across batches. The platform includes automatic readers allowing easier</w:t>
      </w:r>
      <w:r>
        <w:t xml:space="preserve"> </w:t>
      </w:r>
      <w:r>
        <w:t xml:space="preserve">data management and network data exchanges.</w:t>
      </w:r>
    </w:p>
    <w:p>
      <w:pPr>
        <w:pStyle w:val="BodyText"/>
      </w:pPr>
      <w:r>
        <w:t xml:space="preserve">Manufacturing is outsourced to a qualified supplier, allowing Vetalyx to</w:t>
      </w:r>
      <w:r>
        <w:t xml:space="preserve"> </w:t>
      </w:r>
      <w:r>
        <w:t xml:space="preserve">concentrate on validation, regulatory compliance, and market</w:t>
      </w:r>
      <w:r>
        <w:t xml:space="preserve"> </w:t>
      </w:r>
      <w:r>
        <w:t xml:space="preserve">development.</w:t>
      </w:r>
    </w:p>
    <w:bookmarkEnd w:id="15"/>
    <w:bookmarkStart w:id="16" w:name="market-analysis"/>
    <w:p>
      <w:pPr>
        <w:pStyle w:val="Heading1"/>
      </w:pPr>
      <w:r>
        <w:t xml:space="preserve">Market Analysis</w:t>
      </w:r>
    </w:p>
    <w:p>
      <w:pPr>
        <w:pStyle w:val="FirstParagraph"/>
      </w:pPr>
      <w:r>
        <w:t xml:space="preserve">The companion animal diagnostics market in Europe is experiencing</w:t>
      </w:r>
      <w:r>
        <w:t xml:space="preserve"> </w:t>
      </w:r>
      <w:r>
        <w:t xml:space="preserve">sustained growth driven by increased pet ownership, humanization of</w:t>
      </w:r>
      <w:r>
        <w:t xml:space="preserve"> </w:t>
      </w:r>
      <w:r>
        <w:t xml:space="preserve">pets, and higher veterinary care spending.</w:t>
      </w:r>
    </w:p>
    <w:p>
      <w:pPr>
        <w:pStyle w:val="BodyText"/>
      </w:pPr>
      <w:r>
        <w:t xml:space="preserve">France is selected as the lead market due to its large veterinary</w:t>
      </w:r>
      <w:r>
        <w:t xml:space="preserve"> </w:t>
      </w:r>
      <w:r>
        <w:t xml:space="preserve">population, structured distribution networks, and favorable regulatory</w:t>
      </w:r>
      <w:r>
        <w:t xml:space="preserve"> </w:t>
      </w:r>
      <w:r>
        <w:t xml:space="preserve">environment for veterinary diagnostics.</w:t>
      </w:r>
    </w:p>
    <w:p>
      <w:pPr>
        <w:pStyle w:val="BodyText"/>
      </w:pPr>
      <w:r>
        <w:t xml:space="preserve">Beyond France, Vetalyx has identified Germany, Italy, Spain, and Belgium</w:t>
      </w:r>
      <w:r>
        <w:t xml:space="preserve"> </w:t>
      </w:r>
      <w:r>
        <w:t xml:space="preserve">as secondary expansion markets, offering a coherent regulatory and</w:t>
      </w:r>
      <w:r>
        <w:t xml:space="preserve"> </w:t>
      </w:r>
      <w:r>
        <w:t xml:space="preserve">commercial framework at the European level.</w:t>
      </w:r>
    </w:p>
    <w:bookmarkEnd w:id="16"/>
    <w:bookmarkStart w:id="17" w:name="competitive-landscape-and-positioning"/>
    <w:p>
      <w:pPr>
        <w:pStyle w:val="Heading1"/>
      </w:pPr>
      <w:r>
        <w:t xml:space="preserve">Competitive Landscape and Positioning</w:t>
      </w:r>
    </w:p>
    <w:p>
      <w:pPr>
        <w:pStyle w:val="FirstParagraph"/>
      </w:pPr>
      <w:r>
        <w:t xml:space="preserve">The competitive landscape includes global diagnostic laboratories,</w:t>
      </w:r>
      <w:r>
        <w:t xml:space="preserve"> </w:t>
      </w:r>
      <w:r>
        <w:t xml:space="preserve">specialized veterinary diagnostic companies, and niche assay providers.</w:t>
      </w:r>
      <w:r>
        <w:t xml:space="preserve"> </w:t>
      </w:r>
      <w:r>
        <w:t xml:space="preserve">Many competitors focus either on centralized laboratory testing or on</w:t>
      </w:r>
      <w:r>
        <w:t xml:space="preserve"> </w:t>
      </w:r>
      <w:r>
        <w:t xml:space="preserve">broad diagnostic portfolios where allergy testing is not a core</w:t>
      </w:r>
      <w:r>
        <w:t xml:space="preserve"> </w:t>
      </w:r>
      <w:r>
        <w:t xml:space="preserve">priority. Veterinary customers are niche users , proud of their</w:t>
      </w:r>
      <w:r>
        <w:t xml:space="preserve"> </w:t>
      </w:r>
      <w:r>
        <w:t xml:space="preserve">activities and it is a marketing gain to have exclusive vet positioning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Vetalyx differentiates itself through a focused product scope, faster</w:t>
      </w:r>
      <w:r>
        <w:t xml:space="preserve"> </w:t>
      </w:r>
      <w:r>
        <w:t xml:space="preserve">turnaround times, and pricing designed to support routine clinical</w:t>
      </w:r>
      <w:r>
        <w:t xml:space="preserve"> </w:t>
      </w:r>
      <w:r>
        <w:t xml:space="preserve">adoption rather than occasional use. The company positions itself as</w:t>
      </w:r>
      <w:r>
        <w:t xml:space="preserve"> </w:t>
      </w:r>
      <w:r>
        <w:t xml:space="preserve">complementary rather than disruptive to existing diagnostic workflows.</w:t>
      </w:r>
    </w:p>
    <w:bookmarkEnd w:id="17"/>
    <w:bookmarkStart w:id="18" w:name="regulatory-strategy"/>
    <w:p>
      <w:pPr>
        <w:pStyle w:val="Heading1"/>
      </w:pPr>
      <w:r>
        <w:t xml:space="preserve">Regulatory Strategy</w:t>
      </w:r>
    </w:p>
    <w:p>
      <w:pPr>
        <w:pStyle w:val="FirstParagraph"/>
      </w:pPr>
      <w:r>
        <w:rPr>
          <w:b/>
          <w:bCs/>
        </w:rPr>
        <w:t xml:space="preserve">Major Priority = complete technical file of Products must be available</w:t>
      </w:r>
      <w:r>
        <w:rPr>
          <w:b/>
          <w:bCs/>
        </w:rPr>
        <w:t xml:space="preserve"> </w:t>
      </w:r>
      <w:r>
        <w:rPr>
          <w:b/>
          <w:bCs/>
        </w:rPr>
        <w:t xml:space="preserve">rapidly with performances, stability … data.</w:t>
      </w:r>
    </w:p>
    <w:p>
      <w:pPr>
        <w:pStyle w:val="BodyText"/>
      </w:pPr>
      <w:r>
        <w:t xml:space="preserve">Vetalyx operates under the European regulatory framework applicable to</w:t>
      </w:r>
      <w:r>
        <w:t xml:space="preserve"> </w:t>
      </w:r>
      <w:r>
        <w:t xml:space="preserve">veterinary in vitro diagnostic devices. This framework is more</w:t>
      </w:r>
      <w:r>
        <w:t xml:space="preserve"> </w:t>
      </w:r>
      <w:r>
        <w:t xml:space="preserve">administrative document providing than local evaluation and legal</w:t>
      </w:r>
      <w:r>
        <w:t xml:space="preserve"> </w:t>
      </w:r>
      <w:r>
        <w:t xml:space="preserve">paperworks a required for human products. The company has adopted a</w:t>
      </w:r>
      <w:r>
        <w:t xml:space="preserve"> </w:t>
      </w:r>
      <w:r>
        <w:t xml:space="preserve">proactive regulatory strategy, integrating compliance considerations</w:t>
      </w:r>
      <w:r>
        <w:t xml:space="preserve"> </w:t>
      </w:r>
      <w:r>
        <w:t xml:space="preserve">from product design through manufacturing and post‑market surveillance.</w:t>
      </w:r>
    </w:p>
    <w:p>
      <w:pPr>
        <w:pStyle w:val="BodyText"/>
      </w:pPr>
      <w:r>
        <w:t xml:space="preserve">Belgium serves as the home market for initial regulatory</w:t>
      </w:r>
      <w:r>
        <w:t xml:space="preserve"> </w:t>
      </w:r>
      <w:r>
        <w:t xml:space="preserve">registration, with harmonized documentation supporting subsequent</w:t>
      </w:r>
      <w:r>
        <w:t xml:space="preserve"> </w:t>
      </w:r>
      <w:r>
        <w:t xml:space="preserve">European expansion.</w:t>
      </w:r>
    </w:p>
    <w:p>
      <w:pPr>
        <w:pStyle w:val="BodyText"/>
      </w:pPr>
      <w:r>
        <w:t xml:space="preserve">Quality system implementation is progressive, with ISO alignment planned</w:t>
      </w:r>
      <w:r>
        <w:t xml:space="preserve"> </w:t>
      </w:r>
      <w:r>
        <w:t xml:space="preserve">later in line with commercial traction.</w:t>
      </w:r>
    </w:p>
    <w:bookmarkEnd w:id="18"/>
    <w:bookmarkStart w:id="19" w:name="gotomarket-strategy"/>
    <w:p>
      <w:pPr>
        <w:pStyle w:val="Heading1"/>
      </w:pPr>
      <w:r>
        <w:t xml:space="preserve">Go‑to‑Market Strategy</w:t>
      </w:r>
    </w:p>
    <w:p>
      <w:pPr>
        <w:pStyle w:val="FirstParagraph"/>
      </w:pPr>
      <w:r>
        <w:t xml:space="preserve">The commercial strategy prioritizes indirect distribution through</w:t>
      </w:r>
      <w:r>
        <w:t xml:space="preserve"> </w:t>
      </w:r>
      <w:r>
        <w:t xml:space="preserve">established veterinary distributors, complemented by targeted direct</w:t>
      </w:r>
      <w:r>
        <w:t xml:space="preserve"> </w:t>
      </w:r>
      <w:r>
        <w:t xml:space="preserve">engagement with key opinion leader clinics. Pricing is positioned to</w:t>
      </w:r>
      <w:r>
        <w:t xml:space="preserve"> </w:t>
      </w:r>
      <w:r>
        <w:t xml:space="preserve">balance accessibility for clinics with sustainable margins. The initial</w:t>
      </w:r>
      <w:r>
        <w:t xml:space="preserve"> </w:t>
      </w:r>
      <w:r>
        <w:t xml:space="preserve">sales focus is on allergy‑focused veterinary practices and referral</w:t>
      </w:r>
      <w:r>
        <w:t xml:space="preserve"> </w:t>
      </w:r>
      <w:r>
        <w:t xml:space="preserve">clinics, gradually expanding to general practices as market familiarity</w:t>
      </w:r>
      <w:r>
        <w:t xml:space="preserve"> </w:t>
      </w:r>
      <w:r>
        <w:t xml:space="preserve">increases.</w:t>
      </w:r>
    </w:p>
    <w:bookmarkEnd w:id="19"/>
    <w:bookmarkStart w:id="20" w:name="operations-and-manufacturing-model"/>
    <w:p>
      <w:pPr>
        <w:pStyle w:val="Heading1"/>
      </w:pPr>
      <w:r>
        <w:t xml:space="preserve">Operations and Manufacturing Model</w:t>
      </w:r>
    </w:p>
    <w:p>
      <w:pPr>
        <w:pStyle w:val="FirstParagraph"/>
      </w:pPr>
      <w:r>
        <w:t xml:space="preserve">Manufacturing is fully outsourced to a single qualified supplier with</w:t>
      </w:r>
      <w:r>
        <w:t xml:space="preserve"> </w:t>
      </w:r>
      <w:r>
        <w:t xml:space="preserve">relevant experience in diagnostic kit production. This asset‑light model</w:t>
      </w:r>
      <w:r>
        <w:t xml:space="preserve"> </w:t>
      </w:r>
      <w:r>
        <w:t xml:space="preserve">minimizes capital expenditure and operational complexity. Vetalyx</w:t>
      </w:r>
      <w:r>
        <w:t xml:space="preserve"> </w:t>
      </w:r>
      <w:r>
        <w:t xml:space="preserve">retains responsibility for product specifications, validation protocols,</w:t>
      </w:r>
      <w:r>
        <w:t xml:space="preserve"> </w:t>
      </w:r>
      <w:r>
        <w:t xml:space="preserve">batch release criteria, and supplier oversight. Logistics and</w:t>
      </w:r>
      <w:r>
        <w:t xml:space="preserve"> </w:t>
      </w:r>
      <w:r>
        <w:t xml:space="preserve">warehousing are organized to support scalable European distribution.</w:t>
      </w:r>
      <w:r>
        <w:t xml:space="preserve"> </w:t>
      </w:r>
      <w:r>
        <w:t xml:space="preserve">Production localisation in Europe is an option exercised by the Board of Directors, part of short and</w:t>
      </w:r>
      <w:r>
        <w:t xml:space="preserve"> </w:t>
      </w:r>
      <w:r>
        <w:t xml:space="preserve">long-term strategy.</w:t>
      </w:r>
    </w:p>
    <w:bookmarkEnd w:id="20"/>
    <w:bookmarkStart w:id="21" w:name="quality-risk-and-compliance"/>
    <w:p>
      <w:pPr>
        <w:pStyle w:val="Heading1"/>
      </w:pPr>
      <w:r>
        <w:t xml:space="preserve">Quality, Risk, and Compliance</w:t>
      </w:r>
    </w:p>
    <w:p>
      <w:pPr>
        <w:pStyle w:val="FirstParagraph"/>
      </w:pPr>
      <w:r>
        <w:t xml:space="preserve">Quality management is treated as a strategic asset rather than a</w:t>
      </w:r>
      <w:r>
        <w:t xml:space="preserve"> </w:t>
      </w:r>
      <w:r>
        <w:t xml:space="preserve">regulatory burden.</w:t>
      </w:r>
    </w:p>
    <w:p>
      <w:pPr>
        <w:pStyle w:val="BodyText"/>
      </w:pPr>
      <w:r>
        <w:t xml:space="preserve">Vetalyx implements structured documentation, traceability, and complaint</w:t>
      </w:r>
      <w:r>
        <w:t xml:space="preserve"> </w:t>
      </w:r>
      <w:r>
        <w:t xml:space="preserve">handling processes from inception. Key risks include supplier</w:t>
      </w:r>
      <w:r>
        <w:t xml:space="preserve"> </w:t>
      </w:r>
      <w:r>
        <w:t xml:space="preserve">dependency, regulatory delays, and slower‑than‑expected market adoption.</w:t>
      </w:r>
    </w:p>
    <w:p>
      <w:pPr>
        <w:pStyle w:val="BodyText"/>
      </w:pPr>
      <w:r>
        <w:t xml:space="preserve">Mitigation measures include contractual safeguards, phased market entry,</w:t>
      </w:r>
      <w:r>
        <w:t xml:space="preserve"> </w:t>
      </w:r>
      <w:r>
        <w:t xml:space="preserve">and conservative financial planning.</w:t>
      </w:r>
    </w:p>
    <w:bookmarkEnd w:id="21"/>
    <w:bookmarkStart w:id="22" w:name="financial-logic-and-funding-rationale"/>
    <w:p>
      <w:pPr>
        <w:pStyle w:val="Heading1"/>
      </w:pPr>
      <w:r>
        <w:t xml:space="preserve">Financial Logic and Funding Rationale</w:t>
      </w:r>
    </w:p>
    <w:p>
      <w:pPr>
        <w:pStyle w:val="FirstParagraph"/>
      </w:pPr>
      <w:r>
        <w:t xml:space="preserve">Vetalyx seeks external funding to support regulatory completion, initial</w:t>
      </w:r>
      <w:r>
        <w:t xml:space="preserve"> </w:t>
      </w:r>
      <w:r>
        <w:t xml:space="preserve">market entry, and working capital requirements.</w:t>
      </w:r>
    </w:p>
    <w:p>
      <w:pPr>
        <w:pStyle w:val="BodyText"/>
      </w:pPr>
      <w:r>
        <w:t xml:space="preserve">The financial model prioritizes capital efficiency, with limited fixed</w:t>
      </w:r>
      <w:r>
        <w:t xml:space="preserve"> </w:t>
      </w:r>
      <w:r>
        <w:t xml:space="preserve">costs and a clear path to breakeven driven by volume growth rather than</w:t>
      </w:r>
      <w:r>
        <w:t xml:space="preserve"> </w:t>
      </w:r>
      <w:r>
        <w:t xml:space="preserve">price escalation.</w:t>
      </w:r>
    </w:p>
    <w:p>
      <w:pPr>
        <w:pStyle w:val="BodyText"/>
      </w:pPr>
      <w:r>
        <w:t xml:space="preserve">Funding supports a multi‑year runway, allowing disciplined execution</w:t>
      </w:r>
      <w:r>
        <w:t xml:space="preserve"> </w:t>
      </w:r>
      <w:r>
        <w:t xml:space="preserve">without premature expansion.</w:t>
      </w:r>
    </w:p>
    <w:bookmarkEnd w:id="22"/>
    <w:bookmarkStart w:id="23" w:name="milestones-and-roadmap"/>
    <w:p>
      <w:pPr>
        <w:pStyle w:val="Heading1"/>
      </w:pPr>
      <w:r>
        <w:t xml:space="preserve">Milestones and Roadmap</w:t>
      </w:r>
    </w:p>
    <w:p>
      <w:pPr>
        <w:pStyle w:val="FirstParagraph"/>
      </w:pPr>
      <w:r>
        <w:t xml:space="preserve">Key milestones include regulatory clearance in Belgium (AFMPS/FAMHP), first commercial</w:t>
      </w:r>
      <w:r>
        <w:t xml:space="preserve"> </w:t>
      </w:r>
      <w:r>
        <w:t xml:space="preserve">sales, distributor onboarding, and progressive expansion into additional</w:t>
      </w:r>
      <w:r>
        <w:t xml:space="preserve"> </w:t>
      </w:r>
      <w:r>
        <w:t xml:space="preserve">European markets.</w:t>
      </w:r>
    </w:p>
    <w:p>
      <w:pPr>
        <w:pStyle w:val="BodyText"/>
      </w:pPr>
      <w:r>
        <w:t xml:space="preserve">Product line extensions remain optional and are contingent on commercial</w:t>
      </w:r>
      <w:r>
        <w:t xml:space="preserve"> </w:t>
      </w:r>
      <w:r>
        <w:t xml:space="preserve">validation of the core allergy portfolio.</w:t>
      </w:r>
    </w:p>
    <w:bookmarkEnd w:id="23"/>
    <w:bookmarkStart w:id="24" w:name="governance-and-team"/>
    <w:p>
      <w:pPr>
        <w:pStyle w:val="Heading1"/>
      </w:pPr>
      <w:r>
        <w:t xml:space="preserve">Governance and Team</w:t>
      </w:r>
    </w:p>
    <w:p>
      <w:pPr>
        <w:pStyle w:val="FirstParagraph"/>
      </w:pPr>
      <w:r>
        <w:t xml:space="preserve">The company is governed by a structured board with relevant experience</w:t>
      </w:r>
      <w:r>
        <w:t xml:space="preserve"> </w:t>
      </w:r>
      <w:r>
        <w:t xml:space="preserve">in diagnostics and industrial projects.</w:t>
      </w:r>
    </w:p>
    <w:p>
      <w:pPr>
        <w:pStyle w:val="BodyText"/>
      </w:pPr>
      <w:r>
        <w:t xml:space="preserve">Governance emphasizes oversight, risk control, and strategic alignment</w:t>
      </w:r>
      <w:r>
        <w:t xml:space="preserve"> </w:t>
      </w:r>
      <w:r>
        <w:t xml:space="preserve">rather than operational micromanagement.</w:t>
      </w:r>
    </w:p>
    <w:p>
      <w:pPr>
        <w:pStyle w:val="BodyText"/>
      </w:pPr>
      <w:r>
        <w:t xml:space="preserve">External advisors support regulatory, scientific, and commercial</w:t>
      </w:r>
      <w:r>
        <w:t xml:space="preserve"> </w:t>
      </w:r>
      <w:r>
        <w:t xml:space="preserve">decision‑making.</w:t>
      </w:r>
    </w:p>
    <w:bookmarkEnd w:id="24"/>
    <w:bookmarkStart w:id="25" w:name="section-2"/>
    <w:p>
      <w:pPr>
        <w:pStyle w:val="Heading1"/>
      </w:pPr>
    </w:p>
    <w:bookmarkEnd w:id="25"/>
    <w:bookmarkStart w:id="27" w:name="exit-scenarios"/>
    <w:p>
      <w:pPr>
        <w:pStyle w:val="Heading1"/>
      </w:pPr>
      <w:r>
        <w:t xml:space="preserve">Exit Scenarios</w:t>
      </w:r>
    </w:p>
    <w:p>
      <w:pPr>
        <w:pStyle w:val="FirstParagraph"/>
      </w:pPr>
      <w:r>
        <w:t xml:space="preserve">Preferred exit scenario includes trade sale to a veterinary diagnostics</w:t>
      </w:r>
      <w:r>
        <w:t xml:space="preserve"> </w:t>
      </w:r>
      <w:r>
        <w:t xml:space="preserve">company or strategic acquisition by a larger animal health group.</w:t>
      </w:r>
    </w:p>
    <w:p>
      <w:pPr>
        <w:pStyle w:val="BodyText"/>
      </w:pPr>
      <w:r>
        <w:t xml:space="preserve">The company is structured to remain attractive through clean</w:t>
      </w:r>
      <w:r>
        <w:t xml:space="preserve"> </w:t>
      </w:r>
      <w:r>
        <w:t xml:space="preserve">intellectual property positioning, regulatory compliance, and scalable</w:t>
      </w:r>
      <w:r>
        <w:t xml:space="preserve"> </w:t>
      </w:r>
      <w:r>
        <w:t xml:space="preserve">operations.</w:t>
      </w:r>
    </w:p>
    <w:p>
      <w:pPr>
        <w:pStyle w:val="BodyText"/>
      </w:pPr>
      <w:r>
        <w:t xml:space="preserve">REMARK : Veterinary market is not Human Health Market. Players are</w:t>
      </w:r>
      <w:r>
        <w:t xml:space="preserve"> </w:t>
      </w:r>
      <w:r>
        <w:t xml:space="preserve">different and the exit is only possible by focusing activities in Vet</w:t>
      </w:r>
      <w:r>
        <w:t xml:space="preserve"> </w:t>
      </w:r>
      <w:r>
        <w:t xml:space="preserve">sector.</w:t>
      </w:r>
    </w:p>
    <w:p>
      <w:pPr>
        <w:pStyle w:val="BodyText"/>
      </w:pPr>
      <w:r>
        <w:rPr>
          <w:b/>
          <w:bCs/>
        </w:rPr>
        <w:t xml:space="preserve">IT IS NOT RECOMMENDED to mix Vet and Human activities and catalog.</w:t>
      </w:r>
    </w:p>
    <w:bookmarkStart w:id="26" w:name="annual-profit-loss-statement"/>
    <w:p>
      <w:pPr>
        <w:pStyle w:val="Heading2"/>
      </w:pPr>
      <w:r>
        <w:t xml:space="preserve">Annual Profit &amp; Loss Statement (€)</w:t>
      </w:r>
    </w:p>
    <w:p>
      <w:pPr>
        <w:pStyle w:val="FirstParagraph"/>
      </w:pPr>
      <w:r>
        <w:t xml:space="preserve">Horizon : Y1 (2026) → Y5 (2030).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Y5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Revenue</w:t>
            </w:r>
          </w:p>
        </w:tc>
        <w:tc>
          <w:tcPr/>
          <w:p>
            <w:pPr>
              <w:pStyle w:val="Compact"/>
            </w:pPr>
            <w:r>
              <w:t xml:space="preserve">299 700</w:t>
            </w:r>
          </w:p>
        </w:tc>
        <w:tc>
          <w:tcPr/>
          <w:p>
            <w:pPr>
              <w:pStyle w:val="Compact"/>
            </w:pPr>
            <w:r>
              <w:t xml:space="preserve">856 088</w:t>
            </w:r>
          </w:p>
        </w:tc>
        <w:tc>
          <w:tcPr/>
          <w:p>
            <w:pPr>
              <w:pStyle w:val="Compact"/>
            </w:pPr>
            <w:r>
              <w:t xml:space="preserve">2 295 375</w:t>
            </w:r>
          </w:p>
        </w:tc>
        <w:tc>
          <w:tcPr/>
          <w:p>
            <w:pPr>
              <w:pStyle w:val="Compact"/>
            </w:pPr>
            <w:r>
              <w:t xml:space="preserve">4 490 850</w:t>
            </w:r>
          </w:p>
        </w:tc>
        <w:tc>
          <w:tcPr/>
          <w:p>
            <w:pPr>
              <w:pStyle w:val="Compact"/>
            </w:pPr>
            <w:r>
              <w:t xml:space="preserve">7 209 585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sold (50 % cat / 50 % dog)</w:t>
            </w:r>
          </w:p>
        </w:tc>
        <w:tc>
          <w:tcPr/>
          <w:p>
            <w:pPr>
              <w:pStyle w:val="Compact"/>
            </w:pPr>
            <w:r>
              <w:t xml:space="preserve">7 685</w:t>
            </w:r>
          </w:p>
        </w:tc>
        <w:tc>
          <w:tcPr/>
          <w:p>
            <w:pPr>
              <w:pStyle w:val="Compact"/>
            </w:pPr>
            <w:r>
              <w:t xml:space="preserve">21 951</w:t>
            </w:r>
          </w:p>
        </w:tc>
        <w:tc>
          <w:tcPr/>
          <w:p>
            <w:pPr>
              <w:pStyle w:val="Compact"/>
            </w:pPr>
            <w:r>
              <w:t xml:space="preserve">58 856</w:t>
            </w:r>
          </w:p>
        </w:tc>
        <w:tc>
          <w:tcPr/>
          <w:p>
            <w:pPr>
              <w:pStyle w:val="Compact"/>
            </w:pPr>
            <w:r>
              <w:t xml:space="preserve">115 150</w:t>
            </w:r>
          </w:p>
        </w:tc>
        <w:tc>
          <w:tcPr/>
          <w:p>
            <w:pPr>
              <w:pStyle w:val="Compact"/>
            </w:pPr>
            <w:r>
              <w:t xml:space="preserve">184 861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COGS</w:t>
            </w:r>
          </w:p>
        </w:tc>
        <w:tc>
          <w:tcPr/>
          <w:p>
            <w:pPr>
              <w:pStyle w:val="Compact"/>
            </w:pPr>
            <w:r>
              <w:t xml:space="preserve">158 760</w:t>
            </w:r>
          </w:p>
        </w:tc>
        <w:tc>
          <w:tcPr/>
          <w:p>
            <w:pPr>
              <w:pStyle w:val="Compact"/>
            </w:pPr>
            <w:r>
              <w:t xml:space="preserve">453 495</w:t>
            </w:r>
          </w:p>
        </w:tc>
        <w:tc>
          <w:tcPr/>
          <w:p>
            <w:pPr>
              <w:pStyle w:val="Compact"/>
            </w:pPr>
            <w:r>
              <w:t xml:space="preserve">906 990</w:t>
            </w:r>
          </w:p>
        </w:tc>
        <w:tc>
          <w:tcPr/>
          <w:p>
            <w:pPr>
              <w:pStyle w:val="Compact"/>
            </w:pPr>
            <w:r>
              <w:t xml:space="preserve">1 496 460</w:t>
            </w:r>
          </w:p>
        </w:tc>
        <w:tc>
          <w:tcPr/>
          <w:p>
            <w:pPr>
              <w:pStyle w:val="Compact"/>
            </w:pPr>
            <w:r>
              <w:t xml:space="preserve">2 054 178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Gross Profit</w:t>
            </w:r>
          </w:p>
        </w:tc>
        <w:tc>
          <w:tcPr/>
          <w:p>
            <w:pPr>
              <w:pStyle w:val="Compact"/>
            </w:pPr>
            <w:r>
              <w:t xml:space="preserve">140 940</w:t>
            </w:r>
          </w:p>
        </w:tc>
        <w:tc>
          <w:tcPr/>
          <w:p>
            <w:pPr>
              <w:pStyle w:val="Compact"/>
            </w:pPr>
            <w:r>
              <w:t xml:space="preserve">402 592</w:t>
            </w:r>
          </w:p>
        </w:tc>
        <w:tc>
          <w:tcPr/>
          <w:p>
            <w:pPr>
              <w:pStyle w:val="Compact"/>
            </w:pPr>
            <w:r>
              <w:t xml:space="preserve">1 388 385</w:t>
            </w:r>
          </w:p>
        </w:tc>
        <w:tc>
          <w:tcPr/>
          <w:p>
            <w:pPr>
              <w:pStyle w:val="Compact"/>
            </w:pPr>
            <w:r>
              <w:t xml:space="preserve">2 994 390</w:t>
            </w:r>
          </w:p>
        </w:tc>
        <w:tc>
          <w:tcPr/>
          <w:p>
            <w:pPr>
              <w:pStyle w:val="Compact"/>
            </w:pPr>
            <w:r>
              <w:t xml:space="preserve">5 155 407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Expenses</w:t>
            </w:r>
          </w:p>
        </w:tc>
        <w:tc>
          <w:tcPr/>
          <w:p>
            <w:pPr>
              <w:pStyle w:val="Compact"/>
            </w:pPr>
            <w:r>
              <w:t xml:space="preserve">99 960</w:t>
            </w:r>
          </w:p>
        </w:tc>
        <w:tc>
          <w:tcPr/>
          <w:p>
            <w:pPr>
              <w:pStyle w:val="Compact"/>
            </w:pPr>
            <w:r>
              <w:t xml:space="preserve">140 688</w:t>
            </w:r>
          </w:p>
        </w:tc>
        <w:tc>
          <w:tcPr/>
          <w:p>
            <w:pPr>
              <w:pStyle w:val="Compact"/>
            </w:pPr>
            <w:r>
              <w:t xml:space="preserve">182 621</w:t>
            </w:r>
          </w:p>
        </w:tc>
        <w:tc>
          <w:tcPr/>
          <w:p>
            <w:pPr>
              <w:pStyle w:val="Compact"/>
            </w:pPr>
            <w:r>
              <w:t xml:space="preserve">221 362</w:t>
            </w:r>
          </w:p>
        </w:tc>
        <w:tc>
          <w:tcPr/>
          <w:p>
            <w:pPr>
              <w:pStyle w:val="Compact"/>
            </w:pPr>
            <w:r>
              <w:t xml:space="preserve">251 244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Payroll Expenses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91 000</w:t>
            </w:r>
          </w:p>
        </w:tc>
        <w:tc>
          <w:tcPr/>
          <w:p>
            <w:pPr>
              <w:pStyle w:val="Compact"/>
            </w:pPr>
            <w:r>
              <w:t xml:space="preserve">237 200</w:t>
            </w:r>
          </w:p>
        </w:tc>
        <w:tc>
          <w:tcPr/>
          <w:p>
            <w:pPr>
              <w:pStyle w:val="Compact"/>
            </w:pPr>
            <w:r>
              <w:t xml:space="preserve">420 970</w:t>
            </w:r>
          </w:p>
        </w:tc>
        <w:tc>
          <w:tcPr/>
          <w:p>
            <w:pPr>
              <w:pStyle w:val="Compact"/>
            </w:pPr>
            <w:r>
              <w:t xml:space="preserve">700 780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Expenses incl. Payroll</w:t>
            </w:r>
          </w:p>
        </w:tc>
        <w:tc>
          <w:tcPr/>
          <w:p>
            <w:pPr>
              <w:pStyle w:val="Compact"/>
            </w:pPr>
            <w:r>
              <w:t xml:space="preserve">99 960</w:t>
            </w:r>
          </w:p>
        </w:tc>
        <w:tc>
          <w:tcPr/>
          <w:p>
            <w:pPr>
              <w:pStyle w:val="Compact"/>
            </w:pPr>
            <w:r>
              <w:t xml:space="preserve">231 688</w:t>
            </w:r>
          </w:p>
        </w:tc>
        <w:tc>
          <w:tcPr/>
          <w:p>
            <w:pPr>
              <w:pStyle w:val="Compact"/>
            </w:pPr>
            <w:r>
              <w:t xml:space="preserve">419 821</w:t>
            </w:r>
          </w:p>
        </w:tc>
        <w:tc>
          <w:tcPr/>
          <w:p>
            <w:pPr>
              <w:pStyle w:val="Compact"/>
            </w:pPr>
            <w:r>
              <w:t xml:space="preserve">642 332</w:t>
            </w:r>
          </w:p>
        </w:tc>
        <w:tc>
          <w:tcPr/>
          <w:p>
            <w:pPr>
              <w:pStyle w:val="Compact"/>
            </w:pPr>
            <w:r>
              <w:t xml:space="preserve">952 024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EBITDA</w:t>
            </w:r>
          </w:p>
        </w:tc>
        <w:tc>
          <w:tcPr/>
          <w:p>
            <w:pPr>
              <w:pStyle w:val="Compact"/>
            </w:pPr>
            <w:r>
              <w:t xml:space="preserve">40 980</w:t>
            </w:r>
          </w:p>
        </w:tc>
        <w:tc>
          <w:tcPr/>
          <w:p>
            <w:pPr>
              <w:pStyle w:val="Compact"/>
            </w:pPr>
            <w:r>
              <w:t xml:space="preserve">170 904</w:t>
            </w:r>
          </w:p>
        </w:tc>
        <w:tc>
          <w:tcPr/>
          <w:p>
            <w:pPr>
              <w:pStyle w:val="Compact"/>
            </w:pPr>
            <w:r>
              <w:t xml:space="preserve">968 564</w:t>
            </w:r>
          </w:p>
        </w:tc>
        <w:tc>
          <w:tcPr/>
          <w:p>
            <w:pPr>
              <w:pStyle w:val="Compact"/>
            </w:pPr>
            <w:r>
              <w:t xml:space="preserve">2 352 058</w:t>
            </w:r>
          </w:p>
        </w:tc>
        <w:tc>
          <w:tcPr/>
          <w:p>
            <w:pPr>
              <w:pStyle w:val="Compact"/>
            </w:pPr>
            <w:r>
              <w:t xml:space="preserve">4 203 383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Profit Before Tax (PBT)</w:t>
            </w:r>
          </w:p>
        </w:tc>
        <w:tc>
          <w:tcPr/>
          <w:p>
            <w:pPr>
              <w:pStyle w:val="Compact"/>
            </w:pPr>
            <w:r>
              <w:t xml:space="preserve">40 980</w:t>
            </w:r>
          </w:p>
        </w:tc>
        <w:tc>
          <w:tcPr/>
          <w:p>
            <w:pPr>
              <w:pStyle w:val="Compact"/>
            </w:pPr>
            <w:r>
              <w:t xml:space="preserve">170 904</w:t>
            </w:r>
          </w:p>
        </w:tc>
        <w:tc>
          <w:tcPr/>
          <w:p>
            <w:pPr>
              <w:pStyle w:val="Compact"/>
            </w:pPr>
            <w:r>
              <w:t xml:space="preserve">968 564</w:t>
            </w:r>
          </w:p>
        </w:tc>
        <w:tc>
          <w:tcPr/>
          <w:p>
            <w:pPr>
              <w:pStyle w:val="Compact"/>
            </w:pPr>
            <w:r>
              <w:t xml:space="preserve">2 352 058</w:t>
            </w:r>
          </w:p>
        </w:tc>
        <w:tc>
          <w:tcPr/>
          <w:p>
            <w:pPr>
              <w:pStyle w:val="Compact"/>
            </w:pPr>
            <w:r>
              <w:t xml:space="preserve">4 203 383</w:t>
            </w:r>
          </w:p>
        </w:tc>
      </w:tr>
    </w:tbl>
    <w:p>
      <w:pPr>
        <w:pStyle w:val="BodyText"/>
      </w:pPr>
      <w:r>
        <w:t xml:space="preserve">Depreciation &amp; amortization and interest: not included.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2026-10-06T13:02:18Z</dcterms:created>
  <dcterms:modified xsi:type="dcterms:W3CDTF">2026-10-06T13:02:18Z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