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c637429cfe7480c588da96fe420c0aedf9f84e"/>
    <w:p>
      <w:pPr>
        <w:pStyle w:val="Heading1"/>
      </w:pPr>
      <w:r>
        <w:t xml:space="preserve">Note — Influence of the ISC on the adaptation of the VETALYX articles of association</w:t>
      </w:r>
    </w:p>
    <w:p>
      <w:pPr>
        <w:pStyle w:val="FirstParagraph"/>
      </w:pPr>
      <w:r>
        <w:rPr>
          <w:b/>
          <w:bCs/>
        </w:rPr>
        <w:t xml:space="preserve">Date :</w:t>
      </w:r>
      <w:r>
        <w:t xml:space="preserve"> </w:t>
      </w:r>
      <w:r>
        <w:t xml:space="preserve">2026-10-05 |</w:t>
      </w:r>
      <w:r>
        <w:t xml:space="preserve"> </w:t>
      </w:r>
      <w:r>
        <w:rPr>
          <w:b/>
          <w:bCs/>
        </w:rPr>
        <w:t xml:space="preserve">Orchestrated by :</w:t>
      </w:r>
      <w:r>
        <w:t xml:space="preserve"> </w:t>
      </w:r>
      <w:r>
        <w:t xml:space="preserve">Dobby 🦉</w:t>
      </w:r>
      <w:r>
        <w:t xml:space="preserve"> </w:t>
      </w:r>
      <w:r>
        <w:rPr>
          <w:b/>
          <w:bCs/>
        </w:rPr>
        <w:t xml:space="preserve">Subject :</w:t>
      </w:r>
      <w:r>
        <w:t xml:space="preserve"> </w:t>
      </w:r>
      <w:r>
        <w:t xml:space="preserve">traceability of the adaptations made to the articles of association to minimise exposure to the Belgian foreign investment screening (ISC).</w:t>
      </w:r>
    </w:p>
    <w:p>
      <w:r>
        <w:pict>
          <v:rect style="width:0;height:1.5pt" o:hralign="center" o:hrstd="t" o:hr="t"/>
        </w:pict>
      </w:r>
    </w:p>
    <w:bookmarkStart w:id="9" w:name="reminder-the-isc-mechanism"/>
    <w:p>
      <w:pPr>
        <w:pStyle w:val="Heading2"/>
      </w:pPr>
      <w:r>
        <w:t xml:space="preserve">1. Reminder — the ISC mechanism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ISC</w:t>
      </w:r>
      <w:r>
        <w:t xml:space="preserve"> </w:t>
      </w:r>
      <w:r>
        <w:t xml:space="preserve">(Interfederal Screening Committee for foreign direct investments, established by the cooperation agreement of 30 November 2022) reviews equity stakes taken by foreign investors in</w:t>
      </w:r>
      <w:r>
        <w:t xml:space="preserve"> </w:t>
      </w:r>
      <w:r>
        <w:rPr>
          <w:b/>
          <w:bCs/>
        </w:rPr>
        <w:t xml:space="preserve">sensitive sectors</w:t>
      </w:r>
      <w:r>
        <w:t xml:space="preserve">: health, biotechnology, pharmaceuticals, critical infrastructure, media, etc.</w:t>
      </w:r>
    </w:p>
    <w:p>
      <w:pPr>
        <w:pStyle w:val="BodyText"/>
      </w:pPr>
      <w:r>
        <w:t xml:space="preserve">The entry of</w:t>
      </w:r>
      <w:r>
        <w:t xml:space="preserve"> </w:t>
      </w:r>
      <w:r>
        <w:rPr>
          <w:b/>
          <w:bCs/>
        </w:rPr>
        <w:t xml:space="preserve">DIAHO (China) at 40 %</w:t>
      </w:r>
      <w:r>
        <w:t xml:space="preserve"> </w:t>
      </w:r>
      <w:r>
        <w:t xml:space="preserve">into VETALYX (veterinary diagnostics — a field close to health/biotech) is potentially covered by this mechanism.</w:t>
      </w:r>
    </w:p>
    <w:bookmarkEnd w:id="9"/>
    <w:bookmarkStart w:id="10" w:name="the-risk-trigger"/>
    <w:p>
      <w:pPr>
        <w:pStyle w:val="Heading2"/>
      </w:pPr>
      <w:r>
        <w:t xml:space="preserve">2. The risk trigger</w:t>
      </w:r>
    </w:p>
    <w:p>
      <w:pPr>
        <w:pStyle w:val="FirstParagraph"/>
      </w:pPr>
      <w:r>
        <w:t xml:space="preserve">The ISC risk is</w:t>
      </w:r>
      <w:r>
        <w:t xml:space="preserve"> </w:t>
      </w:r>
      <w:r>
        <w:rPr>
          <w:b/>
          <w:bCs/>
        </w:rPr>
        <w:t xml:space="preserve">low in itself</w:t>
      </w:r>
      <w:r>
        <w:t xml:space="preserve"> </w:t>
      </w:r>
      <w:r>
        <w:t xml:space="preserve">(a company with EUR 10 000 of capital, a non-critical activity),</w:t>
      </w:r>
      <w:r>
        <w:t xml:space="preserve"> </w:t>
      </w:r>
      <w:r>
        <w:rPr>
          <w:b/>
          <w:bCs/>
        </w:rPr>
        <w:t xml:space="preserve">but it increases</w:t>
      </w:r>
      <w:r>
        <w:t xml:space="preserve"> </w:t>
      </w:r>
      <w:r>
        <w:t xml:space="preserve">if DIAHO obtains</w:t>
      </w:r>
      <w:r>
        <w:t xml:space="preserve"> </w:t>
      </w:r>
      <w:r>
        <w:rPr>
          <w:b/>
          <w:bCs/>
        </w:rPr>
        <w:t xml:space="preserve">special rights recorded directly in the articles of association</w:t>
      </w:r>
      <w:r>
        <w:t xml:space="preserve"> </w:t>
      </w:r>
      <w:r>
        <w:t xml:space="preserve">(right of veto, reserved seat on the board) — since « 40 % + special rights = a clearer significant influence », which makes screening more likely to apply.</w:t>
      </w:r>
    </w:p>
    <w:bookmarkEnd w:id="10"/>
    <w:bookmarkStart w:id="11" w:name="X1112bdcab465fef999cd4548aba69b7d8cdf3c2"/>
    <w:p>
      <w:pPr>
        <w:pStyle w:val="Heading2"/>
      </w:pPr>
      <w:r>
        <w:t xml:space="preserve">3. Adaptations made to the articles of association (and their reason)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Adaptation</w:t>
            </w:r>
          </w:p>
        </w:tc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ISC-related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DIAHO veto</w:t>
            </w:r>
            <w:r>
              <w:t xml:space="preserve"> </w:t>
            </w:r>
            <w:r>
              <w:rPr>
                <w:b/>
                <w:bCs/>
              </w:rPr>
              <w:t xml:space="preserve">removed from the articles</w:t>
            </w:r>
            <w:r>
              <w:t xml:space="preserve">, kept in the Shareholders’ Agreement</w:t>
            </w:r>
          </w:p>
        </w:tc>
        <w:tc>
          <w:tcPr/>
          <w:p>
            <w:pPr>
              <w:pStyle w:val="Compact"/>
            </w:pPr>
            <w:r>
              <w:t xml:space="preserve">(former Art. 21)</w:t>
            </w:r>
          </w:p>
        </w:tc>
        <w:tc>
          <w:tcPr/>
          <w:p>
            <w:pPr>
              <w:pStyle w:val="Compact"/>
            </w:pPr>
            <w:r>
              <w:t xml:space="preserve">Do not disclose special rights in the published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meeting at a</w:t>
            </w:r>
            <w:r>
              <w:t xml:space="preserve"> </w:t>
            </w:r>
            <w:r>
              <w:rPr>
                <w:b/>
                <w:bCs/>
              </w:rPr>
              <w:t xml:space="preserve">standard 3/4 majority</w:t>
            </w:r>
            <w:r>
              <w:t xml:space="preserve"> </w:t>
            </w:r>
            <w:r>
              <w:t xml:space="preserve">(no reference to the Shareholders’ Agreement)</w:t>
            </w:r>
          </w:p>
        </w:tc>
        <w:tc>
          <w:tcPr/>
          <w:p>
            <w:pPr>
              <w:pStyle w:val="Compact"/>
            </w:pPr>
            <w:r>
              <w:t xml:space="preserve">Art. 21</w:t>
            </w:r>
          </w:p>
        </w:tc>
        <w:tc>
          <w:tcPr/>
          <w:p>
            <w:pPr>
              <w:pStyle w:val="Compact"/>
            </w:pPr>
            <w:r>
              <w:t xml:space="preserve">Remove the statutory anchor of the veto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mention of a</w:t>
            </w:r>
            <w:r>
              <w:t xml:space="preserve"> </w:t>
            </w:r>
            <w:r>
              <w:rPr>
                <w:b/>
                <w:bCs/>
              </w:rPr>
              <w:t xml:space="preserve">DIAHO reserved seat</w:t>
            </w:r>
            <w:r>
              <w:t xml:space="preserve"> </w:t>
            </w:r>
            <w:r>
              <w:t xml:space="preserve">on the board</w:t>
            </w:r>
          </w:p>
        </w:tc>
        <w:tc>
          <w:tcPr/>
          <w:p>
            <w:pPr>
              <w:pStyle w:val="Compact"/>
            </w:pPr>
            <w:r>
              <w:t xml:space="preserve">Art. 14, 33</w:t>
            </w:r>
          </w:p>
        </w:tc>
        <w:tc>
          <w:tcPr/>
          <w:p>
            <w:pPr>
              <w:pStyle w:val="Compact"/>
            </w:pPr>
            <w:r>
              <w:t xml:space="preserve">The board remains standard (directors appointed by the general meeting)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majority « including the DIAHO vote 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special rights visible in the 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Expenditure in</w:t>
            </w:r>
            <w:r>
              <w:t xml:space="preserve"> </w:t>
            </w:r>
            <w:r>
              <w:rPr>
                <w:b/>
                <w:bCs/>
              </w:rPr>
              <w:t xml:space="preserve">2 tiers</w:t>
            </w:r>
            <w:r>
              <w:t xml:space="preserve"> </w:t>
            </w:r>
            <w:r>
              <w:t xml:space="preserve">(EUR 10 000 / 2 directors, EUR 30 000 / board)</w:t>
            </w:r>
          </w:p>
        </w:tc>
        <w:tc>
          <w:tcPr/>
          <w:p>
            <w:pPr>
              <w:pStyle w:val="Compact"/>
            </w:pPr>
            <w:r>
              <w:t xml:space="preserve">Art. 15</w:t>
            </w:r>
          </w:p>
        </w:tc>
        <w:tc>
          <w:tcPr/>
          <w:p>
            <w:pPr>
              <w:pStyle w:val="Compact"/>
            </w:pPr>
            <w:r>
              <w:t xml:space="preserve">Standard management rule, neutral for the ISC</w:t>
            </w:r>
          </w:p>
        </w:tc>
      </w:tr>
    </w:tbl>
    <w:bookmarkEnd w:id="11"/>
    <w:bookmarkStart w:id="12" w:name="accepted-consequence"/>
    <w:p>
      <w:pPr>
        <w:pStyle w:val="Heading2"/>
      </w:pPr>
      <w:r>
        <w:t xml:space="preserve">4. Accepted consequence</w:t>
      </w:r>
    </w:p>
    <w:p>
      <w:pPr>
        <w:pStyle w:val="FirstParagraph"/>
      </w:pPr>
      <w:r>
        <w:t xml:space="preserve">Since the DIAHO veto is no longer in the articles of association, it becomes</w:t>
      </w:r>
      <w:r>
        <w:t xml:space="preserve"> </w:t>
      </w:r>
      <w:r>
        <w:rPr>
          <w:b/>
          <w:bCs/>
        </w:rPr>
        <w:t xml:space="preserve">not opposable to third parties</w:t>
      </w:r>
      <w:r>
        <w:t xml:space="preserve"> </w:t>
      </w:r>
      <w:r>
        <w:t xml:space="preserve">(it binds only the shareholders, via the Shareholders’ Agreement). This is the accepted trade-off:</w:t>
      </w:r>
      <w:r>
        <w:t xml:space="preserve"> </w:t>
      </w:r>
      <w:r>
        <w:rPr>
          <w:b/>
          <w:bCs/>
        </w:rPr>
        <w:t xml:space="preserve">ISC discretion &gt; opposability of the veto</w:t>
      </w:r>
      <w:r>
        <w:t xml:space="preserve">. To be documented with the notary, with voluntary notification possible in case of doubt (timelines: phase 1 = 30 days, phase 2 = +28 days).</w:t>
      </w:r>
    </w:p>
    <w:bookmarkEnd w:id="12"/>
    <w:bookmarkStart w:id="13" w:name="documents-concerned"/>
    <w:p>
      <w:pPr>
        <w:pStyle w:val="Heading2"/>
      </w:pPr>
      <w:r>
        <w:t xml:space="preserve">5. Documents concerned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Articles of association FR v2 (ISC-clean)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legal/Statuts ET Accords /statuts-srl-vetalyx-FR-v2.md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Articles of association EN v2 (translation)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legal/Statuts ET Accords /statuts-srl-vetalyx-EN-v2.md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Shareholders’ Agreement v2 (DIAHO veto)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legal/pacte-actionnaires-vetalyx-v2.md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Explanatory note for DIAHO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legal/2026-10-05_note-explicative-ISC-DIAHO-FR.md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Internal traceability note — Dobby 🦉, 2026-10-05. Not part of the signed documents. English translation — the French text prevails.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2026-10-05T18:20:38Z</dcterms:created>
  <dcterms:modified xsi:type="dcterms:W3CDTF">2026-10-05T18:20:38Z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