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Analyse critique du dossier technique – Produit diagnostique vétérinaire</w:t>
      </w:r>
    </w:p>
    <w:p>
      <w:r>
        <w:t>Objet : Évaluation critique du dossier technique relatif au test rapide de détection d’anticorps spécifiques d’allergènes chez le chat et le chien (méthode colloïdal gold), sur la base des documents fournis.</w:t>
      </w:r>
    </w:p>
    <w:p>
      <w:pPr>
        <w:pStyle w:val="Heading1"/>
      </w:pPr>
      <w:r>
        <w:t>1. Résumé exécutif</w:t>
      </w:r>
    </w:p>
    <w:p>
      <w:r>
        <w:t>Le dossier technique analysé présente un niveau documentaire intermédiaire, proche d’un dossier R&amp;D ou OEM, mais insuffisant pour démontrer la maturité complète d’un produit diagnostique vétérinaire premium. Il contient des essais analytiques de base (blanc, concordance, précision, stabilité accélérée), mais ne couvre pas l’ensemble des attendus d’un technical file robuste.</w:t>
      </w:r>
    </w:p>
    <w:p>
      <w:pPr>
        <w:pStyle w:val="Heading1"/>
      </w:pPr>
      <w:r>
        <w:t>2. Forces identifiées</w:t>
      </w:r>
    </w:p>
    <w:p>
      <w:pPr>
        <w:pStyle w:val="ListBullet"/>
      </w:pPr>
      <w:r>
        <w:t>Existence d’un document de performance analytique structuré.</w:t>
      </w:r>
    </w:p>
    <w:p>
      <w:pPr>
        <w:pStyle w:val="ListBullet"/>
      </w:pPr>
      <w:r>
        <w:t>Évaluation inter-lots et inter-laboratoires.</w:t>
      </w:r>
    </w:p>
    <w:p>
      <w:pPr>
        <w:pStyle w:val="ListBullet"/>
      </w:pPr>
      <w:r>
        <w:t>Présence de contrôles positifs et négatifs.</w:t>
      </w:r>
    </w:p>
    <w:p>
      <w:pPr>
        <w:pStyle w:val="ListBullet"/>
      </w:pPr>
      <w:r>
        <w:t>Essais de stabilité accélérée.</w:t>
      </w:r>
    </w:p>
    <w:p>
      <w:pPr>
        <w:pStyle w:val="ListBullet"/>
      </w:pPr>
      <w:r>
        <w:t>Volonté de standardisation des lots.</w:t>
      </w:r>
    </w:p>
    <w:p>
      <w:pPr>
        <w:pStyle w:val="Heading1"/>
      </w:pPr>
      <w:r>
        <w:t>3. Non-conformités / lacunes majeures</w:t>
      </w:r>
    </w:p>
    <w:p>
      <w:pPr>
        <w:pStyle w:val="Heading2"/>
      </w:pPr>
      <w:r>
        <w:t>3.1 Définition scientifique du produit</w:t>
      </w:r>
    </w:p>
    <w:p>
      <w:pPr>
        <w:pStyle w:val="ListBullet"/>
      </w:pPr>
      <w:r>
        <w:t>Nature exacte de l’analyte non démontrée (IgE, IgG, autre).</w:t>
      </w:r>
    </w:p>
    <w:p>
      <w:pPr>
        <w:pStyle w:val="ListBullet"/>
      </w:pPr>
      <w:r>
        <w:t>Valeur clinique d’un résultat positif insuffisamment justifiée.</w:t>
      </w:r>
    </w:p>
    <w:p>
      <w:pPr>
        <w:pStyle w:val="ListBullet"/>
      </w:pPr>
      <w:r>
        <w:t>Absence de corrélation claire entre sensibilisation immunologique et allergie clinique.</w:t>
      </w:r>
    </w:p>
    <w:p>
      <w:pPr>
        <w:pStyle w:val="Heading2"/>
      </w:pPr>
      <w:r>
        <w:t>3.2 Validation analytique incomplète</w:t>
      </w:r>
    </w:p>
    <w:p>
      <w:pPr>
        <w:pStyle w:val="ListBullet"/>
      </w:pPr>
      <w:r>
        <w:t>Pas de limite de détection.</w:t>
      </w:r>
    </w:p>
    <w:p>
      <w:pPr>
        <w:pStyle w:val="ListBullet"/>
      </w:pPr>
      <w:r>
        <w:t>Pas de seuil de positivité / cut-off.</w:t>
      </w:r>
    </w:p>
    <w:p>
      <w:pPr>
        <w:pStyle w:val="ListBullet"/>
      </w:pPr>
      <w:r>
        <w:t>Pas d’étude d’interférences (hémolyse, lipémie, anticoagulants, médicaments).</w:t>
      </w:r>
    </w:p>
    <w:p>
      <w:pPr>
        <w:pStyle w:val="ListBullet"/>
      </w:pPr>
      <w:r>
        <w:t>Pas d’étude de réactivité croisée.</w:t>
      </w:r>
    </w:p>
    <w:p>
      <w:pPr>
        <w:pStyle w:val="ListBullet"/>
      </w:pPr>
      <w:r>
        <w:t>Pas de robustesse opérateur/environnement.</w:t>
      </w:r>
    </w:p>
    <w:p>
      <w:pPr>
        <w:pStyle w:val="Heading2"/>
      </w:pPr>
      <w:r>
        <w:t>3.3 Validation clinique absente ou insuffisante</w:t>
      </w:r>
    </w:p>
    <w:p>
      <w:pPr>
        <w:pStyle w:val="ListBullet"/>
      </w:pPr>
      <w:r>
        <w:t>Pas d’étude terrain multicentrique vétérinaire.</w:t>
      </w:r>
    </w:p>
    <w:p>
      <w:pPr>
        <w:pStyle w:val="ListBullet"/>
      </w:pPr>
      <w:r>
        <w:t>Pas de comparaison à méthode de référence.</w:t>
      </w:r>
    </w:p>
    <w:p>
      <w:pPr>
        <w:pStyle w:val="ListBullet"/>
      </w:pPr>
      <w:r>
        <w:t>Pas de sensibilité/spécificité diagnostique documentée.</w:t>
      </w:r>
    </w:p>
    <w:p>
      <w:pPr>
        <w:pStyle w:val="ListBullet"/>
      </w:pPr>
      <w:r>
        <w:t>Pas de valeur prédictive clinique.</w:t>
      </w:r>
    </w:p>
    <w:p>
      <w:pPr>
        <w:pStyle w:val="Heading2"/>
      </w:pPr>
      <w:r>
        <w:t>3.4 Maîtrise des matières premières</w:t>
      </w:r>
    </w:p>
    <w:p>
      <w:pPr>
        <w:pStyle w:val="ListBullet"/>
      </w:pPr>
      <w:r>
        <w:t>Origine des allergènes non documentée.</w:t>
      </w:r>
    </w:p>
    <w:p>
      <w:pPr>
        <w:pStyle w:val="ListBullet"/>
      </w:pPr>
      <w:r>
        <w:t>Pureté / concentration / spécifications non démontrées.</w:t>
      </w:r>
    </w:p>
    <w:p>
      <w:pPr>
        <w:pStyle w:val="ListBullet"/>
      </w:pPr>
      <w:r>
        <w:t>Stabilité des allergènes immobilisés non démontrée.</w:t>
      </w:r>
    </w:p>
    <w:p>
      <w:pPr>
        <w:pStyle w:val="Heading2"/>
      </w:pPr>
      <w:r>
        <w:t>3.5 Stabilité produit</w:t>
      </w:r>
    </w:p>
    <w:p>
      <w:pPr>
        <w:pStyle w:val="ListBullet"/>
      </w:pPr>
      <w:r>
        <w:t>La durée de vie 24 mois semble extrapolée d’une stabilité accélérée.</w:t>
      </w:r>
    </w:p>
    <w:p>
      <w:pPr>
        <w:pStyle w:val="ListBullet"/>
      </w:pPr>
      <w:r>
        <w:t>Absence d’étude temps réel documentée.</w:t>
      </w:r>
    </w:p>
    <w:p>
      <w:pPr>
        <w:pStyle w:val="ListBullet"/>
      </w:pPr>
      <w:r>
        <w:t>Absence de justification scientifique du modèle d’extrapolation.</w:t>
      </w:r>
    </w:p>
    <w:p>
      <w:pPr>
        <w:pStyle w:val="Heading2"/>
      </w:pPr>
      <w:r>
        <w:t>3.6 Documentation qualité</w:t>
      </w:r>
    </w:p>
    <w:p>
      <w:pPr>
        <w:pStyle w:val="ListBullet"/>
      </w:pPr>
      <w:r>
        <w:t>Incohérences de rédaction.</w:t>
      </w:r>
    </w:p>
    <w:p>
      <w:pPr>
        <w:pStyle w:val="ListBullet"/>
      </w:pPr>
      <w:r>
        <w:t>Erreurs typographiques.</w:t>
      </w:r>
    </w:p>
    <w:p>
      <w:pPr>
        <w:pStyle w:val="ListBullet"/>
      </w:pPr>
      <w:r>
        <w:t>Terminologie variable chat/chien.</w:t>
      </w:r>
    </w:p>
    <w:p>
      <w:pPr>
        <w:pStyle w:val="ListBullet"/>
      </w:pPr>
      <w:r>
        <w:t>Structure documentaire perfectible.</w:t>
      </w:r>
    </w:p>
    <w:p>
      <w:pPr>
        <w:pStyle w:val="Heading1"/>
      </w:pPr>
      <w:r>
        <w:t>4. Niveau de criticité</w:t>
      </w:r>
    </w:p>
    <w:tbl>
      <w:tblPr>
        <w:tblW w:type="auto" w:w="0"/>
        <w:tblLook w:firstColumn="1" w:firstRow="1" w:lastColumn="0" w:lastRow="0" w:noHBand="0" w:noVBand="1" w:val="04A0"/>
      </w:tblPr>
      <w:tblGrid>
        <w:gridCol w:w="2880"/>
        <w:gridCol w:w="2880"/>
        <w:gridCol w:w="2880"/>
      </w:tblGrid>
      <w:tr>
        <w:tc>
          <w:tcPr>
            <w:tcW w:type="dxa" w:w="2880"/>
          </w:tcPr>
          <w:p>
            <w:r>
              <w:t>Domaine</w:t>
            </w:r>
          </w:p>
        </w:tc>
        <w:tc>
          <w:tcPr>
            <w:tcW w:type="dxa" w:w="2880"/>
          </w:tcPr>
          <w:p>
            <w:r>
              <w:t>Criticité</w:t>
            </w:r>
          </w:p>
        </w:tc>
        <w:tc>
          <w:tcPr>
            <w:tcW w:type="dxa" w:w="2880"/>
          </w:tcPr>
          <w:p>
            <w:r>
              <w:t>Commentaire</w:t>
            </w:r>
          </w:p>
        </w:tc>
      </w:tr>
      <w:tr>
        <w:tc>
          <w:tcPr>
            <w:tcW w:type="dxa" w:w="2880"/>
          </w:tcPr>
          <w:p>
            <w:r>
              <w:t>Validation clinique</w:t>
            </w:r>
          </w:p>
        </w:tc>
        <w:tc>
          <w:tcPr>
            <w:tcW w:type="dxa" w:w="2880"/>
          </w:tcPr>
          <w:p>
            <w:r>
              <w:t>Très élevée</w:t>
            </w:r>
          </w:p>
        </w:tc>
        <w:tc>
          <w:tcPr>
            <w:tcW w:type="dxa" w:w="2880"/>
          </w:tcPr>
          <w:p>
            <w:r>
              <w:t>Impossible de soutenir une revendication diagnostique forte.</w:t>
            </w:r>
          </w:p>
        </w:tc>
      </w:tr>
      <w:tr>
        <w:tc>
          <w:tcPr>
            <w:tcW w:type="dxa" w:w="2880"/>
          </w:tcPr>
          <w:p>
            <w:r>
              <w:t>Performance analytique</w:t>
            </w:r>
          </w:p>
        </w:tc>
        <w:tc>
          <w:tcPr>
            <w:tcW w:type="dxa" w:w="2880"/>
          </w:tcPr>
          <w:p>
            <w:r>
              <w:t>Élevée</w:t>
            </w:r>
          </w:p>
        </w:tc>
        <w:tc>
          <w:tcPr>
            <w:tcW w:type="dxa" w:w="2880"/>
          </w:tcPr>
          <w:p>
            <w:r>
              <w:t>Validation partielle uniquement.</w:t>
            </w:r>
          </w:p>
        </w:tc>
      </w:tr>
      <w:tr>
        <w:tc>
          <w:tcPr>
            <w:tcW w:type="dxa" w:w="2880"/>
          </w:tcPr>
          <w:p>
            <w:r>
              <w:t>Stabilité</w:t>
            </w:r>
          </w:p>
        </w:tc>
        <w:tc>
          <w:tcPr>
            <w:tcW w:type="dxa" w:w="2880"/>
          </w:tcPr>
          <w:p>
            <w:r>
              <w:t>Élevée</w:t>
            </w:r>
          </w:p>
        </w:tc>
        <w:tc>
          <w:tcPr>
            <w:tcW w:type="dxa" w:w="2880"/>
          </w:tcPr>
          <w:p>
            <w:r>
              <w:t>Durée de vie insuffisamment démontrée.</w:t>
            </w:r>
          </w:p>
        </w:tc>
      </w:tr>
      <w:tr>
        <w:tc>
          <w:tcPr>
            <w:tcW w:type="dxa" w:w="2880"/>
          </w:tcPr>
          <w:p>
            <w:r>
              <w:t>Matières premières</w:t>
            </w:r>
          </w:p>
        </w:tc>
        <w:tc>
          <w:tcPr>
            <w:tcW w:type="dxa" w:w="2880"/>
          </w:tcPr>
          <w:p>
            <w:r>
              <w:t>Élevée</w:t>
            </w:r>
          </w:p>
        </w:tc>
        <w:tc>
          <w:tcPr>
            <w:tcW w:type="dxa" w:w="2880"/>
          </w:tcPr>
          <w:p>
            <w:r>
              <w:t>Allergènes non suffisamment qualifiés.</w:t>
            </w:r>
          </w:p>
        </w:tc>
      </w:tr>
      <w:tr>
        <w:tc>
          <w:tcPr>
            <w:tcW w:type="dxa" w:w="2880"/>
          </w:tcPr>
          <w:p>
            <w:r>
              <w:t>Documentation</w:t>
            </w:r>
          </w:p>
        </w:tc>
        <w:tc>
          <w:tcPr>
            <w:tcW w:type="dxa" w:w="2880"/>
          </w:tcPr>
          <w:p>
            <w:r>
              <w:t>Moyenne</w:t>
            </w:r>
          </w:p>
        </w:tc>
        <w:tc>
          <w:tcPr>
            <w:tcW w:type="dxa" w:w="2880"/>
          </w:tcPr>
          <w:p>
            <w:r>
              <w:t>Impact crédibilité et audit.</w:t>
            </w:r>
          </w:p>
        </w:tc>
      </w:tr>
    </w:tbl>
    <w:p>
      <w:pPr>
        <w:pStyle w:val="Heading1"/>
      </w:pPr>
      <w:r>
        <w:t>5. Plan d’actions recommandé</w:t>
      </w:r>
    </w:p>
    <w:p>
      <w:r>
        <w:t>Phase 1 – 0 à 3 mois</w:t>
      </w:r>
    </w:p>
    <w:p>
      <w:pPr>
        <w:pStyle w:val="ListNumber"/>
      </w:pPr>
      <w:r>
        <w:t>Clarifier analyte et allégation clinique.</w:t>
      </w:r>
    </w:p>
    <w:p>
      <w:pPr>
        <w:pStyle w:val="ListNumber"/>
      </w:pPr>
      <w:r>
        <w:t>Nettoyer toute la documentation qualité.</w:t>
      </w:r>
    </w:p>
    <w:p>
      <w:pPr>
        <w:pStyle w:val="ListNumber"/>
      </w:pPr>
      <w:r>
        <w:t>Structurer le technical file maître.</w:t>
      </w:r>
    </w:p>
    <w:p>
      <w:r>
        <w:t>Phase 2 – 3 à 6 mois</w:t>
      </w:r>
    </w:p>
    <w:p>
      <w:pPr>
        <w:pStyle w:val="ListNumber"/>
      </w:pPr>
      <w:r>
        <w:t>Lancer validation analytique complète.</w:t>
      </w:r>
    </w:p>
    <w:p>
      <w:pPr>
        <w:pStyle w:val="ListNumber"/>
      </w:pPr>
      <w:r>
        <w:t>Études matrices et interférences.</w:t>
      </w:r>
    </w:p>
    <w:p>
      <w:pPr>
        <w:pStyle w:val="ListNumber"/>
      </w:pPr>
      <w:r>
        <w:t>Revoir stabilité avec protocole renforcé.</w:t>
      </w:r>
    </w:p>
    <w:p>
      <w:r>
        <w:t>Phase 3 – 6 à 12 mois</w:t>
      </w:r>
    </w:p>
    <w:p>
      <w:pPr>
        <w:pStyle w:val="ListNumber"/>
      </w:pPr>
      <w:r>
        <w:t>Étude clinique vétérinaire multicentrique.</w:t>
      </w:r>
    </w:p>
    <w:p>
      <w:pPr>
        <w:pStyle w:val="ListNumber"/>
      </w:pPr>
      <w:r>
        <w:t>Programme PMS / réclamations.</w:t>
      </w:r>
    </w:p>
    <w:p>
      <w:pPr>
        <w:pStyle w:val="ListNumber"/>
      </w:pPr>
      <w:r>
        <w:t>Version premium export-ready du dossier technique.</w:t>
      </w:r>
    </w:p>
    <w:p>
      <w:pPr>
        <w:pStyle w:val="Heading1"/>
      </w:pPr>
      <w:r>
        <w:t>6. Conclusion</w:t>
      </w:r>
    </w:p>
    <w:p>
      <w:r>
        <w:t>Le dossier actuel démontre une base technique exploitable mais ne reflète pas encore un niveau de maturité compatible avec les meilleurs standards du marché. Un renforcement méthodique permettrait de transformer ce produit en solution vétérinaire crédible, différenciante et exportable.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