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DIATECH – Internal Business Plan (Bullet Version)</w:t>
      </w:r>
    </w:p>
    <w:p>
      <w:r>
        <w:t>Internal working version of the DIATECH business plan. Bullet-point format for operational alignment and internal decision-making.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France-incorporated veterinary diagnostics company</w:t>
      </w:r>
    </w:p>
    <w:p>
      <w:pPr>
        <w:pStyle w:val="ListBullet"/>
      </w:pPr>
      <w:r>
        <w:t>Product scope: allergy diagnostics for companion animals</w:t>
      </w:r>
    </w:p>
    <w:p>
      <w:pPr>
        <w:pStyle w:val="ListBullet"/>
      </w:pPr>
      <w:r>
        <w:t>France-only baseline for commercial and financial validation</w:t>
      </w:r>
    </w:p>
    <w:p>
      <w:pPr>
        <w:pStyle w:val="ListBullet"/>
      </w:pPr>
      <w:r>
        <w:t>B2B distribution via veterinary distributors</w:t>
      </w:r>
    </w:p>
    <w:p>
      <w:pPr>
        <w:pStyle w:val="ListBullet"/>
      </w:pPr>
      <w:r>
        <w:t>EU expansion considered upside only</w:t>
      </w:r>
    </w:p>
    <w:p>
      <w:pPr>
        <w:pStyle w:val="Heading1"/>
      </w:pPr>
      <w:r>
        <w:t>Market &amp; Unmet Need</w:t>
      </w:r>
    </w:p>
    <w:p>
      <w:pPr>
        <w:pStyle w:val="ListBullet"/>
      </w:pPr>
      <w:r>
        <w:t>Growing allergy prevalence in dogs and cats</w:t>
      </w:r>
    </w:p>
    <w:p>
      <w:pPr>
        <w:pStyle w:val="ListBullet"/>
      </w:pPr>
      <w:r>
        <w:t>Dermatology is a repeat-diagnostics use case</w:t>
      </w:r>
    </w:p>
    <w:p>
      <w:pPr>
        <w:pStyle w:val="ListBullet"/>
      </w:pPr>
      <w:r>
        <w:t>Current diagnostics fragmented or lab-centric</w:t>
      </w:r>
    </w:p>
    <w:p>
      <w:pPr>
        <w:pStyle w:val="ListBullet"/>
      </w:pPr>
      <w:r>
        <w:t>Need for rapid, in-clinic, actionable tests</w:t>
      </w:r>
    </w:p>
    <w:p>
      <w:pPr>
        <w:pStyle w:val="Heading1"/>
      </w:pPr>
      <w:r>
        <w:t>Product &amp; Technology</w:t>
      </w:r>
    </w:p>
    <w:p>
      <w:pPr>
        <w:pStyle w:val="ListBullet"/>
      </w:pPr>
      <w:r>
        <w:t>IgE-based allergy diagnostic kits</w:t>
      </w:r>
    </w:p>
    <w:p>
      <w:pPr>
        <w:pStyle w:val="ListBullet"/>
      </w:pPr>
      <w:r>
        <w:t>Formats: lateral flow and ELISA</w:t>
      </w:r>
    </w:p>
    <w:p>
      <w:pPr>
        <w:pStyle w:val="ListBullet"/>
      </w:pPr>
      <w:r>
        <w:t>Professional veterinary use only</w:t>
      </w:r>
    </w:p>
    <w:p>
      <w:pPr>
        <w:pStyle w:val="ListBullet"/>
      </w:pPr>
      <w:r>
        <w:t>Optional reader for standardisation and data collection</w:t>
      </w:r>
    </w:p>
    <w:p>
      <w:pPr>
        <w:pStyle w:val="ListBullet"/>
      </w:pPr>
      <w:r>
        <w:t>Manufacturing outsourced</w:t>
      </w:r>
    </w:p>
    <w:p>
      <w:pPr>
        <w:pStyle w:val="Heading1"/>
      </w:pPr>
      <w:r>
        <w:t>France Market Focus</w:t>
      </w:r>
    </w:p>
    <w:p>
      <w:pPr>
        <w:pStyle w:val="ListBullet"/>
      </w:pPr>
      <w:r>
        <w:t>Approximately 7,200 companion animal clinics</w:t>
      </w:r>
    </w:p>
    <w:p>
      <w:pPr>
        <w:pStyle w:val="ListBullet"/>
      </w:pPr>
      <w:r>
        <w:t>High diagnostic adoption rate</w:t>
      </w:r>
    </w:p>
    <w:p>
      <w:pPr>
        <w:pStyle w:val="ListBullet"/>
      </w:pPr>
      <w:r>
        <w:t>Structured distributor ecosystem</w:t>
      </w:r>
    </w:p>
    <w:p>
      <w:pPr>
        <w:pStyle w:val="ListBullet"/>
      </w:pPr>
      <w:r>
        <w:t>Clear national regulatory framework</w:t>
      </w:r>
    </w:p>
    <w:p>
      <w:pPr>
        <w:pStyle w:val="Heading1"/>
      </w:pPr>
      <w:r>
        <w:t>Pricing &amp; Economics</w:t>
      </w:r>
    </w:p>
    <w:p>
      <w:pPr>
        <w:pStyle w:val="ListBullet"/>
      </w:pPr>
      <w:r>
        <w:t>Mid-positioning between labs and low-cost rapid tests</w:t>
      </w:r>
    </w:p>
    <w:p>
      <w:pPr>
        <w:pStyle w:val="ListBullet"/>
      </w:pPr>
      <w:r>
        <w:t>Net pricing aligned with distributor margins</w:t>
      </w:r>
    </w:p>
    <w:p>
      <w:pPr>
        <w:pStyle w:val="ListBullet"/>
      </w:pPr>
      <w:r>
        <w:t>Repeat-use driven revenue model</w:t>
      </w:r>
    </w:p>
    <w:p>
      <w:pPr>
        <w:pStyle w:val="ListBullet"/>
      </w:pPr>
      <w:r>
        <w:t>Margin improvement via volume scaling</w:t>
      </w:r>
    </w:p>
    <w:p>
      <w:pPr>
        <w:pStyle w:val="Heading1"/>
      </w:pPr>
      <w:r>
        <w:t>Regulatory Strategy</w:t>
      </w:r>
    </w:p>
    <w:p>
      <w:pPr>
        <w:pStyle w:val="ListBullet"/>
      </w:pPr>
      <w:r>
        <w:t>Veterinary IVDs not subject to EU IVDR</w:t>
      </w:r>
    </w:p>
    <w:p>
      <w:pPr>
        <w:pStyle w:val="ListBullet"/>
      </w:pPr>
      <w:r>
        <w:t>No mandatory CE marking</w:t>
      </w:r>
    </w:p>
    <w:p>
      <w:pPr>
        <w:pStyle w:val="ListBullet"/>
      </w:pPr>
      <w:r>
        <w:t>France as regulatory reference market</w:t>
      </w:r>
    </w:p>
    <w:p>
      <w:pPr>
        <w:pStyle w:val="ListBullet"/>
      </w:pPr>
      <w:r>
        <w:t>Voluntary alignment with ISO 13485 / ISO 14971</w:t>
      </w:r>
    </w:p>
    <w:p>
      <w:pPr>
        <w:pStyle w:val="ListBullet"/>
      </w:pPr>
      <w:r>
        <w:t>Post-market surveillance implemented</w:t>
      </w:r>
    </w:p>
    <w:p>
      <w:pPr>
        <w:pStyle w:val="Heading1"/>
      </w:pPr>
      <w:r>
        <w:t>Go-to-Market</w:t>
      </w:r>
    </w:p>
    <w:p>
      <w:pPr>
        <w:pStyle w:val="ListBullet"/>
      </w:pPr>
      <w:r>
        <w:t>Indirect sales via Tier-1 distributors</w:t>
      </w:r>
    </w:p>
    <w:p>
      <w:pPr>
        <w:pStyle w:val="ListBullet"/>
      </w:pPr>
      <w:r>
        <w:t>Initial focus on dermatology-oriented clinics</w:t>
      </w:r>
    </w:p>
    <w:p>
      <w:pPr>
        <w:pStyle w:val="ListBullet"/>
      </w:pPr>
      <w:r>
        <w:t>Sales funnel: awareness → trial → repeat</w:t>
      </w:r>
    </w:p>
    <w:p>
      <w:pPr>
        <w:pStyle w:val="ListBullet"/>
      </w:pPr>
      <w:r>
        <w:t>Limited direct sales force</w:t>
      </w:r>
    </w:p>
    <w:p>
      <w:pPr>
        <w:pStyle w:val="Heading1"/>
      </w:pPr>
      <w:r>
        <w:t>Operations</w:t>
      </w:r>
    </w:p>
    <w:p>
      <w:pPr>
        <w:pStyle w:val="ListBullet"/>
      </w:pPr>
      <w:r>
        <w:t>Single qualified manufacturing partner</w:t>
      </w:r>
    </w:p>
    <w:p>
      <w:pPr>
        <w:pStyle w:val="ListBullet"/>
      </w:pPr>
      <w:r>
        <w:t>DIATECH controls specifications and batch release</w:t>
      </w:r>
    </w:p>
    <w:p>
      <w:pPr>
        <w:pStyle w:val="ListBullet"/>
      </w:pPr>
      <w:r>
        <w:t>Lean internal team</w:t>
      </w:r>
    </w:p>
    <w:p>
      <w:pPr>
        <w:pStyle w:val="ListBullet"/>
      </w:pPr>
      <w:r>
        <w:t>Scalable logistics model</w:t>
      </w:r>
    </w:p>
    <w:p>
      <w:pPr>
        <w:pStyle w:val="Heading1"/>
      </w:pPr>
      <w:r>
        <w:t>Risks &amp; Mitigation</w:t>
      </w:r>
    </w:p>
    <w:p>
      <w:pPr>
        <w:pStyle w:val="ListBullet"/>
      </w:pPr>
      <w:r>
        <w:t>Supplier dependency mitigated contractually</w:t>
      </w:r>
    </w:p>
    <w:p>
      <w:pPr>
        <w:pStyle w:val="ListBullet"/>
      </w:pPr>
      <w:r>
        <w:t>Adoption risk mitigated by low fixed costs</w:t>
      </w:r>
    </w:p>
    <w:p>
      <w:pPr>
        <w:pStyle w:val="ListBullet"/>
      </w:pPr>
      <w:r>
        <w:t>Regulatory evolution anticipated through quality alignment</w:t>
      </w:r>
    </w:p>
    <w:p>
      <w:pPr>
        <w:pStyle w:val="Heading1"/>
      </w:pPr>
      <w:r>
        <w:t>Financial Logic</w:t>
      </w:r>
    </w:p>
    <w:p>
      <w:pPr>
        <w:pStyle w:val="ListBullet"/>
      </w:pPr>
      <w:r>
        <w:t>Bottom-up revenue model</w:t>
      </w:r>
    </w:p>
    <w:p>
      <w:pPr>
        <w:pStyle w:val="ListBullet"/>
      </w:pPr>
      <w:r>
        <w:t>Conservative adoption assumptions</w:t>
      </w:r>
    </w:p>
    <w:p>
      <w:pPr>
        <w:pStyle w:val="ListBullet"/>
      </w:pPr>
      <w:r>
        <w:t>France-only cash flow validation</w:t>
      </w:r>
    </w:p>
    <w:p>
      <w:pPr>
        <w:pStyle w:val="ListBullet"/>
      </w:pPr>
      <w:r>
        <w:t>Funding sized for multi-year runway</w:t>
      </w:r>
    </w:p>
    <w:p>
      <w:pPr>
        <w:pStyle w:val="Heading1"/>
      </w:pPr>
      <w:r>
        <w:t>Exit Scenarios</w:t>
      </w:r>
    </w:p>
    <w:p>
      <w:pPr>
        <w:pStyle w:val="ListBullet"/>
      </w:pPr>
      <w:r>
        <w:t>Trade sale to diagnostics player</w:t>
      </w:r>
    </w:p>
    <w:p>
      <w:pPr>
        <w:pStyle w:val="ListBullet"/>
      </w:pPr>
      <w:r>
        <w:t>Acquisition by animal health group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