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vetalyx"/>
    <w:p>
      <w:pPr>
        <w:pStyle w:val="Heading1"/>
      </w:pPr>
      <w:r>
        <w:t xml:space="preserve">VETALYX</w:t>
      </w:r>
    </w:p>
    <w:bookmarkStart w:id="9" w:name="X50b5aa436e0b498303e99f7f7855d61ed54cea4"/>
    <w:p>
      <w:pPr>
        <w:pStyle w:val="Heading2"/>
      </w:pPr>
      <w:r>
        <w:t xml:space="preserve">Societe a Responsabilite Limitee — Droit Belge</w:t>
      </w:r>
    </w:p>
    <w:bookmarkEnd w:id="9"/>
    <w:bookmarkEnd w:id="10"/>
    <w:bookmarkStart w:id="58" w:name="pacte-dactionnaires-fondateurs"/>
    <w:p>
      <w:pPr>
        <w:pStyle w:val="Heading1"/>
      </w:pPr>
      <w:r>
        <w:t xml:space="preserve">PACTE D’ACTIONNAIRES FONDATEURS</w:t>
      </w:r>
    </w:p>
    <w:p>
      <w:pPr>
        <w:pStyle w:val="FirstParagraph"/>
      </w:pPr>
      <w:r>
        <w:rPr>
          <w:b/>
          <w:bCs/>
        </w:rPr>
        <w:t xml:space="preserve">Document strictement confidentiel</w:t>
      </w:r>
      <w:r>
        <w:t xml:space="preserve"> </w:t>
      </w:r>
      <w:r>
        <w:rPr>
          <w:b/>
          <w:bCs/>
        </w:rPr>
        <w:t xml:space="preserve">Version consolidee V3 — 31 mai 2026</w:t>
      </w:r>
    </w:p>
    <w:p>
      <w:r>
        <w:pict>
          <v:rect style="width:0;height:1.5pt" o:hralign="center" o:hrstd="t" o:hr="t"/>
        </w:pict>
      </w:r>
    </w:p>
    <w:p>
      <w:pPr>
        <w:pStyle w:val="FirstParagraph"/>
      </w:pPr>
      <w:r>
        <w:rPr>
          <w:b/>
          <w:bCs/>
        </w:rPr>
        <w:t xml:space="preserve">Version :</w:t>
      </w:r>
      <w:r>
        <w:t xml:space="preserve"> </w:t>
      </w:r>
      <w:r>
        <w:t xml:space="preserve">v3 — Final | Droit belge (CSA)</w:t>
      </w:r>
      <w:r>
        <w:t xml:space="preserve"> </w:t>
      </w:r>
      <w:r>
        <w:rPr>
          <w:b/>
          <w:bCs/>
        </w:rPr>
        <w:t xml:space="preserve">Date :</w:t>
      </w:r>
      <w:r>
        <w:t xml:space="preserve"> </w:t>
      </w:r>
      <w:r>
        <w:t xml:space="preserve">31 mai 2026</w:t>
      </w:r>
      <w:r>
        <w:t xml:space="preserve"> </w:t>
      </w:r>
      <w:r>
        <w:rPr>
          <w:b/>
          <w:bCs/>
        </w:rPr>
        <w:t xml:space="preserve">Redige par :</w:t>
      </w:r>
      <w:r>
        <w:t xml:space="preserve"> </w:t>
      </w:r>
      <w:r>
        <w:t xml:space="preserve">[[Renard]] — Conseil juridique VETALYX / PKA</w:t>
      </w:r>
      <w:r>
        <w:t xml:space="preserve"> </w:t>
      </w:r>
      <w:r>
        <w:rPr>
          <w:b/>
          <w:bCs/>
        </w:rPr>
        <w:t xml:space="preserve">Fonde sur :</w:t>
      </w:r>
      <w:r>
        <w:t xml:space="preserve"> </w:t>
      </w:r>
      <w:r>
        <w:t xml:space="preserve">Pacte v2 du 30 avril 2026 (Renard) — 9 modifications integrees</w:t>
      </w:r>
    </w:p>
    <w:p>
      <w:r>
        <w:pict>
          <v:rect style="width:0;height:1.5pt" o:hralign="center" o:hrstd="t" o:hr="t"/>
        </w:pict>
      </w:r>
    </w:p>
    <w:p>
      <w:pPr>
        <w:pStyle w:val="FirstParagraph"/>
      </w:pPr>
      <w:r>
        <w:t xml:space="preserve">Conclu a _____________, le ___ _________ 2026</w:t>
      </w:r>
    </w:p>
    <w:p>
      <w:pPr>
        <w:pStyle w:val="BodyText"/>
      </w:pPr>
      <w:r>
        <w:t xml:space="preserve">Entre les soussignes :</w:t>
      </w:r>
    </w:p>
    <w:p>
      <w:pPr>
        <w:pStyle w:val="BodyText"/>
      </w:pPr>
      <w:r>
        <w:rPr>
          <w:b/>
          <w:bCs/>
        </w:rPr>
        <w:t xml:space="preserve">Alain BOSSELOIR · Jean-Claude HAVAUX · Peiwen QI · Jacques NOURY</w:t>
      </w:r>
    </w:p>
    <w:p>
      <w:r>
        <w:pict>
          <v:rect style="width:0;height:1.5pt" o:hralign="center" o:hrstd="t" o:hr="t"/>
        </w:pict>
      </w:r>
    </w:p>
    <w:bookmarkStart w:id="11" w:name="preambule-et-vision-strategique"/>
    <w:p>
      <w:pPr>
        <w:pStyle w:val="Heading2"/>
      </w:pPr>
      <w:r>
        <w:t xml:space="preserve">PREAMBULE ET VISION STRATEGIQUE</w:t>
      </w:r>
    </w:p>
    <w:p>
      <w:pPr>
        <w:pStyle w:val="FirstParagraph"/>
      </w:pPr>
      <w:r>
        <w:t xml:space="preserve">Le present pacte d’actionnaires (ci-apres le « Pacte ») est conclu entre les quatre fondateurs de la societe VETALYX, societe a responsabilite limitee de droit belge, immatriculee a la Banque-Carrefour des Entreprises (BCE), dont le siege social est fixe a [adresse complete, Belgique] (ci-apres la « Societe »).</w:t>
      </w:r>
    </w:p>
    <w:p>
      <w:pPr>
        <w:pStyle w:val="BodyText"/>
      </w:pPr>
      <w:r>
        <w:t xml:space="preserve">VETALYX a pour vocation de devenir un hub europeen de reference dans le secteur des diagnostics veterinaires, complements alimentaires, medicaments et services lies, en combinant expertise operationnelle et capacite d’accueil de partenaires internationaux souhaitant s’implanter sur le marche europeen.</w:t>
      </w:r>
    </w:p>
    <w:p>
      <w:pPr>
        <w:pStyle w:val="BodyText"/>
      </w:pPr>
      <w:r>
        <w:rPr>
          <w:b/>
          <w:bCs/>
        </w:rPr>
        <w:t xml:space="preserve">Vision a long terme</w:t>
      </w:r>
    </w:p>
    <w:p>
      <w:pPr>
        <w:pStyle w:val="BodyText"/>
      </w:pPr>
      <w:r>
        <w:t xml:space="preserve">Les Fondateurs partagent la vision selon laquelle VETALYX evolue en trois phases successives :</w:t>
      </w:r>
    </w:p>
    <w:p>
      <w:pPr>
        <w:pStyle w:val="Compact"/>
        <w:numPr>
          <w:ilvl w:val="0"/>
          <w:numId w:val="1001"/>
        </w:numPr>
      </w:pPr>
      <w:r>
        <w:rPr>
          <w:b/>
          <w:bCs/>
        </w:rPr>
        <w:t xml:space="preserve">Phase 1 — Consolidation operationnelle :</w:t>
      </w:r>
      <w:r>
        <w:t xml:space="preserve"> </w:t>
      </w:r>
      <w:r>
        <w:t xml:space="preserve">developpement de l’activite propre de la Societe, structuration des processus internes, atteinte d’un premier seuil de rentabilite et de notoriete sur le marche belge puis europeen.</w:t>
      </w:r>
    </w:p>
    <w:p>
      <w:pPr>
        <w:pStyle w:val="Compact"/>
        <w:numPr>
          <w:ilvl w:val="0"/>
          <w:numId w:val="1001"/>
        </w:numPr>
      </w:pPr>
      <w:r>
        <w:rPr>
          <w:b/>
          <w:bCs/>
        </w:rPr>
        <w:t xml:space="preserve">Phase 2 — Augmentations de capital et ouverture :</w:t>
      </w:r>
      <w:r>
        <w:t xml:space="preserve"> </w:t>
      </w:r>
      <w:r>
        <w:t xml:space="preserve">accueil d’investisseurs tiers (financiers ou strategiques) via des augmentations de capital successives, tout en preservant le controle des Fondateurs sur les orientations fondamentales de la Societe.</w:t>
      </w:r>
    </w:p>
    <w:p>
      <w:pPr>
        <w:pStyle w:val="Compact"/>
        <w:numPr>
          <w:ilvl w:val="0"/>
          <w:numId w:val="1001"/>
        </w:numPr>
      </w:pPr>
      <w:r>
        <w:rPr>
          <w:b/>
          <w:bCs/>
        </w:rPr>
        <w:t xml:space="preserve">Phase 3 — Hub europeen :</w:t>
      </w:r>
      <w:r>
        <w:t xml:space="preserve"> </w:t>
      </w:r>
      <w:r>
        <w:t xml:space="preserve">conclusion d’accords de representation et de distribution avec des societes etrangeres desireuses d’utiliser VETALYX comme vehicule d’entree sur le marche europeen, generant revenus de licensing, de prestation de services et de participation aux resultats de ces partenariats.</w:t>
      </w:r>
    </w:p>
    <w:p>
      <w:pPr>
        <w:pStyle w:val="FirstParagraph"/>
      </w:pPr>
      <w:r>
        <w:rPr>
          <w:i/>
          <w:iCs/>
        </w:rPr>
        <w:t xml:space="preserve">Note juridique : Ce preambule a valeur contractuelle entre les Parties. Il servira de referentiel interpretatif en cas de litige sur l’execution du Pacte.</w:t>
      </w:r>
    </w:p>
    <w:p>
      <w:pPr>
        <w:pStyle w:val="BodyText"/>
      </w:pPr>
      <w:r>
        <w:t xml:space="preserve">Les Fondateurs reconnaissent que cette trajectoire impliquera des dilutions de capital, des evolutions de gouvernance et potentiellement des tensions d’interets. Le present Pacte a precisement pour objet d’anticiper et d’encadrer ces situations.</w:t>
      </w:r>
    </w:p>
    <w:p>
      <w:r>
        <w:pict>
          <v:rect style="width:0;height:1.5pt" o:hralign="center" o:hrstd="t" o:hr="t"/>
        </w:pict>
      </w:r>
    </w:p>
    <w:bookmarkEnd w:id="11"/>
    <w:bookmarkStart w:id="14" w:name="titre-i-parties-et-structure-du-capital"/>
    <w:p>
      <w:pPr>
        <w:pStyle w:val="Heading2"/>
      </w:pPr>
      <w:r>
        <w:t xml:space="preserve">TITRE I — PARTIES ET STRUCTURE DU CAPITAL</w:t>
      </w:r>
    </w:p>
    <w:bookmarkStart w:id="12" w:name="article-1-identification-des-parties"/>
    <w:p>
      <w:pPr>
        <w:pStyle w:val="Heading3"/>
      </w:pPr>
      <w:r>
        <w:t xml:space="preserve">Article 1 — Identification des Parties</w:t>
      </w:r>
    </w:p>
    <w:p>
      <w:pPr>
        <w:pStyle w:val="FirstParagraph"/>
      </w:pPr>
      <w:r>
        <w:t xml:space="preserve">Sont Parties au present Pacte les personnes physiques suivantes, designees collectivement les « Fondateurs »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Fondateur</w:t>
            </w:r>
          </w:p>
        </w:tc>
        <w:tc>
          <w:tcPr/>
          <w:p>
            <w:pPr>
              <w:pStyle w:val="Compact"/>
            </w:pPr>
            <w:r>
              <w:t xml:space="preserve">Qualite / Role</w:t>
            </w:r>
          </w:p>
        </w:tc>
        <w:tc>
          <w:tcPr/>
          <w:p>
            <w:pPr>
              <w:pStyle w:val="Compact"/>
            </w:pPr>
            <w:r>
              <w:t xml:space="preserve">Parts sociales</w:t>
            </w:r>
          </w:p>
        </w:tc>
        <w:tc>
          <w:tcPr/>
          <w:p>
            <w:pPr>
              <w:pStyle w:val="Compact"/>
            </w:pPr>
            <w:r>
              <w:t xml:space="preserve">% du capital</w:t>
            </w:r>
          </w:p>
        </w:tc>
      </w:tr>
      <w:tr>
        <w:tc>
          <w:tcPr/>
          <w:p>
            <w:pPr>
              <w:pStyle w:val="Compact"/>
            </w:pPr>
            <w:r>
              <w:t xml:space="preserve">Alain BOSSELOIR</w:t>
            </w:r>
          </w:p>
        </w:tc>
        <w:tc>
          <w:tcPr/>
          <w:p>
            <w:pPr>
              <w:pStyle w:val="Compact"/>
            </w:pPr>
            <w:r>
              <w:t xml:space="preserve">Fondateur</w:t>
            </w:r>
          </w:p>
        </w:tc>
        <w:tc>
          <w:tcPr/>
          <w:p>
            <w:pPr>
              <w:pStyle w:val="Compact"/>
            </w:pPr>
            <w:r>
              <w:t xml:space="preserve">1 000 parts</w:t>
            </w:r>
          </w:p>
        </w:tc>
        <w:tc>
          <w:tcPr/>
          <w:p>
            <w:pPr>
              <w:pStyle w:val="Compact"/>
            </w:pPr>
            <w:r>
              <w:t xml:space="preserve">25 %</w:t>
            </w:r>
          </w:p>
        </w:tc>
      </w:tr>
      <w:tr>
        <w:tc>
          <w:tcPr/>
          <w:p>
            <w:pPr>
              <w:pStyle w:val="Compact"/>
            </w:pPr>
            <w:r>
              <w:t xml:space="preserve">Jean-Claude HAVAUX</w:t>
            </w:r>
          </w:p>
        </w:tc>
        <w:tc>
          <w:tcPr/>
          <w:p>
            <w:pPr>
              <w:pStyle w:val="Compact"/>
            </w:pPr>
            <w:r>
              <w:t xml:space="preserve">Fondateur</w:t>
            </w:r>
          </w:p>
        </w:tc>
        <w:tc>
          <w:tcPr/>
          <w:p>
            <w:pPr>
              <w:pStyle w:val="Compact"/>
            </w:pPr>
            <w:r>
              <w:t xml:space="preserve">1 000 parts</w:t>
            </w:r>
          </w:p>
        </w:tc>
        <w:tc>
          <w:tcPr/>
          <w:p>
            <w:pPr>
              <w:pStyle w:val="Compact"/>
            </w:pPr>
            <w:r>
              <w:t xml:space="preserve">25 %</w:t>
            </w:r>
          </w:p>
        </w:tc>
      </w:tr>
      <w:tr>
        <w:tc>
          <w:tcPr/>
          <w:p>
            <w:pPr>
              <w:pStyle w:val="Compact"/>
            </w:pPr>
            <w:r>
              <w:t xml:space="preserve">Peiwen QI</w:t>
            </w:r>
          </w:p>
        </w:tc>
        <w:tc>
          <w:tcPr/>
          <w:p>
            <w:pPr>
              <w:pStyle w:val="Compact"/>
            </w:pPr>
            <w:r>
              <w:t xml:space="preserve">Fondateur</w:t>
            </w:r>
          </w:p>
        </w:tc>
        <w:tc>
          <w:tcPr/>
          <w:p>
            <w:pPr>
              <w:pStyle w:val="Compact"/>
            </w:pPr>
            <w:r>
              <w:t xml:space="preserve">1 000 parts</w:t>
            </w:r>
          </w:p>
        </w:tc>
        <w:tc>
          <w:tcPr/>
          <w:p>
            <w:pPr>
              <w:pStyle w:val="Compact"/>
            </w:pPr>
            <w:r>
              <w:t xml:space="preserve">25 %</w:t>
            </w:r>
          </w:p>
        </w:tc>
      </w:tr>
      <w:tr>
        <w:tc>
          <w:tcPr/>
          <w:p>
            <w:pPr>
              <w:pStyle w:val="Compact"/>
            </w:pPr>
            <w:r>
              <w:t xml:space="preserve">Jacques NOURY</w:t>
            </w:r>
          </w:p>
        </w:tc>
        <w:tc>
          <w:tcPr/>
          <w:p>
            <w:pPr>
              <w:pStyle w:val="Compact"/>
            </w:pPr>
            <w:r>
              <w:t xml:space="preserve">Fondateur</w:t>
            </w:r>
          </w:p>
        </w:tc>
        <w:tc>
          <w:tcPr/>
          <w:p>
            <w:pPr>
              <w:pStyle w:val="Compact"/>
            </w:pPr>
            <w:r>
              <w:t xml:space="preserve">1 000 parts</w:t>
            </w:r>
          </w:p>
        </w:tc>
        <w:tc>
          <w:tcPr/>
          <w:p>
            <w:pPr>
              <w:pStyle w:val="Compact"/>
            </w:pPr>
            <w:r>
              <w:t xml:space="preserve">25 %</w:t>
            </w:r>
          </w:p>
        </w:tc>
      </w:tr>
    </w:tbl>
    <w:bookmarkEnd w:id="12"/>
    <w:bookmarkStart w:id="13" w:name="article-2-capital-social-initial"/>
    <w:p>
      <w:pPr>
        <w:pStyle w:val="Heading3"/>
      </w:pPr>
      <w:r>
        <w:t xml:space="preserve">Article 2 — Capital social initial</w:t>
      </w:r>
    </w:p>
    <w:p>
      <w:pPr>
        <w:pStyle w:val="FirstParagraph"/>
      </w:pPr>
      <w:r>
        <w:t xml:space="preserve">Le capital social initial de la Societe est fixe a</w:t>
      </w:r>
      <w:r>
        <w:t xml:space="preserve"> </w:t>
      </w:r>
      <w:r>
        <w:rPr>
          <w:b/>
          <w:bCs/>
        </w:rPr>
        <w:t xml:space="preserve">4 000 (quatre mille) euros</w:t>
      </w:r>
      <w:r>
        <w:t xml:space="preserve">, divise en</w:t>
      </w:r>
      <w:r>
        <w:t xml:space="preserve"> </w:t>
      </w:r>
      <w:r>
        <w:rPr>
          <w:b/>
          <w:bCs/>
        </w:rPr>
        <w:t xml:space="preserve">4 000 (quatre mille) parts sociales</w:t>
      </w:r>
      <w:r>
        <w:t xml:space="preserve"> </w:t>
      </w:r>
      <w:r>
        <w:t xml:space="preserve">d’une valeur nominale de</w:t>
      </w:r>
      <w:r>
        <w:t xml:space="preserve"> </w:t>
      </w:r>
      <w:r>
        <w:rPr>
          <w:b/>
          <w:bCs/>
        </w:rPr>
        <w:t xml:space="preserve">1 (un) euro</w:t>
      </w:r>
      <w:r>
        <w:t xml:space="preserve"> </w:t>
      </w:r>
      <w:r>
        <w:t xml:space="preserve">chacune, integralement souscrites et liberees a la date de signature du present Pacte, reparties a parts egales entre les quatre Fondateurs.</w:t>
      </w:r>
    </w:p>
    <w:p>
      <w:r>
        <w:pict>
          <v:rect style="width:0;height:1.5pt" o:hralign="center" o:hrstd="t" o:hr="t"/>
        </w:pict>
      </w:r>
    </w:p>
    <w:bookmarkEnd w:id="13"/>
    <w:bookmarkEnd w:id="14"/>
    <w:bookmarkStart w:id="19" w:name="X99689f8bae183395ba52e465d44d5c52db0dc8a"/>
    <w:p>
      <w:pPr>
        <w:pStyle w:val="Heading2"/>
      </w:pPr>
      <w:r>
        <w:t xml:space="preserve">TITRE II — GOUVERNANCE ET PRISE DE DECISION</w:t>
      </w:r>
    </w:p>
    <w:bookmarkStart w:id="15" w:name="article-3-administration"/>
    <w:p>
      <w:pPr>
        <w:pStyle w:val="Heading3"/>
      </w:pPr>
      <w:r>
        <w:t xml:space="preserve">Article 3 — Administration</w:t>
      </w:r>
    </w:p>
    <w:p>
      <w:pPr>
        <w:pStyle w:val="FirstParagraph"/>
      </w:pPr>
      <w:r>
        <w:t xml:space="preserve">La Societe est administree par un ou plusieurs administrateurs, nommes parmi les Fondateurs ou en dehors de ceux-ci. Les Fondateurs conviennent des modalites suivantes :</w:t>
      </w:r>
    </w:p>
    <w:p>
      <w:pPr>
        <w:pStyle w:val="Compact"/>
        <w:numPr>
          <w:ilvl w:val="0"/>
          <w:numId w:val="1002"/>
        </w:numPr>
      </w:pPr>
      <w:r>
        <w:t xml:space="preserve">Le ou les administrateurs sont designes par decision des associes representant au moins 75 % du capital (soit l’accord d’au moins trois Fondateurs sur quatre).</w:t>
      </w:r>
    </w:p>
    <w:p>
      <w:pPr>
        <w:pStyle w:val="Compact"/>
        <w:numPr>
          <w:ilvl w:val="0"/>
          <w:numId w:val="1002"/>
        </w:numPr>
      </w:pPr>
      <w:r>
        <w:t xml:space="preserve">La remuneration des administrateurs est fixee et modifiee par decision des associes representant au moins 75 % du capital.</w:t>
      </w:r>
    </w:p>
    <w:p>
      <w:pPr>
        <w:pStyle w:val="Compact"/>
        <w:numPr>
          <w:ilvl w:val="0"/>
          <w:numId w:val="1002"/>
        </w:numPr>
      </w:pPr>
      <w:r>
        <w:t xml:space="preserve">En cas de pluralite d’administrateurs, chacun dispose des pouvoirs de gestion journaliere vis-a-vis des tiers, sauf restrictions internes definies par le reglement d’administration annexe.</w:t>
      </w:r>
    </w:p>
    <w:p>
      <w:pPr>
        <w:pStyle w:val="Compact"/>
        <w:numPr>
          <w:ilvl w:val="0"/>
          <w:numId w:val="1002"/>
        </w:numPr>
      </w:pPr>
      <w:r>
        <w:t xml:space="preserve">Administrateur pressenti a la date de signature : [a designer].</w:t>
      </w:r>
    </w:p>
    <w:p>
      <w:pPr>
        <w:pStyle w:val="FirstParagraph"/>
      </w:pPr>
      <w:r>
        <w:rPr>
          <w:i/>
          <w:iCs/>
        </w:rPr>
        <w:t xml:space="preserve">Note droit belge :</w:t>
      </w:r>
      <w:r>
        <w:t xml:space="preserve"> </w:t>
      </w:r>
      <w:r>
        <w:t xml:space="preserve">Conformement au Code des societes et des associations (CSA), la SRL peut etre administree par un ou plusieurs administrateurs. L’administrateur unique ou le conseil d’administration dispose des pouvoirs residuaires de gestion.</w:t>
      </w:r>
    </w:p>
    <w:bookmarkEnd w:id="15"/>
    <w:bookmarkStart w:id="16" w:name="article-4-comite-des-fondateurs"/>
    <w:p>
      <w:pPr>
        <w:pStyle w:val="Heading3"/>
      </w:pPr>
      <w:r>
        <w:t xml:space="preserve">Article 4 — Comite des Fondateurs</w:t>
      </w:r>
    </w:p>
    <w:p>
      <w:pPr>
        <w:pStyle w:val="FirstParagraph"/>
      </w:pPr>
      <w:r>
        <w:t xml:space="preserve">Il est institue un Comite des Fondateurs (ci-apres le « Comite »), compose des quatre Fondateurs, qui se reunit au minimum une fois par trimestre. Le Comite a pour mission :</w:t>
      </w:r>
    </w:p>
    <w:p>
      <w:pPr>
        <w:pStyle w:val="Compact"/>
        <w:numPr>
          <w:ilvl w:val="0"/>
          <w:numId w:val="1003"/>
        </w:numPr>
      </w:pPr>
      <w:r>
        <w:t xml:space="preserve">Valider les orientations strategiques annuelles.</w:t>
      </w:r>
    </w:p>
    <w:p>
      <w:pPr>
        <w:pStyle w:val="Compact"/>
        <w:numPr>
          <w:ilvl w:val="0"/>
          <w:numId w:val="1003"/>
        </w:numPr>
      </w:pPr>
      <w:r>
        <w:t xml:space="preserve">Approuver tout projet d’augmentation de capital prealablement a toute demarche externe.</w:t>
      </w:r>
    </w:p>
    <w:p>
      <w:pPr>
        <w:pStyle w:val="Compact"/>
        <w:numPr>
          <w:ilvl w:val="0"/>
          <w:numId w:val="1003"/>
        </w:numPr>
      </w:pPr>
      <w:r>
        <w:t xml:space="preserve">Statuer sur les demandes d’admission de nouveaux associes.</w:t>
      </w:r>
    </w:p>
    <w:p>
      <w:pPr>
        <w:pStyle w:val="Compact"/>
        <w:numPr>
          <w:ilvl w:val="0"/>
          <w:numId w:val="1003"/>
        </w:numPr>
      </w:pPr>
      <w:r>
        <w:t xml:space="preserve">Arbitrer les desaccords entre Fondateurs selon la procedure prevue a l’article 20.</w:t>
      </w:r>
    </w:p>
    <w:p>
      <w:pPr>
        <w:pStyle w:val="Compact"/>
        <w:numPr>
          <w:ilvl w:val="0"/>
          <w:numId w:val="1003"/>
        </w:numPr>
      </w:pPr>
      <w:r>
        <w:t xml:space="preserve">Approuver les accords de representation conclus au nom de la Societe.</w:t>
      </w:r>
    </w:p>
    <w:p>
      <w:pPr>
        <w:pStyle w:val="Compact"/>
        <w:numPr>
          <w:ilvl w:val="0"/>
          <w:numId w:val="1003"/>
        </w:numPr>
      </w:pPr>
      <w:r>
        <w:t xml:space="preserve">Autoriser la creation de filiales, succursales ou etablissements, en ce compris la filiale francaise prevue aux statuts.</w:t>
      </w:r>
    </w:p>
    <w:p>
      <w:pPr>
        <w:pStyle w:val="FirstParagraph"/>
      </w:pPr>
      <w:r>
        <w:t xml:space="preserve">Les decisions du Comite sont prises a la majorite des trois quarts (3/4), soit au minimum trois voix sur quatre, sauf dispositions contraires du present Pacte.</w:t>
      </w:r>
    </w:p>
    <w:bookmarkEnd w:id="16"/>
    <w:bookmarkStart w:id="17" w:name="Xc7fc961fddd19adab40cd05373b658edddd07db"/>
    <w:p>
      <w:pPr>
        <w:pStyle w:val="Heading3"/>
      </w:pPr>
      <w:r>
        <w:t xml:space="preserve">Article 5 — Decisions reservees — Unanimite requise</w:t>
      </w:r>
    </w:p>
    <w:p>
      <w:pPr>
        <w:pStyle w:val="FirstParagraph"/>
      </w:pPr>
      <w:r>
        <w:t xml:space="preserve">Les decisions suivantes requierent l’unanimite des quatre Fondateurs originels,</w:t>
      </w:r>
      <w:r>
        <w:t xml:space="preserve"> </w:t>
      </w:r>
      <w:r>
        <w:rPr>
          <w:b/>
          <w:bCs/>
        </w:rPr>
        <w:t xml:space="preserve">sans condition de seuil de detention du capital</w:t>
      </w:r>
      <w:r>
        <w:t xml:space="preserve">. Ces protections sont irreductibles et ne peuvent etre supprimees que par avenant unanime signe de tous les Fondateurs originels, meme s’ils ont entre-temps cede tout ou partie de leurs parts :</w:t>
      </w:r>
    </w:p>
    <w:p>
      <w:pPr>
        <w:pStyle w:val="Compact"/>
        <w:numPr>
          <w:ilvl w:val="0"/>
          <w:numId w:val="1004"/>
        </w:numPr>
      </w:pPr>
      <w:r>
        <w:t xml:space="preserve">Modification de l’objet social.</w:t>
      </w:r>
    </w:p>
    <w:p>
      <w:pPr>
        <w:pStyle w:val="Compact"/>
        <w:numPr>
          <w:ilvl w:val="0"/>
          <w:numId w:val="1004"/>
        </w:numPr>
      </w:pPr>
      <w:r>
        <w:t xml:space="preserve">Transfert du siege social hors de Belgique.</w:t>
      </w:r>
    </w:p>
    <w:p>
      <w:pPr>
        <w:pStyle w:val="Compact"/>
        <w:numPr>
          <w:ilvl w:val="0"/>
          <w:numId w:val="1004"/>
        </w:numPr>
      </w:pPr>
      <w:r>
        <w:t xml:space="preserve">Dissolution anticipee de la Societe.</w:t>
      </w:r>
    </w:p>
    <w:p>
      <w:pPr>
        <w:pStyle w:val="Compact"/>
        <w:numPr>
          <w:ilvl w:val="0"/>
          <w:numId w:val="1004"/>
        </w:numPr>
      </w:pPr>
      <w:r>
        <w:t xml:space="preserve">Conclusion d’accords de representation conferant a un tiers le droit de commercialiser des produits/services sous la marque VETALYX dans plus d’un pays europeen.</w:t>
      </w:r>
    </w:p>
    <w:p>
      <w:pPr>
        <w:pStyle w:val="Compact"/>
        <w:numPr>
          <w:ilvl w:val="0"/>
          <w:numId w:val="1004"/>
        </w:numPr>
      </w:pPr>
      <w:r>
        <w:t xml:space="preserve">Cession ou apport de la totalite ou d’une branche essentielle de l’activite.</w:t>
      </w:r>
    </w:p>
    <w:p>
      <w:pPr>
        <w:pStyle w:val="Compact"/>
        <w:numPr>
          <w:ilvl w:val="0"/>
          <w:numId w:val="1004"/>
        </w:numPr>
      </w:pPr>
      <w:r>
        <w:t xml:space="preserve">Modification du present Pacte.</w:t>
      </w:r>
    </w:p>
    <w:bookmarkEnd w:id="17"/>
    <w:bookmarkStart w:id="18" w:name="article-6-conflits-dinterets"/>
    <w:p>
      <w:pPr>
        <w:pStyle w:val="Heading3"/>
      </w:pPr>
      <w:r>
        <w:t xml:space="preserve">Article 6 — Conflits d’interets</w:t>
      </w:r>
    </w:p>
    <w:p>
      <w:pPr>
        <w:pStyle w:val="FirstParagraph"/>
      </w:pPr>
      <w:r>
        <w:t xml:space="preserve">Tout Fondateur qui se trouverait en situation de conflit d’interets, direct ou indirect, avec une decision soumise au Comite ou a l’assemblee des associes, est tenu d’en informer les autres Fondateurs sans delai et de s’abstenir de voter sur ladite decision.</w:t>
      </w:r>
    </w:p>
    <w:p>
      <w:pPr>
        <w:pStyle w:val="BodyText"/>
      </w:pPr>
      <w:r>
        <w:t xml:space="preserve">Est presume en conflit d’interets tout Fondateur ayant un interet personnel, familial ou professionnel dans une societe tierce partie a la transaction soumise au vote.</w:t>
      </w:r>
    </w:p>
    <w:p>
      <w:r>
        <w:pict>
          <v:rect style="width:0;height:1.5pt" o:hralign="center" o:hrstd="t" o:hr="t"/>
        </w:pict>
      </w:r>
    </w:p>
    <w:bookmarkEnd w:id="18"/>
    <w:bookmarkEnd w:id="19"/>
    <w:bookmarkStart w:id="25" w:name="X54d41f302d5bf300bb74046d108799e327e6f69"/>
    <w:p>
      <w:pPr>
        <w:pStyle w:val="Heading2"/>
      </w:pPr>
      <w:r>
        <w:t xml:space="preserve">TITRE III — TRANSFERTS DE PARTS ET PROTECTION DES FONDATEURS</w:t>
      </w:r>
    </w:p>
    <w:bookmarkStart w:id="20" w:name="X46368ab824ffe48a8957575fe438b1cd0e2c06c"/>
    <w:p>
      <w:pPr>
        <w:pStyle w:val="Heading3"/>
      </w:pPr>
      <w:r>
        <w:t xml:space="preserve">Article 7 — Principe general d’incessibilite temporaire</w:t>
      </w:r>
    </w:p>
    <w:p>
      <w:pPr>
        <w:pStyle w:val="FirstParagraph"/>
      </w:pPr>
      <w:r>
        <w:t xml:space="preserve">Pendant une periode de trois (3) ans a compter de la date de signature du present Pacte (ci-apres la « Periode de Lock-up »), aucun Fondateur ne peut ceder, apporter, donner en nantissement ou transferer de quelque maniere que ce soit tout ou partie de ses parts sociales sans l’accord unanime des trois autres Fondateurs.</w:t>
      </w:r>
    </w:p>
    <w:p>
      <w:pPr>
        <w:pStyle w:val="BodyText"/>
      </w:pPr>
      <w:r>
        <w:rPr>
          <w:i/>
          <w:iCs/>
        </w:rPr>
        <w:t xml:space="preserve">Justification : La periode de lock-up protege la cohesion de l’equipe fondatrice pendant la phase critique de developpement et previent l’entree d’investisseurs non souhaites lors d’une periode de valorisation encore incertaine.</w:t>
      </w:r>
    </w:p>
    <w:bookmarkEnd w:id="20"/>
    <w:bookmarkStart w:id="21" w:name="article-8-droit-de-preemption"/>
    <w:p>
      <w:pPr>
        <w:pStyle w:val="Heading3"/>
      </w:pPr>
      <w:r>
        <w:t xml:space="preserve">Article 8 — Droit de preemption</w:t>
      </w:r>
    </w:p>
    <w:p>
      <w:pPr>
        <w:pStyle w:val="FirstParagraph"/>
      </w:pPr>
      <w:r>
        <w:t xml:space="preserve">A l’expiration de la Periode de Lock-up, tout Fondateur souhaitant ceder tout ou partie de ses parts (ci-apres le « Cedant ») est tenu de notifier son intention aux trois autres Fondateurs par lettre recommandee avec accuse de reception, en indiquant :</w:t>
      </w:r>
    </w:p>
    <w:p>
      <w:pPr>
        <w:pStyle w:val="Compact"/>
        <w:numPr>
          <w:ilvl w:val="0"/>
          <w:numId w:val="1005"/>
        </w:numPr>
      </w:pPr>
      <w:r>
        <w:t xml:space="preserve">Le nombre de parts a ceder.</w:t>
      </w:r>
    </w:p>
    <w:p>
      <w:pPr>
        <w:pStyle w:val="Compact"/>
        <w:numPr>
          <w:ilvl w:val="0"/>
          <w:numId w:val="1005"/>
        </w:numPr>
      </w:pPr>
      <w:r>
        <w:t xml:space="preserve">Le prix par part propose.</w:t>
      </w:r>
    </w:p>
    <w:p>
      <w:pPr>
        <w:pStyle w:val="Compact"/>
        <w:numPr>
          <w:ilvl w:val="0"/>
          <w:numId w:val="1005"/>
        </w:numPr>
      </w:pPr>
      <w:r>
        <w:t xml:space="preserve">L’identite du cessionnaire pressenti.</w:t>
      </w:r>
    </w:p>
    <w:p>
      <w:pPr>
        <w:pStyle w:val="Compact"/>
        <w:numPr>
          <w:ilvl w:val="0"/>
          <w:numId w:val="1005"/>
        </w:numPr>
      </w:pPr>
      <w:r>
        <w:t xml:space="preserve">Les conditions financieres et non financieres de la cession envisagee.</w:t>
      </w:r>
    </w:p>
    <w:p>
      <w:pPr>
        <w:pStyle w:val="FirstParagraph"/>
      </w:pPr>
      <w:r>
        <w:t xml:space="preserve">Les trois autres Fondateurs disposent d’un delai de trente (30) jours calendaires a compter de la reception de la notification pour exercer leur droit de preemption, en rachetant les parts aux memes conditions. En cas d’exercice par plusieurs Fondateurs, les parts sont reparties prorata de leur participation existante, sauf accord contraire entre eux.</w:t>
      </w:r>
    </w:p>
    <w:p>
      <w:pPr>
        <w:pStyle w:val="BodyText"/>
      </w:pPr>
      <w:r>
        <w:t xml:space="preserve">A defaut d’exercice dans ce delai, le Cedant est libre de ceder ses parts au cessionnaire pressenti, aux conditions strictement identiques a celles notifiees, pendant un delai de soixante (60) jours.</w:t>
      </w:r>
    </w:p>
    <w:bookmarkEnd w:id="21"/>
    <w:bookmarkStart w:id="22" w:name="article-9-agrement"/>
    <w:p>
      <w:pPr>
        <w:pStyle w:val="Heading3"/>
      </w:pPr>
      <w:r>
        <w:t xml:space="preserve">Article 9 — Agrement</w:t>
      </w:r>
    </w:p>
    <w:p>
      <w:pPr>
        <w:pStyle w:val="FirstParagraph"/>
      </w:pPr>
      <w:r>
        <w:t xml:space="preserve">Toute cession a un tiers non-Fondateur est soumise a l’agrement des associes representant au moins 75 % du capital (trois Fondateurs sur quatre). Cet agrement est requis meme apres expiration de la Periode de Lock-up et nonobstant l’exercice ou la renonciation au droit de preemption.</w:t>
      </w:r>
    </w:p>
    <w:p>
      <w:pPr>
        <w:pStyle w:val="BodyText"/>
      </w:pPr>
      <w:r>
        <w:t xml:space="preserve">En cas de refus d’agrement, la Societe ou les Fondateurs restants sont tenus de racheter les parts du Cedant dans un delai de trois (3) mois, a un prix determine selon les modalites de l’article 11 (Evaluation des parts). A defaut de rachat dans ce delai, l’agrement est repute accorde.</w:t>
      </w:r>
    </w:p>
    <w:bookmarkEnd w:id="22"/>
    <w:bookmarkStart w:id="23" w:name="article-10-clause-dexclusion"/>
    <w:p>
      <w:pPr>
        <w:pStyle w:val="Heading3"/>
      </w:pPr>
      <w:r>
        <w:t xml:space="preserve">Article 10 — Clause d’exclusion</w:t>
      </w:r>
    </w:p>
    <w:p>
      <w:pPr>
        <w:pStyle w:val="FirstParagraph"/>
      </w:pPr>
      <w:r>
        <w:t xml:space="preserve">Les Fondateurs conviennent qu’un Fondateur pourra etre exclu de la Societe dans les cas limitativement suivants, sous reserve d’une decision prise a la majorite des trois autres Fondateurs :</w:t>
      </w:r>
    </w:p>
    <w:p>
      <w:pPr>
        <w:pStyle w:val="Compact"/>
        <w:numPr>
          <w:ilvl w:val="0"/>
          <w:numId w:val="1006"/>
        </w:numPr>
      </w:pPr>
      <w:r>
        <w:t xml:space="preserve">Condamnation penale definitive pour des faits portant atteinte a l’honorabilite commerciale (fraude, abus de confiance, corruption, etc.).</w:t>
      </w:r>
    </w:p>
    <w:p>
      <w:pPr>
        <w:pStyle w:val="Compact"/>
        <w:numPr>
          <w:ilvl w:val="0"/>
          <w:numId w:val="1006"/>
        </w:numPr>
      </w:pPr>
      <w:r>
        <w:t xml:space="preserve">Violation grave et repetee des obligations du present Pacte, non corrigee dans un delai de trente (30) jours apres mise en demeure.</w:t>
      </w:r>
    </w:p>
    <w:p>
      <w:pPr>
        <w:pStyle w:val="Compact"/>
        <w:numPr>
          <w:ilvl w:val="0"/>
          <w:numId w:val="1006"/>
        </w:numPr>
      </w:pPr>
      <w:r>
        <w:t xml:space="preserve">Concurrence deloyale directe : exercice, sans accord prealable du Comite, d’une activite identique ou directement concurrente de celle de la Societe, telle que definie a l’article 17.</w:t>
      </w:r>
    </w:p>
    <w:p>
      <w:pPr>
        <w:pStyle w:val="Compact"/>
        <w:numPr>
          <w:ilvl w:val="0"/>
          <w:numId w:val="1006"/>
        </w:numPr>
      </w:pPr>
      <w:r>
        <w:t xml:space="preserve">Comportement gravement prejudiciable a la reputation ou aux interets de la Societe.</w:t>
      </w:r>
    </w:p>
    <w:p>
      <w:pPr>
        <w:pStyle w:val="FirstParagraph"/>
      </w:pPr>
      <w:r>
        <w:t xml:space="preserve">En cas d’exclusion, les parts du Fondateur exclu sont rachetees par les Fondateurs restants au prix determine selon l’article 11, avec application d’une decote de 15 % sur la valeur calculee. Le Fondateur exclu dispose d’un droit de recours arbitral selon l’article 21.</w:t>
      </w:r>
    </w:p>
    <w:bookmarkEnd w:id="23"/>
    <w:bookmarkStart w:id="24" w:name="article-11-evaluation-des-parts-methodes"/>
    <w:p>
      <w:pPr>
        <w:pStyle w:val="Heading3"/>
      </w:pPr>
      <w:r>
        <w:t xml:space="preserve">Article 11 — Evaluation des parts — Methodes</w:t>
      </w:r>
    </w:p>
    <w:p>
      <w:pPr>
        <w:pStyle w:val="FirstParagraph"/>
      </w:pPr>
      <w:r>
        <w:t xml:space="preserve">En cas de cession forcee (exclusion, deces, incapacite) ou de desaccord sur le prix lors d’une cession volontaire, la valeur des parts est determinee en combinant les methodes suivantes :</w:t>
      </w:r>
    </w:p>
    <w:p>
      <w:pPr>
        <w:pStyle w:val="Compact"/>
        <w:numPr>
          <w:ilvl w:val="0"/>
          <w:numId w:val="1007"/>
        </w:numPr>
      </w:pPr>
      <w:r>
        <w:rPr>
          <w:b/>
          <w:bCs/>
        </w:rPr>
        <w:t xml:space="preserve">Methode des multiples de l’EBITDA</w:t>
      </w:r>
      <w:r>
        <w:t xml:space="preserve"> </w:t>
      </w:r>
      <w:r>
        <w:t xml:space="preserve">(ponderation 40 %) : application d’un multiple sectoriel de reference sur le resultat operationnel brut des douze derniers mois.</w:t>
      </w:r>
    </w:p>
    <w:p>
      <w:pPr>
        <w:pStyle w:val="Compact"/>
        <w:numPr>
          <w:ilvl w:val="0"/>
          <w:numId w:val="1007"/>
        </w:numPr>
      </w:pPr>
      <w:r>
        <w:rPr>
          <w:b/>
          <w:bCs/>
        </w:rPr>
        <w:t xml:space="preserve">Methode patrimoniale</w:t>
      </w:r>
      <w:r>
        <w:t xml:space="preserve"> </w:t>
      </w:r>
      <w:r>
        <w:t xml:space="preserve">(ponderation 30 %) : actif net reevalue de la Societe.</w:t>
      </w:r>
    </w:p>
    <w:p>
      <w:pPr>
        <w:pStyle w:val="Compact"/>
        <w:numPr>
          <w:ilvl w:val="0"/>
          <w:numId w:val="1007"/>
        </w:numPr>
      </w:pPr>
      <w:r>
        <w:rPr>
          <w:b/>
          <w:bCs/>
        </w:rPr>
        <w:t xml:space="preserve">Methode des flux de tresorerie actualises — DCF</w:t>
      </w:r>
      <w:r>
        <w:t xml:space="preserve"> </w:t>
      </w:r>
      <w:r>
        <w:t xml:space="preserve">(ponderation 30 %) : projection sur cinq ans avec taux d’actualisation convenu ou, a defaut, fixe par l’expert designe.</w:t>
      </w:r>
    </w:p>
    <w:p>
      <w:pPr>
        <w:pStyle w:val="FirstParagraph"/>
      </w:pPr>
      <w:r>
        <w:t xml:space="preserve">En cas de desaccord persistant sur la valeur, un expert-comptable independant est designe d’un commun accord ou, a defaut, par le President du Tribunal de l’Entreprise competent. Les frais d’expertise sont partages a parts egales entre les parties au desaccord.</w:t>
      </w:r>
    </w:p>
    <w:p>
      <w:pPr>
        <w:pStyle w:val="BodyText"/>
      </w:pPr>
      <w:r>
        <w:rPr>
          <w:b/>
          <w:bCs/>
        </w:rPr>
        <w:t xml:space="preserve">Phase pre-revenus — plancher de valorisation :</w:t>
      </w:r>
      <w:r>
        <w:t xml:space="preserve"> </w:t>
      </w:r>
      <w:r>
        <w:t xml:space="preserve">lorsque la Societe n’a pas encore degage de chiffre d’affaires significatif (defini comme inferieur a 100 000 EUR sur les douze derniers mois), les methodes EBITDA et DCF ne sont pas applicables. Dans ce cas, la valeur des parts est calculee sur la seule base de l’actif net reevalue, avec application d’un multiple compris entre 1 et 3 fixe d’un commun accord entre les Parties ou, a defaut, par l’expert designe selon les criteres du stade de developpement de la Societe. En aucun cas la valeur totale de la Societe ne peut etre inferieure au montant du capital social libere augmente des apports en compte courant d’associes.</w:t>
      </w:r>
    </w:p>
    <w:p>
      <w:r>
        <w:pict>
          <v:rect style="width:0;height:1.5pt" o:hralign="center" o:hrstd="t" o:hr="t"/>
        </w:pict>
      </w:r>
    </w:p>
    <w:bookmarkEnd w:id="24"/>
    <w:bookmarkEnd w:id="25"/>
    <w:bookmarkStart w:id="29" w:name="titre-iv-augmentations-de-capital"/>
    <w:p>
      <w:pPr>
        <w:pStyle w:val="Heading2"/>
      </w:pPr>
      <w:r>
        <w:t xml:space="preserve">TITRE IV — AUGMENTATIONS DE CAPITAL</w:t>
      </w:r>
    </w:p>
    <w:bookmarkStart w:id="26" w:name="article-12-principes-directeurs"/>
    <w:p>
      <w:pPr>
        <w:pStyle w:val="Heading3"/>
      </w:pPr>
      <w:r>
        <w:t xml:space="preserve">Article 12 — Principes directeurs</w:t>
      </w:r>
    </w:p>
    <w:p>
      <w:pPr>
        <w:pStyle w:val="FirstParagraph"/>
      </w:pPr>
      <w:r>
        <w:t xml:space="preserve">Les Fondateurs reconnaissent que la trajectoire de VETALYX vers un hub europeen necessitera des augmentations de capital successives, susceptibles de diluer leurs participations respectives. Ils s’engagent a cooperer loyalement pour permettre ces operations des lors qu’elles servent l’interet social.</w:t>
      </w:r>
    </w:p>
    <w:bookmarkEnd w:id="26"/>
    <w:bookmarkStart w:id="27" w:name="Xad70b5ba7c048a6dbac7b361f44b4888dbca0b4"/>
    <w:p>
      <w:pPr>
        <w:pStyle w:val="Heading3"/>
      </w:pPr>
      <w:r>
        <w:t xml:space="preserve">Article 13 — Droit preferentiel de souscription entre Fondateurs</w:t>
      </w:r>
    </w:p>
    <w:p>
      <w:pPr>
        <w:pStyle w:val="FirstParagraph"/>
      </w:pPr>
      <w:r>
        <w:t xml:space="preserve">Lors de toute augmentation de capital, les Fondateurs disposent d’un droit preferentiel de souscription leur permettant de maintenir leur pourcentage de detention. Ce droit est exerce dans les conditions suivantes :</w:t>
      </w:r>
    </w:p>
    <w:p>
      <w:pPr>
        <w:pStyle w:val="Compact"/>
        <w:numPr>
          <w:ilvl w:val="0"/>
          <w:numId w:val="1008"/>
        </w:numPr>
      </w:pPr>
      <w:r>
        <w:t xml:space="preserve">Notification individuelle a chaque Fondateur au moins quarante-cinq (45) jours avant la date de realisation de l’augmentation.</w:t>
      </w:r>
    </w:p>
    <w:p>
      <w:pPr>
        <w:pStyle w:val="Compact"/>
        <w:numPr>
          <w:ilvl w:val="0"/>
          <w:numId w:val="1008"/>
        </w:numPr>
      </w:pPr>
      <w:r>
        <w:t xml:space="preserve">Delai d’exercice de vingt (20) jours calendaires a compter de la notification.</w:t>
      </w:r>
    </w:p>
    <w:p>
      <w:pPr>
        <w:pStyle w:val="Compact"/>
        <w:numPr>
          <w:ilvl w:val="0"/>
          <w:numId w:val="1008"/>
        </w:numPr>
      </w:pPr>
      <w:r>
        <w:t xml:space="preserve">En cas de renonciation, le droit est transferable a un autre Fondateur avant d’etre propose a des tiers.</w:t>
      </w:r>
    </w:p>
    <w:bookmarkEnd w:id="27"/>
    <w:bookmarkStart w:id="28" w:name="X70cc03c1d121758a1b009125dde139ac0d5b47a"/>
    <w:p>
      <w:pPr>
        <w:pStyle w:val="Heading3"/>
      </w:pPr>
      <w:r>
        <w:t xml:space="preserve">Article 14 — Protection des Fondateurs lors de l’entree d’investisseurs tiers</w:t>
      </w:r>
    </w:p>
    <w:p>
      <w:pPr>
        <w:pStyle w:val="FirstParagraph"/>
      </w:pPr>
      <w:r>
        <w:t xml:space="preserve">Tout acte d’investissement (pacte investisseurs, term sheet, acte de souscription) conclu avec un tiers investisseur devra respecter les droits fondamentaux des Fondateurs tels que definis aux articles 5 et 7 du present Pacte. Les modalites specifiques de protection (anti-dilution, tag-along, drag-along, droits d’information des investisseurs) seront definies dans le pacte investisseurs negocie lors de chaque operation d’augmentation de capital.</w:t>
      </w:r>
    </w:p>
    <w:p>
      <w:pPr>
        <w:pStyle w:val="BodyText"/>
      </w:pPr>
      <w:r>
        <w:t xml:space="preserve">En cas de conflit entre le present Pacte et un pacte investisseurs posterieur, ce dernier prevaut pour les seules stipulations expressement modifiees, les autres dispositions du present Pacte demeurant en vigueur.</w:t>
      </w:r>
    </w:p>
    <w:p>
      <w:pPr>
        <w:pStyle w:val="BodyText"/>
      </w:pPr>
      <w:r>
        <w:rPr>
          <w:b/>
          <w:bCs/>
        </w:rPr>
        <w:t xml:space="preserve">Articulation avec le seing prive DIAHO :</w:t>
      </w:r>
      <w:r>
        <w:t xml:space="preserve"> </w:t>
      </w:r>
      <w:r>
        <w:t xml:space="preserve">Conformement a l’Accord sous seing prive VETALYX/DIAHO du 31 mai 2026, l’entree de DIAHO au capital a hauteur de 40 % est conditionnee a l’exercice de l’option de production. Les modalites de dilution prealable prevues a l’Accord sous seing prive. priment sur les dispositions du present article en cas de contradiction.</w:t>
      </w:r>
    </w:p>
    <w:p>
      <w:r>
        <w:pict>
          <v:rect style="width:0;height:1.5pt" o:hralign="center" o:hrstd="t" o:hr="t"/>
        </w:pict>
      </w:r>
    </w:p>
    <w:bookmarkEnd w:id="28"/>
    <w:bookmarkEnd w:id="29"/>
    <w:bookmarkStart w:id="31" w:name="X79308947f954d64ae29f976354787fc2f6791d1"/>
    <w:p>
      <w:pPr>
        <w:pStyle w:val="Heading2"/>
      </w:pPr>
      <w:r>
        <w:t xml:space="preserve">TITRE V — ACCORDS DE REPRESENTATION ET HUB EUROPEEN</w:t>
      </w:r>
    </w:p>
    <w:bookmarkStart w:id="30" w:name="X8130f4a18f411663887f26b634cdcd9ca242f97"/>
    <w:p>
      <w:pPr>
        <w:pStyle w:val="Heading3"/>
      </w:pPr>
      <w:r>
        <w:t xml:space="preserve">Article 15 — Politique d’accords de representation</w:t>
      </w:r>
    </w:p>
    <w:p>
      <w:pPr>
        <w:pStyle w:val="FirstParagraph"/>
      </w:pPr>
      <w:r>
        <w:t xml:space="preserve">Dans le cadre de sa vocation de hub europeen, la Societe sera amenee a conclure des accords de representation, de distribution exclusive ou de partenariat strategique avec des societes tierces souhaitant acceder aux marches europeens (ci-apres les « Partenaires »).</w:t>
      </w:r>
    </w:p>
    <w:p>
      <w:pPr>
        <w:pStyle w:val="BodyText"/>
      </w:pPr>
      <w:r>
        <w:t xml:space="preserve">Les Fondateurs conviennent que tout projet d’accord de representation engageant la Societe pour une duree superieure a douze (12) mois ou portant sur un territoire excedant un seul pays europeen est soumis a l’approbation prealable du Comite.</w:t>
      </w:r>
    </w:p>
    <w:p>
      <w:r>
        <w:pict>
          <v:rect style="width:0;height:1.5pt" o:hralign="center" o:hrstd="t" o:hr="t"/>
        </w:pict>
      </w:r>
    </w:p>
    <w:bookmarkEnd w:id="30"/>
    <w:bookmarkEnd w:id="31"/>
    <w:bookmarkStart w:id="35" w:name="titre-vi-engagements-des-fondateurs"/>
    <w:p>
      <w:pPr>
        <w:pStyle w:val="Heading2"/>
      </w:pPr>
      <w:r>
        <w:t xml:space="preserve">TITRE VI — ENGAGEMENTS DES FONDATEURS</w:t>
      </w:r>
    </w:p>
    <w:bookmarkStart w:id="32" w:name="article-16-confidentialite"/>
    <w:p>
      <w:pPr>
        <w:pStyle w:val="Heading3"/>
      </w:pPr>
      <w:r>
        <w:t xml:space="preserve">Article 16 — Confidentialite</w:t>
      </w:r>
    </w:p>
    <w:p>
      <w:pPr>
        <w:pStyle w:val="FirstParagraph"/>
      </w:pPr>
      <w:r>
        <w:t xml:space="preserve">Les Fondateurs s’engagent a traiter comme strictement confidentielles toutes les informations relatives a la Societe, a ses activites, a ses partenaires, a sa situation financiere et a ses projets, dont ils auraient connaissance en leur qualite de Fondateur ou d’associe. Cette obligation survit pendant une duree de trois (3) ans a la cessation de leur qualite d’associe.</w:t>
      </w:r>
    </w:p>
    <w:bookmarkEnd w:id="32"/>
    <w:bookmarkStart w:id="33" w:name="article-17-non-concurrence"/>
    <w:p>
      <w:pPr>
        <w:pStyle w:val="Heading3"/>
      </w:pPr>
      <w:r>
        <w:t xml:space="preserve">Article 17 — Non-concurrence</w:t>
      </w:r>
    </w:p>
    <w:p>
      <w:pPr>
        <w:pStyle w:val="FirstParagraph"/>
      </w:pPr>
      <w:r>
        <w:t xml:space="preserve">Chaque Fondateur s’interdit, pendant toute la duree de sa participation au capital de la Societe et pendant une periode d’un (1) an suivant la cession ou le rachat de l’integralite de ses parts, d’exercer directement ou indirectement une activite concurrente de celle de la Societe sur le territoire europeen.</w:t>
      </w:r>
    </w:p>
    <w:bookmarkEnd w:id="33"/>
    <w:bookmarkStart w:id="34" w:name="article-18-implication-minimale"/>
    <w:p>
      <w:pPr>
        <w:pStyle w:val="Heading3"/>
      </w:pPr>
      <w:r>
        <w:t xml:space="preserve">Article 18 — Implication minimale</w:t>
      </w:r>
    </w:p>
    <w:p>
      <w:pPr>
        <w:pStyle w:val="FirstParagraph"/>
      </w:pPr>
      <w:r>
        <w:t xml:space="preserve">Chaque Fondateur s’engage a consacrer le temps et l’attention necessaires a l’accomplissement de sa mission au sein de la Societe et a participer activement aux decisions relevant du Comite des Fondateurs.</w:t>
      </w:r>
    </w:p>
    <w:p>
      <w:r>
        <w:pict>
          <v:rect style="width:0;height:1.5pt" o:hralign="center" o:hrstd="t" o:hr="t"/>
        </w:pict>
      </w:r>
    </w:p>
    <w:bookmarkEnd w:id="34"/>
    <w:bookmarkEnd w:id="35"/>
    <w:bookmarkStart w:id="38" w:name="titre-vii-resolution-des-differends"/>
    <w:p>
      <w:pPr>
        <w:pStyle w:val="Heading2"/>
      </w:pPr>
      <w:r>
        <w:t xml:space="preserve">TITRE VII — RESOLUTION DES DIFFERENDS</w:t>
      </w:r>
    </w:p>
    <w:bookmarkStart w:id="36" w:name="article-19-conciliation-prealable"/>
    <w:p>
      <w:pPr>
        <w:pStyle w:val="Heading3"/>
      </w:pPr>
      <w:r>
        <w:t xml:space="preserve">Article 19 — Conciliation prealable</w:t>
      </w:r>
    </w:p>
    <w:p>
      <w:pPr>
        <w:pStyle w:val="FirstParagraph"/>
      </w:pPr>
      <w:r>
        <w:t xml:space="preserve">En cas de differend entre les Fondateurs relatif a l’interpretation, l’execution ou la validite du present Pacte, les Parties s’engagent a rechercher une solution amiable avant toute procedure judiciaire ou arbitrale.</w:t>
      </w:r>
    </w:p>
    <w:bookmarkEnd w:id="36"/>
    <w:bookmarkStart w:id="37" w:name="article-20-procedure-de-resolution"/>
    <w:p>
      <w:pPr>
        <w:pStyle w:val="Heading3"/>
      </w:pPr>
      <w:r>
        <w:t xml:space="preserve">Article 20 — Procedure de resolution</w:t>
      </w:r>
    </w:p>
    <w:p>
      <w:pPr>
        <w:pStyle w:val="FirstParagraph"/>
      </w:pPr>
      <w:r>
        <w:t xml:space="preserve">En cas d’echec de la conciliation apres trente (30) jours, la procedure suivante s’applique :</w:t>
      </w:r>
    </w:p>
    <w:p>
      <w:pPr>
        <w:pStyle w:val="Compact"/>
        <w:numPr>
          <w:ilvl w:val="0"/>
          <w:numId w:val="1009"/>
        </w:numPr>
      </w:pPr>
      <w:r>
        <w:rPr>
          <w:b/>
          <w:bCs/>
        </w:rPr>
        <w:t xml:space="preserve">Mediation :</w:t>
      </w:r>
      <w:r>
        <w:t xml:space="preserve"> </w:t>
      </w:r>
      <w:r>
        <w:t xml:space="preserve">designation d’un mediateur d’un commun accord ou, a defaut, par le President du Tribunal de l’Entreprise competent.</w:t>
      </w:r>
    </w:p>
    <w:p>
      <w:pPr>
        <w:pStyle w:val="Compact"/>
        <w:numPr>
          <w:ilvl w:val="0"/>
          <w:numId w:val="1009"/>
        </w:numPr>
      </w:pPr>
      <w:r>
        <w:rPr>
          <w:b/>
          <w:bCs/>
        </w:rPr>
        <w:t xml:space="preserve">Option de rachat croise (Buy-Sell / Shotgun) :</w:t>
      </w:r>
      <w:r>
        <w:t xml:space="preserve"> </w:t>
      </w:r>
      <w:r>
        <w:t xml:space="preserve">en cas de blocage persistant excedant quatre-vingt-dix (90) jours sur une decision critique, l’un des blocs opposes peut declencher la procedure suivante : il fixe un prix par part ; le bloc adverse a alors le choix exclusif de racheter les parts du bloc demandeur a ce prix, ou de lui vendre ses propres parts a ce meme prix. Ce mecanisme est une mesure de dernier recours.</w:t>
      </w:r>
    </w:p>
    <w:p>
      <w:r>
        <w:pict>
          <v:rect style="width:0;height:1.5pt" o:hralign="center" o:hrstd="t" o:hr="t"/>
        </w:pict>
      </w:r>
    </w:p>
    <w:bookmarkEnd w:id="37"/>
    <w:bookmarkEnd w:id="38"/>
    <w:bookmarkStart w:id="42" w:name="titre-viii-deces-incapacite-et-depart"/>
    <w:p>
      <w:pPr>
        <w:pStyle w:val="Heading2"/>
      </w:pPr>
      <w:r>
        <w:t xml:space="preserve">TITRE VIII — DECES, INCAPACITE ET DEPART</w:t>
      </w:r>
    </w:p>
    <w:bookmarkStart w:id="39" w:name="article-21-deces-dun-fondateur"/>
    <w:p>
      <w:pPr>
        <w:pStyle w:val="Heading3"/>
      </w:pPr>
      <w:r>
        <w:t xml:space="preserve">Article 21 — Deces d’un Fondateur</w:t>
      </w:r>
    </w:p>
    <w:p>
      <w:pPr>
        <w:pStyle w:val="FirstParagraph"/>
      </w:pPr>
      <w:r>
        <w:t xml:space="preserve">En cas de deces d’un Fondateur, ses parts sociales sont transmises a ses heritiers legaux ou legataires universels. Toutefois, l’entree de ces heritiers en qualite d’associes est soumise a l’agrement des Fondateurs survivants selon les modalites de l’article 9.</w:t>
      </w:r>
    </w:p>
    <w:p>
      <w:pPr>
        <w:pStyle w:val="BodyText"/>
      </w:pPr>
      <w:r>
        <w:t xml:space="preserve">En cas de refus d’agrement des heritiers, les parts sont rachetees dans les conditions de l’article 11, dans un delai de six (6) mois suivant le deces. La Societe s’engage a souscrire une assurance « homme cle » a hauteur de la valeur des parts de chaque Fondateur pour faciliter ce rachat,</w:t>
      </w:r>
      <w:r>
        <w:t xml:space="preserve"> </w:t>
      </w:r>
      <w:r>
        <w:rPr>
          <w:b/>
          <w:bCs/>
        </w:rPr>
        <w:t xml:space="preserve">dans un delai de trente (30) jours suivant la date de signature du present Pacte</w:t>
      </w:r>
      <w:r>
        <w:t xml:space="preserve">.</w:t>
      </w:r>
    </w:p>
    <w:bookmarkEnd w:id="39"/>
    <w:bookmarkStart w:id="40" w:name="article-22-incapacite-permanente"/>
    <w:p>
      <w:pPr>
        <w:pStyle w:val="Heading3"/>
      </w:pPr>
      <w:r>
        <w:t xml:space="preserve">Article 22 — Incapacite permanente</w:t>
      </w:r>
    </w:p>
    <w:p>
      <w:pPr>
        <w:pStyle w:val="FirstParagraph"/>
      </w:pPr>
      <w:r>
        <w:t xml:space="preserve">En cas d’incapacite permanente d’un Fondateur dument constatee medicalement, le Comite se reunit dans les trente (30) jours pour definir les modalites de maintien ou de rachat de sa participation, dans l’interet de la Societe et du Fondateur concerne. Les modalites de rachat, si decide, suivent l’article 11 sans decote.</w:t>
      </w:r>
    </w:p>
    <w:bookmarkEnd w:id="40"/>
    <w:bookmarkStart w:id="41" w:name="X16ffc44b19f335aabde0dfded505b86a1ea9f47"/>
    <w:p>
      <w:pPr>
        <w:pStyle w:val="Heading3"/>
      </w:pPr>
      <w:r>
        <w:t xml:space="preserve">Article 23 — Depart volontaire — Good Leaver / Bad Leaver</w:t>
      </w:r>
    </w:p>
    <w:p>
      <w:pPr>
        <w:pStyle w:val="FirstParagraph"/>
      </w:pPr>
      <w:r>
        <w:t xml:space="preserve">Selon les circonstances du depart d’un Fondateur, sa participation est rachetee selon les conditions suivantes :</w:t>
      </w:r>
    </w:p>
    <w:p>
      <w:pPr>
        <w:pStyle w:val="Compact"/>
        <w:numPr>
          <w:ilvl w:val="0"/>
          <w:numId w:val="1010"/>
        </w:numPr>
      </w:pPr>
      <w:r>
        <w:rPr>
          <w:b/>
          <w:bCs/>
        </w:rPr>
        <w:t xml:space="preserve">Good Leaver</w:t>
      </w:r>
      <w:r>
        <w:t xml:space="preserve"> </w:t>
      </w:r>
      <w:r>
        <w:t xml:space="preserve">(depart pour raisons personnelles, de sante, ou accord amiable avec le Comite) : rachat a 100 % de la valeur calculee selon l’article 11.</w:t>
      </w:r>
    </w:p>
    <w:p>
      <w:pPr>
        <w:pStyle w:val="Compact"/>
        <w:numPr>
          <w:ilvl w:val="0"/>
          <w:numId w:val="1010"/>
        </w:numPr>
      </w:pPr>
      <w:r>
        <w:rPr>
          <w:b/>
          <w:bCs/>
        </w:rPr>
        <w:t xml:space="preserve">Bad Leaver</w:t>
      </w:r>
      <w:r>
        <w:t xml:space="preserve"> </w:t>
      </w:r>
      <w:r>
        <w:t xml:space="preserve">: rachat avec decote selon la gravite des faits :</w:t>
      </w:r>
    </w:p>
    <w:p>
      <w:pPr>
        <w:pStyle w:val="Compact"/>
        <w:numPr>
          <w:ilvl w:val="1"/>
          <w:numId w:val="1011"/>
        </w:numPr>
      </w:pPr>
      <w:r>
        <w:rPr>
          <w:b/>
          <w:bCs/>
        </w:rPr>
        <w:t xml:space="preserve">Sans plainte ni defense juridique</w:t>
      </w:r>
      <w:r>
        <w:t xml:space="preserve"> </w:t>
      </w:r>
      <w:r>
        <w:t xml:space="preserve">(depart en violation du Pacte, demission abusive sans prejudice financier caracterise) : decote de</w:t>
      </w:r>
      <w:r>
        <w:t xml:space="preserve"> </w:t>
      </w:r>
      <w:r>
        <w:rPr>
          <w:b/>
          <w:bCs/>
        </w:rPr>
        <w:t xml:space="preserve">15 %</w:t>
      </w:r>
      <w:r>
        <w:t xml:space="preserve"> </w:t>
      </w:r>
      <w:r>
        <w:t xml:space="preserve">sur la valeur calculee selon l’article 11.</w:t>
      </w:r>
    </w:p>
    <w:p>
      <w:pPr>
        <w:pStyle w:val="Compact"/>
        <w:numPr>
          <w:ilvl w:val="1"/>
          <w:numId w:val="1011"/>
        </w:numPr>
      </w:pPr>
      <w:r>
        <w:rPr>
          <w:b/>
          <w:bCs/>
        </w:rPr>
        <w:t xml:space="preserve">Avec malversations ou erreur grave</w:t>
      </w:r>
      <w:r>
        <w:t xml:space="preserve"> </w:t>
      </w:r>
      <w:r>
        <w:t xml:space="preserve">(faute lourde, detournement, concurrence deloyale averee, comportement ayant cause un prejudice financier significatif a la Societe) : decote de</w:t>
      </w:r>
      <w:r>
        <w:t xml:space="preserve"> </w:t>
      </w:r>
      <w:r>
        <w:rPr>
          <w:b/>
          <w:bCs/>
        </w:rPr>
        <w:t xml:space="preserve">50 %</w:t>
      </w:r>
      <w:r>
        <w:t xml:space="preserve"> </w:t>
      </w:r>
      <w:r>
        <w:t xml:space="preserve">sur la valeur calculee selon l’article 11.</w:t>
      </w:r>
    </w:p>
    <w:p>
      <w:r>
        <w:pict>
          <v:rect style="width:0;height:1.5pt" o:hralign="center" o:hrstd="t" o:hr="t"/>
        </w:pict>
      </w:r>
    </w:p>
    <w:bookmarkEnd w:id="41"/>
    <w:bookmarkEnd w:id="42"/>
    <w:bookmarkStart w:id="44" w:name="titre-ix-information-et-reporting"/>
    <w:p>
      <w:pPr>
        <w:pStyle w:val="Heading2"/>
      </w:pPr>
      <w:r>
        <w:t xml:space="preserve">TITRE IX — INFORMATION ET REPORTING</w:t>
      </w:r>
    </w:p>
    <w:bookmarkStart w:id="43" w:name="X558a251242cdd8be816c49e2d5ec7e0a33c2d30"/>
    <w:p>
      <w:pPr>
        <w:pStyle w:val="Heading3"/>
      </w:pPr>
      <w:r>
        <w:t xml:space="preserve">Article 24 — Obligations d’information entre Fondateurs</w:t>
      </w:r>
    </w:p>
    <w:p>
      <w:pPr>
        <w:pStyle w:val="FirstParagraph"/>
      </w:pPr>
      <w:r>
        <w:t xml:space="preserve">Chaque Fondateur, en sa qualite d’associe, dispose d’un droit a l’information renforce. La Societe s’engage a fournir a chaque Fondateur :</w:t>
      </w:r>
    </w:p>
    <w:p>
      <w:pPr>
        <w:pStyle w:val="Compact"/>
        <w:numPr>
          <w:ilvl w:val="0"/>
          <w:numId w:val="1012"/>
        </w:numPr>
      </w:pPr>
      <w:r>
        <w:rPr>
          <w:b/>
          <w:bCs/>
        </w:rPr>
        <w:t xml:space="preserve">Trimestriellement :</w:t>
      </w:r>
      <w:r>
        <w:t xml:space="preserve"> </w:t>
      </w:r>
      <w:r>
        <w:t xml:space="preserve">situation de tresorerie, tableau de bord commercial, comptes de gestion, reporting des accords de representation actifs. Lorsque le chiffre d’affaires annuel de la Societe depasse cent mille (100 000) euros, la frequence du reporting de tresorerie et du tableau de bord commercial passe a mensuelle, les comptes de gestion restant trimestriels.</w:t>
      </w:r>
    </w:p>
    <w:p>
      <w:pPr>
        <w:pStyle w:val="Compact"/>
        <w:numPr>
          <w:ilvl w:val="0"/>
          <w:numId w:val="1012"/>
        </w:numPr>
      </w:pPr>
      <w:r>
        <w:rPr>
          <w:b/>
          <w:bCs/>
        </w:rPr>
        <w:t xml:space="preserve">Annuellement :</w:t>
      </w:r>
      <w:r>
        <w:t xml:space="preserve"> </w:t>
      </w:r>
      <w:r>
        <w:t xml:space="preserve">comptes sociaux definitifs, bilan des accords en cours et prospectus pour l’exercice suivant.</w:t>
      </w:r>
    </w:p>
    <w:p>
      <w:pPr>
        <w:pStyle w:val="FirstParagraph"/>
      </w:pPr>
      <w:r>
        <w:t xml:space="preserve">Tout Fondateur peut demander a l’administrateur des informations complementaires sur tout sujet relatif a la marche de la Societe. L’administrateur dispose de dix (10) jours pour y repondre.</w:t>
      </w:r>
    </w:p>
    <w:p>
      <w:r>
        <w:pict>
          <v:rect style="width:0;height:1.5pt" o:hralign="center" o:hrstd="t" o:hr="t"/>
        </w:pict>
      </w:r>
    </w:p>
    <w:bookmarkEnd w:id="43"/>
    <w:bookmarkEnd w:id="44"/>
    <w:bookmarkStart w:id="51" w:name="titre-x-dispositions-finales"/>
    <w:p>
      <w:pPr>
        <w:pStyle w:val="Heading2"/>
      </w:pPr>
      <w:r>
        <w:t xml:space="preserve">TITRE X — DISPOSITIONS FINALES</w:t>
      </w:r>
    </w:p>
    <w:bookmarkStart w:id="45" w:name="article-25-duree-du-pacte"/>
    <w:p>
      <w:pPr>
        <w:pStyle w:val="Heading3"/>
      </w:pPr>
      <w:r>
        <w:t xml:space="preserve">Article 25 — Duree du Pacte</w:t>
      </w:r>
    </w:p>
    <w:p>
      <w:pPr>
        <w:pStyle w:val="FirstParagraph"/>
      </w:pPr>
      <w:r>
        <w:t xml:space="preserve">Le present Pacte est conclu pour une duree indeterminee. Il prend fin :</w:t>
      </w:r>
    </w:p>
    <w:p>
      <w:pPr>
        <w:pStyle w:val="Compact"/>
        <w:numPr>
          <w:ilvl w:val="0"/>
          <w:numId w:val="1013"/>
        </w:numPr>
      </w:pPr>
      <w:r>
        <w:t xml:space="preserve">Par dissolution de la Societe.</w:t>
      </w:r>
    </w:p>
    <w:p>
      <w:pPr>
        <w:pStyle w:val="Compact"/>
        <w:numPr>
          <w:ilvl w:val="0"/>
          <w:numId w:val="1013"/>
        </w:numPr>
      </w:pPr>
      <w:r>
        <w:t xml:space="preserve">Par accord unanime ecrit des Fondateurs originels.</w:t>
      </w:r>
    </w:p>
    <w:bookmarkEnd w:id="45"/>
    <w:bookmarkStart w:id="46" w:name="article-26-modification-du-pacte"/>
    <w:p>
      <w:pPr>
        <w:pStyle w:val="Heading3"/>
      </w:pPr>
      <w:r>
        <w:t xml:space="preserve">Article 26 — Modification du Pacte</w:t>
      </w:r>
    </w:p>
    <w:p>
      <w:pPr>
        <w:pStyle w:val="FirstParagraph"/>
      </w:pPr>
      <w:r>
        <w:t xml:space="preserve">Toute modification du present Pacte requiert l’accord unanime de l’ensemble des Fondateurs, formalise par avenant signe.</w:t>
      </w:r>
    </w:p>
    <w:bookmarkEnd w:id="46"/>
    <w:bookmarkStart w:id="47" w:name="article-27-integralite-de-laccord"/>
    <w:p>
      <w:pPr>
        <w:pStyle w:val="Heading3"/>
      </w:pPr>
      <w:r>
        <w:t xml:space="preserve">Article 27 — Integralite de l’accord</w:t>
      </w:r>
    </w:p>
    <w:p>
      <w:pPr>
        <w:pStyle w:val="FirstParagraph"/>
      </w:pPr>
      <w:r>
        <w:t xml:space="preserve">Le present Pacte, ses annexes et avenants eventuels constituent l’integralite de l’accord entre les Parties sur son objet. Il annule et remplace tout accord anterieur, oral ou ecrit, portant sur le meme objet.</w:t>
      </w:r>
    </w:p>
    <w:bookmarkEnd w:id="47"/>
    <w:bookmarkStart w:id="48" w:name="article-28-divisibilite"/>
    <w:p>
      <w:pPr>
        <w:pStyle w:val="Heading3"/>
      </w:pPr>
      <w:r>
        <w:t xml:space="preserve">Article 28 — Divisibilite</w:t>
      </w:r>
    </w:p>
    <w:p>
      <w:pPr>
        <w:pStyle w:val="FirstParagraph"/>
      </w:pPr>
      <w:r>
        <w:t xml:space="preserve">Si l’une des stipulations du present Pacte venait a etre declaree nulle ou inapplicable, les autres stipulations demeurent pleinement en vigueur. Les Parties s’engagent a negocier de bonne foi une stipulation de substitution atteignant le meme objectif economique.</w:t>
      </w:r>
    </w:p>
    <w:bookmarkEnd w:id="48"/>
    <w:bookmarkStart w:id="49" w:name="X46ee6443229980d2f243c0506ffcac1d780ff05"/>
    <w:p>
      <w:pPr>
        <w:pStyle w:val="Heading3"/>
      </w:pPr>
      <w:r>
        <w:t xml:space="preserve">Article 29 — Droit applicable et juridiction</w:t>
      </w:r>
    </w:p>
    <w:p>
      <w:pPr>
        <w:pStyle w:val="FirstParagraph"/>
      </w:pPr>
      <w:r>
        <w:t xml:space="preserve">Le present Pacte est regi par le droit belge. A defaut de clause compromissoire ou avant son declenchement, tout litige est soumis a la competence exclusive des tribunaux de l’entreprise belges.</w:t>
      </w:r>
    </w:p>
    <w:bookmarkEnd w:id="49"/>
    <w:bookmarkStart w:id="50" w:name="article-30-notifications"/>
    <w:p>
      <w:pPr>
        <w:pStyle w:val="Heading3"/>
      </w:pPr>
      <w:r>
        <w:t xml:space="preserve">Article 30 — Notifications</w:t>
      </w:r>
    </w:p>
    <w:p>
      <w:pPr>
        <w:pStyle w:val="FirstParagraph"/>
      </w:pPr>
      <w:r>
        <w:t xml:space="preserve">Toutes les notifications prevues par le present Pacte doivent etre effectuees par lettre recommandee avec accuse de reception aux adresses indiquees en page de signature, ou par tout autre moyen permettant d’etablir la date de reception avec certitude (email avec accuse de lecture horodate accepte pour les echanges non formels).</w:t>
      </w:r>
    </w:p>
    <w:p>
      <w:r>
        <w:pict>
          <v:rect style="width:0;height:1.5pt" o:hralign="center" o:hrstd="t" o:hr="t"/>
        </w:pict>
      </w:r>
    </w:p>
    <w:bookmarkEnd w:id="50"/>
    <w:bookmarkEnd w:id="51"/>
    <w:bookmarkStart w:id="52" w:name="signatures"/>
    <w:p>
      <w:pPr>
        <w:pStyle w:val="Heading2"/>
      </w:pPr>
      <w:r>
        <w:t xml:space="preserve">SIGNATURES</w:t>
      </w:r>
    </w:p>
    <w:p>
      <w:pPr>
        <w:pStyle w:val="FirstParagraph"/>
      </w:pPr>
      <w:r>
        <w:t xml:space="preserve">Fait en quatre exemplaires originaux, a _____________, le ___ _________ 2026.</w:t>
      </w:r>
    </w:p>
    <w:p>
      <w:pPr>
        <w:pStyle w:val="BodyText"/>
      </w:pPr>
      <w:r>
        <w:t xml:space="preserve">Chaque Fondateur reconnait avoir pris connaissance de l’integralite du present Pacte, avoir eu la possibilite de se faire assister par un conseil juridique de son choix, et avoir signe en toute connaissance de cause.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Fondateur</w:t>
            </w:r>
          </w:p>
        </w:tc>
        <w:tc>
          <w:tcPr/>
          <w:p>
            <w:pPr>
              <w:pStyle w:val="Compact"/>
            </w:pPr>
            <w:r>
              <w:t xml:space="preserve">Role</w:t>
            </w:r>
          </w:p>
        </w:tc>
        <w:tc>
          <w:tcPr/>
          <w:p>
            <w:pPr>
              <w:pStyle w:val="Compact"/>
            </w:pPr>
            <w:r>
              <w:t xml:space="preserve">Signature</w:t>
            </w:r>
          </w:p>
        </w:tc>
        <w:tc>
          <w:tcPr/>
          <w:p>
            <w:pPr>
              <w:pStyle w:val="Compact"/>
            </w:pPr>
            <w:r>
              <w:t xml:space="preserve">Date</w:t>
            </w:r>
          </w:p>
        </w:tc>
      </w:tr>
      <w:tr>
        <w:tc>
          <w:tcPr/>
          <w:p>
            <w:pPr>
              <w:pStyle w:val="Compact"/>
            </w:pPr>
            <w:r>
              <w:t xml:space="preserve">Alain BOSSELOIR</w:t>
            </w:r>
          </w:p>
        </w:tc>
        <w:tc>
          <w:tcPr/>
          <w:p>
            <w:pPr>
              <w:pStyle w:val="Compact"/>
            </w:pPr>
            <w:r>
              <w:t xml:space="preserve">Fondateur</w:t>
            </w:r>
          </w:p>
        </w:tc>
        <w:tc>
          <w:tcPr/>
          <w:p>
            <w:pPr>
              <w:pStyle w:val="Compact"/>
            </w:pPr>
          </w:p>
        </w:tc>
        <w:tc>
          <w:tcPr/>
          <w:p>
            <w:pPr>
              <w:pStyle w:val="Compact"/>
            </w:pPr>
          </w:p>
        </w:tc>
      </w:tr>
      <w:tr>
        <w:tc>
          <w:tcPr/>
          <w:p>
            <w:pPr>
              <w:pStyle w:val="Compact"/>
            </w:pPr>
            <w:r>
              <w:t xml:space="preserve">Jean-Claude HAVAUX</w:t>
            </w:r>
          </w:p>
        </w:tc>
        <w:tc>
          <w:tcPr/>
          <w:p>
            <w:pPr>
              <w:pStyle w:val="Compact"/>
            </w:pPr>
            <w:r>
              <w:t xml:space="preserve">Fondateur</w:t>
            </w:r>
          </w:p>
        </w:tc>
        <w:tc>
          <w:tcPr/>
          <w:p>
            <w:pPr>
              <w:pStyle w:val="Compact"/>
            </w:pPr>
          </w:p>
        </w:tc>
        <w:tc>
          <w:tcPr/>
          <w:p>
            <w:pPr>
              <w:pStyle w:val="Compact"/>
            </w:pPr>
          </w:p>
        </w:tc>
      </w:tr>
      <w:tr>
        <w:tc>
          <w:tcPr/>
          <w:p>
            <w:pPr>
              <w:pStyle w:val="Compact"/>
            </w:pPr>
            <w:r>
              <w:t xml:space="preserve">Peiwen QI</w:t>
            </w:r>
          </w:p>
        </w:tc>
        <w:tc>
          <w:tcPr/>
          <w:p>
            <w:pPr>
              <w:pStyle w:val="Compact"/>
            </w:pPr>
            <w:r>
              <w:t xml:space="preserve">Fondateur</w:t>
            </w:r>
          </w:p>
        </w:tc>
        <w:tc>
          <w:tcPr/>
          <w:p>
            <w:pPr>
              <w:pStyle w:val="Compact"/>
            </w:pPr>
          </w:p>
        </w:tc>
        <w:tc>
          <w:tcPr/>
          <w:p>
            <w:pPr>
              <w:pStyle w:val="Compact"/>
            </w:pPr>
          </w:p>
        </w:tc>
      </w:tr>
      <w:tr>
        <w:tc>
          <w:tcPr/>
          <w:p>
            <w:pPr>
              <w:pStyle w:val="Compact"/>
            </w:pPr>
            <w:r>
              <w:t xml:space="preserve">Jacques NOURY</w:t>
            </w:r>
          </w:p>
        </w:tc>
        <w:tc>
          <w:tcPr/>
          <w:p>
            <w:pPr>
              <w:pStyle w:val="Compact"/>
            </w:pPr>
            <w:r>
              <w:t xml:space="preserve">Fondateur</w:t>
            </w:r>
          </w:p>
        </w:tc>
        <w:tc>
          <w:tcPr/>
          <w:p>
            <w:pPr>
              <w:pStyle w:val="Compact"/>
            </w:pPr>
          </w:p>
        </w:tc>
        <w:tc>
          <w:tcPr/>
          <w:p>
            <w:pPr>
              <w:pStyle w:val="Compact"/>
            </w:pPr>
          </w:p>
        </w:tc>
      </w:tr>
    </w:tbl>
    <w:p>
      <w:r>
        <w:pict>
          <v:rect style="width:0;height:1.5pt" o:hralign="center" o:hrstd="t" o:hr="t"/>
        </w:pict>
      </w:r>
    </w:p>
    <w:bookmarkEnd w:id="52"/>
    <w:bookmarkStart w:id="53" w:name="annexes-au-pacte-dactionnaires"/>
    <w:p>
      <w:pPr>
        <w:pStyle w:val="Heading2"/>
      </w:pPr>
      <w:r>
        <w:t xml:space="preserve">ANNEXES AU PACTE D’ACTIONNAIRES</w:t>
      </w:r>
    </w:p>
    <w:p>
      <w:pPr>
        <w:pStyle w:val="Compact"/>
        <w:numPr>
          <w:ilvl w:val="0"/>
          <w:numId w:val="1014"/>
        </w:numPr>
      </w:pPr>
      <w:r>
        <w:rPr>
          <w:b/>
          <w:bCs/>
        </w:rPr>
        <w:t xml:space="preserve">Annexe 1 :</w:t>
      </w:r>
      <w:r>
        <w:t xml:space="preserve"> </w:t>
      </w:r>
      <w:r>
        <w:t xml:space="preserve">Statuts de la Societe (SRL de droit belge) —</w:t>
      </w:r>
      <w:r>
        <w:t xml:space="preserve"> </w:t>
      </w:r>
      <w:r>
        <w:rPr>
          <w:i/>
          <w:iCs/>
        </w:rPr>
        <w:t xml:space="preserve">ci-joint</w:t>
      </w:r>
    </w:p>
    <w:p>
      <w:pPr>
        <w:pStyle w:val="Compact"/>
        <w:numPr>
          <w:ilvl w:val="0"/>
          <w:numId w:val="1014"/>
        </w:numPr>
      </w:pPr>
      <w:r>
        <w:rPr>
          <w:b/>
          <w:bCs/>
        </w:rPr>
        <w:t xml:space="preserve">Annexe 2 :</w:t>
      </w:r>
      <w:r>
        <w:t xml:space="preserve"> </w:t>
      </w:r>
      <w:r>
        <w:t xml:space="preserve">Reglement interieur du Comite des Fondateurs —</w:t>
      </w:r>
      <w:r>
        <w:t xml:space="preserve"> </w:t>
      </w:r>
      <w:r>
        <w:rPr>
          <w:i/>
          <w:iCs/>
        </w:rPr>
        <w:t xml:space="preserve">a rediger</w:t>
      </w:r>
    </w:p>
    <w:p>
      <w:pPr>
        <w:pStyle w:val="Compact"/>
        <w:numPr>
          <w:ilvl w:val="0"/>
          <w:numId w:val="1014"/>
        </w:numPr>
      </w:pPr>
      <w:r>
        <w:rPr>
          <w:b/>
          <w:bCs/>
        </w:rPr>
        <w:t xml:space="preserve">Annexe 3 :</w:t>
      </w:r>
      <w:r>
        <w:t xml:space="preserve"> </w:t>
      </w:r>
      <w:r>
        <w:t xml:space="preserve">Identification et participation des Fondateurs —</w:t>
      </w:r>
      <w:r>
        <w:t xml:space="preserve"> </w:t>
      </w:r>
      <w:r>
        <w:rPr>
          <w:i/>
          <w:iCs/>
        </w:rPr>
        <w:t xml:space="preserve">ci-apres</w:t>
      </w:r>
    </w:p>
    <w:p>
      <w:pPr>
        <w:pStyle w:val="Compact"/>
        <w:numPr>
          <w:ilvl w:val="0"/>
          <w:numId w:val="1014"/>
        </w:numPr>
      </w:pPr>
      <w:r>
        <w:rPr>
          <w:b/>
          <w:bCs/>
        </w:rPr>
        <w:t xml:space="preserve">Annexe 4 :</w:t>
      </w:r>
      <w:r>
        <w:t xml:space="preserve"> </w:t>
      </w:r>
      <w:r>
        <w:t xml:space="preserve">Reglement d’administration —</w:t>
      </w:r>
      <w:r>
        <w:t xml:space="preserve"> </w:t>
      </w:r>
      <w:r>
        <w:rPr>
          <w:i/>
          <w:iCs/>
        </w:rPr>
        <w:t xml:space="preserve">a rediger</w:t>
      </w:r>
    </w:p>
    <w:p>
      <w:pPr>
        <w:pStyle w:val="Compact"/>
        <w:numPr>
          <w:ilvl w:val="0"/>
          <w:numId w:val="1014"/>
        </w:numPr>
      </w:pPr>
      <w:r>
        <w:rPr>
          <w:b/>
          <w:bCs/>
        </w:rPr>
        <w:t xml:space="preserve">Annexe 5 :</w:t>
      </w:r>
      <w:r>
        <w:t xml:space="preserve"> </w:t>
      </w:r>
      <w:r>
        <w:t xml:space="preserve">Modele de reporting trimestriel —</w:t>
      </w:r>
      <w:r>
        <w:t xml:space="preserve"> </w:t>
      </w:r>
      <w:r>
        <w:rPr>
          <w:i/>
          <w:iCs/>
        </w:rPr>
        <w:t xml:space="preserve">a rediger</w:t>
      </w:r>
    </w:p>
    <w:p>
      <w:pPr>
        <w:pStyle w:val="Compact"/>
        <w:numPr>
          <w:ilvl w:val="0"/>
          <w:numId w:val="1014"/>
        </w:numPr>
      </w:pPr>
      <w:r>
        <w:rPr>
          <w:b/>
          <w:bCs/>
        </w:rPr>
        <w:t xml:space="preserve">Annexe 6 :</w:t>
      </w:r>
      <w:r>
        <w:t xml:space="preserve"> </w:t>
      </w:r>
      <w:r>
        <w:t xml:space="preserve">Criteres d’evaluation des accords de representation —</w:t>
      </w:r>
      <w:r>
        <w:t xml:space="preserve"> </w:t>
      </w:r>
      <w:r>
        <w:rPr>
          <w:i/>
          <w:iCs/>
        </w:rPr>
        <w:t xml:space="preserve">a rediger</w:t>
      </w:r>
    </w:p>
    <w:p>
      <w:r>
        <w:pict>
          <v:rect style="width:0;height:1.5pt" o:hralign="center" o:hrstd="t" o:hr="t"/>
        </w:pict>
      </w:r>
    </w:p>
    <w:bookmarkEnd w:id="53"/>
    <w:bookmarkStart w:id="57" w:name="X82c565eb8e3ef09a10114b4311d4b8efeed5d8c"/>
    <w:p>
      <w:pPr>
        <w:pStyle w:val="Heading2"/>
      </w:pPr>
      <w:r>
        <w:t xml:space="preserve">ANNEXE 3 — IDENTIFICATION ET PARTICIPATION DES FONDATEURS</w:t>
      </w:r>
    </w:p>
    <w:p>
      <w:pPr>
        <w:pStyle w:val="FirstParagraph"/>
      </w:pPr>
      <w:r>
        <w:rPr>
          <w:i/>
          <w:iCs/>
        </w:rPr>
        <w:t xml:space="preserve">(Annexe au Pacte d’Actionnaires Fondateurs VETALYX — 31 mai 2026)</w:t>
      </w:r>
    </w:p>
    <w:bookmarkStart w:id="54" w:name="identification-des-fondateurs"/>
    <w:p>
      <w:pPr>
        <w:pStyle w:val="Heading3"/>
      </w:pPr>
      <w:r>
        <w:t xml:space="preserve">Identification des Fondateurs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Nom</w:t>
            </w:r>
          </w:p>
        </w:tc>
        <w:tc>
          <w:tcPr/>
          <w:p>
            <w:pPr>
              <w:pStyle w:val="Compact"/>
            </w:pPr>
            <w:r>
              <w:t xml:space="preserve">Prenom</w:t>
            </w:r>
          </w:p>
        </w:tc>
        <w:tc>
          <w:tcPr/>
          <w:p>
            <w:pPr>
              <w:pStyle w:val="Compact"/>
            </w:pPr>
            <w:r>
              <w:t xml:space="preserve">Participation</w:t>
            </w:r>
          </w:p>
        </w:tc>
        <w:tc>
          <w:tcPr/>
          <w:p>
            <w:pPr>
              <w:pStyle w:val="Compact"/>
            </w:pPr>
            <w:r>
              <w:t xml:space="preserve">Parts sociales</w:t>
            </w:r>
          </w:p>
        </w:tc>
        <w:tc>
          <w:tcPr/>
          <w:p>
            <w:pPr>
              <w:pStyle w:val="Compact"/>
            </w:pPr>
            <w:r>
              <w:t xml:space="preserve">Valeur nominale</w:t>
            </w:r>
          </w:p>
        </w:tc>
      </w:tr>
      <w:tr>
        <w:tc>
          <w:tcPr/>
          <w:p>
            <w:pPr>
              <w:pStyle w:val="Compact"/>
            </w:pPr>
            <w:r>
              <w:t xml:space="preserve">A</w:t>
            </w:r>
          </w:p>
        </w:tc>
        <w:tc>
          <w:tcPr/>
          <w:p>
            <w:pPr>
              <w:pStyle w:val="Compact"/>
            </w:pPr>
            <w:r>
              <w:t xml:space="preserve">BOSSELOIR</w:t>
            </w:r>
          </w:p>
        </w:tc>
        <w:tc>
          <w:tcPr/>
          <w:p>
            <w:pPr>
              <w:pStyle w:val="Compact"/>
            </w:pPr>
            <w:r>
              <w:t xml:space="preserve">Alain</w:t>
            </w:r>
          </w:p>
        </w:tc>
        <w:tc>
          <w:tcPr/>
          <w:p>
            <w:pPr>
              <w:pStyle w:val="Compact"/>
            </w:pPr>
            <w:r>
              <w:t xml:space="preserve">25 %</w:t>
            </w:r>
          </w:p>
        </w:tc>
        <w:tc>
          <w:tcPr/>
          <w:p>
            <w:pPr>
              <w:pStyle w:val="Compact"/>
            </w:pPr>
            <w:r>
              <w:t xml:space="preserve">1 000 parts</w:t>
            </w:r>
          </w:p>
        </w:tc>
        <w:tc>
          <w:tcPr/>
          <w:p>
            <w:pPr>
              <w:pStyle w:val="Compact"/>
            </w:pPr>
            <w:r>
              <w:t xml:space="preserve">1 000 EUR</w:t>
            </w:r>
          </w:p>
        </w:tc>
      </w:tr>
      <w:tr>
        <w:tc>
          <w:tcPr/>
          <w:p>
            <w:pPr>
              <w:pStyle w:val="Compact"/>
            </w:pPr>
            <w:r>
              <w:t xml:space="preserve">B</w:t>
            </w:r>
          </w:p>
        </w:tc>
        <w:tc>
          <w:tcPr/>
          <w:p>
            <w:pPr>
              <w:pStyle w:val="Compact"/>
            </w:pPr>
            <w:r>
              <w:t xml:space="preserve">HAVAUX</w:t>
            </w:r>
          </w:p>
        </w:tc>
        <w:tc>
          <w:tcPr/>
          <w:p>
            <w:pPr>
              <w:pStyle w:val="Compact"/>
            </w:pPr>
            <w:r>
              <w:t xml:space="preserve">Jean-Claude</w:t>
            </w:r>
          </w:p>
        </w:tc>
        <w:tc>
          <w:tcPr/>
          <w:p>
            <w:pPr>
              <w:pStyle w:val="Compact"/>
            </w:pPr>
            <w:r>
              <w:t xml:space="preserve">25 %</w:t>
            </w:r>
          </w:p>
        </w:tc>
        <w:tc>
          <w:tcPr/>
          <w:p>
            <w:pPr>
              <w:pStyle w:val="Compact"/>
            </w:pPr>
            <w:r>
              <w:t xml:space="preserve">1 000 parts</w:t>
            </w:r>
          </w:p>
        </w:tc>
        <w:tc>
          <w:tcPr/>
          <w:p>
            <w:pPr>
              <w:pStyle w:val="Compact"/>
            </w:pPr>
            <w:r>
              <w:t xml:space="preserve">1 000 EUR</w:t>
            </w:r>
          </w:p>
        </w:tc>
      </w:tr>
      <w:tr>
        <w:tc>
          <w:tcPr/>
          <w:p>
            <w:pPr>
              <w:pStyle w:val="Compact"/>
            </w:pPr>
            <w:r>
              <w:t xml:space="preserve">C</w:t>
            </w:r>
          </w:p>
        </w:tc>
        <w:tc>
          <w:tcPr/>
          <w:p>
            <w:pPr>
              <w:pStyle w:val="Compact"/>
            </w:pPr>
            <w:r>
              <w:t xml:space="preserve">QI</w:t>
            </w:r>
          </w:p>
        </w:tc>
        <w:tc>
          <w:tcPr/>
          <w:p>
            <w:pPr>
              <w:pStyle w:val="Compact"/>
            </w:pPr>
            <w:r>
              <w:t xml:space="preserve">Peiwen</w:t>
            </w:r>
          </w:p>
        </w:tc>
        <w:tc>
          <w:tcPr/>
          <w:p>
            <w:pPr>
              <w:pStyle w:val="Compact"/>
            </w:pPr>
            <w:r>
              <w:t xml:space="preserve">25 %</w:t>
            </w:r>
          </w:p>
        </w:tc>
        <w:tc>
          <w:tcPr/>
          <w:p>
            <w:pPr>
              <w:pStyle w:val="Compact"/>
            </w:pPr>
            <w:r>
              <w:t xml:space="preserve">1 000 parts</w:t>
            </w:r>
          </w:p>
        </w:tc>
        <w:tc>
          <w:tcPr/>
          <w:p>
            <w:pPr>
              <w:pStyle w:val="Compact"/>
            </w:pPr>
            <w:r>
              <w:t xml:space="preserve">1 000 EUR</w:t>
            </w:r>
          </w:p>
        </w:tc>
      </w:tr>
      <w:tr>
        <w:tc>
          <w:tcPr/>
          <w:p>
            <w:pPr>
              <w:pStyle w:val="Compact"/>
            </w:pPr>
            <w:r>
              <w:t xml:space="preserve">D</w:t>
            </w:r>
          </w:p>
        </w:tc>
        <w:tc>
          <w:tcPr/>
          <w:p>
            <w:pPr>
              <w:pStyle w:val="Compact"/>
            </w:pPr>
            <w:r>
              <w:t xml:space="preserve">NOURY</w:t>
            </w:r>
          </w:p>
        </w:tc>
        <w:tc>
          <w:tcPr/>
          <w:p>
            <w:pPr>
              <w:pStyle w:val="Compact"/>
            </w:pPr>
            <w:r>
              <w:t xml:space="preserve">Jacques</w:t>
            </w:r>
          </w:p>
        </w:tc>
        <w:tc>
          <w:tcPr/>
          <w:p>
            <w:pPr>
              <w:pStyle w:val="Compact"/>
            </w:pPr>
            <w:r>
              <w:t xml:space="preserve">25 %</w:t>
            </w:r>
          </w:p>
        </w:tc>
        <w:tc>
          <w:tcPr/>
          <w:p>
            <w:pPr>
              <w:pStyle w:val="Compact"/>
            </w:pPr>
            <w:r>
              <w:t xml:space="preserve">1 000 parts</w:t>
            </w:r>
          </w:p>
        </w:tc>
        <w:tc>
          <w:tcPr/>
          <w:p>
            <w:pPr>
              <w:pStyle w:val="Compact"/>
            </w:pPr>
            <w:r>
              <w:t xml:space="preserve">1 000 EUR</w:t>
            </w:r>
          </w:p>
        </w:tc>
      </w:tr>
    </w:tbl>
    <w:p>
      <w:pPr>
        <w:pStyle w:val="BodyText"/>
      </w:pPr>
      <w:r>
        <w:rPr>
          <w:b/>
          <w:bCs/>
        </w:rPr>
        <w:t xml:space="preserve">Capital social total : 4 000 EUR — 4 000 parts sociales a 1 EUR de valeur nominale chacune, integralement souscrites et liberees.</w:t>
      </w:r>
    </w:p>
    <w:p>
      <w:pPr>
        <w:pStyle w:val="BodyText"/>
      </w:pPr>
      <w:r>
        <w:t xml:space="preserve">Les quatre Fondateurs detiennent a parts strictement egales l’integralite du capital social de la Societe a la date de signature du present Pacte.</w:t>
      </w:r>
    </w:p>
    <w:bookmarkEnd w:id="54"/>
    <w:bookmarkStart w:id="55" w:name="roles-operationnels"/>
    <w:p>
      <w:pPr>
        <w:pStyle w:val="Heading3"/>
      </w:pPr>
      <w:r>
        <w:t xml:space="preserve">Roles operationnels</w:t>
      </w:r>
    </w:p>
    <w:p>
      <w:pPr>
        <w:pStyle w:val="FirstParagraph"/>
      </w:pPr>
      <w:r>
        <w:t xml:space="preserve">Les Fondateurs conviennent qu’aucun role operationnel formel n’est attribue a ce stade. Les responsabilites de gestion courante sont exercees collegialement sous l’autorite de l’administrateur designe conformement a l’article 3 du Pacte.</w:t>
      </w:r>
    </w:p>
    <w:p>
      <w:pPr>
        <w:pStyle w:val="BodyText"/>
      </w:pPr>
      <w:r>
        <w:t xml:space="preserve">Toute attribution de role specifique a un Fondateur fera l’objet d’un avenant a la presente Annexe, signe a la majorite des 3/4 du Comite des Fondateurs.</w:t>
      </w:r>
    </w:p>
    <w:bookmarkEnd w:id="55"/>
    <w:bookmarkStart w:id="56" w:name="implication-minimale"/>
    <w:p>
      <w:pPr>
        <w:pStyle w:val="Heading3"/>
      </w:pPr>
      <w:r>
        <w:t xml:space="preserve">Implication minimale</w:t>
      </w:r>
    </w:p>
    <w:p>
      <w:pPr>
        <w:pStyle w:val="FirstParagraph"/>
      </w:pPr>
      <w:r>
        <w:t xml:space="preserve">Chaque Fondateur s’engage a :</w:t>
      </w:r>
    </w:p>
    <w:p>
      <w:pPr>
        <w:pStyle w:val="Compact"/>
        <w:numPr>
          <w:ilvl w:val="0"/>
          <w:numId w:val="1015"/>
        </w:numPr>
      </w:pPr>
      <w:r>
        <w:t xml:space="preserve">Participer aux reunions du Comite des Fondateurs (au minimum 3 reunions sur 4 par an)</w:t>
      </w:r>
    </w:p>
    <w:p>
      <w:pPr>
        <w:pStyle w:val="Compact"/>
        <w:numPr>
          <w:ilvl w:val="0"/>
          <w:numId w:val="1015"/>
        </w:numPr>
      </w:pPr>
      <w:r>
        <w:t xml:space="preserve">Repondre aux sollicitations des co-fondateurs dans un delai de cinq (5) jours ouvres</w:t>
      </w:r>
    </w:p>
    <w:p>
      <w:pPr>
        <w:pStyle w:val="Compact"/>
        <w:numPr>
          <w:ilvl w:val="0"/>
          <w:numId w:val="1015"/>
        </w:numPr>
      </w:pPr>
      <w:r>
        <w:t xml:space="preserve">Ne pas exercer d’activite professionnelle principale incompatible avec les interets de la Societe sans en informer prealablement le Comite</w:t>
      </w:r>
    </w:p>
    <w:p>
      <w:pPr>
        <w:pStyle w:val="FirstParagraph"/>
      </w:pPr>
      <w:r>
        <w:t xml:space="preserve">Toute absence injustifiee a plus d’une reunion consecutive du Comite declenche une concertation interne selon la procedure de l’article 20.</w:t>
      </w:r>
    </w:p>
    <w:p>
      <w:r>
        <w:pict>
          <v:rect style="width:0;height:1.5pt" o:hralign="center" o:hrstd="t" o:hr="t"/>
        </w:pict>
      </w:r>
    </w:p>
    <w:p>
      <w:pPr>
        <w:pStyle w:val="FirstParagraph"/>
      </w:pPr>
      <w:r>
        <w:rPr>
          <w:i/>
          <w:iCs/>
        </w:rPr>
        <w:t xml:space="preserve">Fait en quatre exemplaires, a _____________, le ___ _________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Fondateur</w:t>
            </w:r>
          </w:p>
        </w:tc>
        <w:tc>
          <w:tcPr/>
          <w:p>
            <w:pPr>
              <w:pStyle w:val="Compact"/>
            </w:pPr>
            <w:r>
              <w:t xml:space="preserve">Signature</w:t>
            </w:r>
          </w:p>
        </w:tc>
        <w:tc>
          <w:tcPr/>
          <w:p>
            <w:pPr>
              <w:pStyle w:val="Compact"/>
            </w:pPr>
            <w:r>
              <w:t xml:space="preserve">Date</w:t>
            </w:r>
          </w:p>
        </w:tc>
      </w:tr>
      <w:tr>
        <w:tc>
          <w:tcPr/>
          <w:p>
            <w:pPr>
              <w:pStyle w:val="Compact"/>
            </w:pPr>
            <w:r>
              <w:t xml:space="preserve">Alain BOSSELOIR</w:t>
            </w:r>
          </w:p>
        </w:tc>
        <w:tc>
          <w:tcPr/>
          <w:p>
            <w:pPr>
              <w:pStyle w:val="Compact"/>
            </w:pPr>
          </w:p>
        </w:tc>
        <w:tc>
          <w:tcPr/>
          <w:p>
            <w:pPr>
              <w:pStyle w:val="Compact"/>
            </w:pPr>
          </w:p>
        </w:tc>
      </w:tr>
      <w:tr>
        <w:tc>
          <w:tcPr/>
          <w:p>
            <w:pPr>
              <w:pStyle w:val="Compact"/>
            </w:pPr>
            <w:r>
              <w:t xml:space="preserve">Jean-Claude HAVAUX</w:t>
            </w:r>
          </w:p>
        </w:tc>
        <w:tc>
          <w:tcPr/>
          <w:p>
            <w:pPr>
              <w:pStyle w:val="Compact"/>
            </w:pPr>
          </w:p>
        </w:tc>
        <w:tc>
          <w:tcPr/>
          <w:p>
            <w:pPr>
              <w:pStyle w:val="Compact"/>
            </w:pPr>
          </w:p>
        </w:tc>
      </w:tr>
      <w:tr>
        <w:tc>
          <w:tcPr/>
          <w:p>
            <w:pPr>
              <w:pStyle w:val="Compact"/>
            </w:pPr>
            <w:r>
              <w:t xml:space="preserve">Peiwen QI</w:t>
            </w:r>
          </w:p>
        </w:tc>
        <w:tc>
          <w:tcPr/>
          <w:p>
            <w:pPr>
              <w:pStyle w:val="Compact"/>
            </w:pPr>
          </w:p>
        </w:tc>
        <w:tc>
          <w:tcPr/>
          <w:p>
            <w:pPr>
              <w:pStyle w:val="Compact"/>
            </w:pPr>
          </w:p>
        </w:tc>
      </w:tr>
      <w:tr>
        <w:tc>
          <w:tcPr/>
          <w:p>
            <w:pPr>
              <w:pStyle w:val="Compact"/>
            </w:pPr>
            <w:r>
              <w:t xml:space="preserve">Jacques NOURY</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 Fin du document —</w:t>
      </w:r>
    </w:p>
    <w:p>
      <w:r>
        <w:pict>
          <v:rect style="width:0;height:1.5pt" o:hralign="center" o:hrstd="t" o:hr="t"/>
        </w:pict>
      </w:r>
    </w:p>
    <w:p>
      <w:pPr>
        <w:pStyle w:val="BlockText"/>
      </w:pPr>
      <w:r>
        <w:rPr>
          <w:b/>
          <w:bCs/>
        </w:rPr>
        <w:t xml:space="preserve">Note [[Renard]] — Champs restants avant finalisation</w:t>
      </w:r>
    </w:p>
    <w:p>
      <w:pPr>
        <w:pStyle w:val="Compact"/>
        <w:numPr>
          <w:ilvl w:val="0"/>
          <w:numId w:val="1016"/>
        </w:numPr>
      </w:pPr>
      <w:r>
        <w:t xml:space="preserve">Adresse du siege social (preambule, Art. 30 et page de signature)</w:t>
      </w:r>
    </w:p>
    <w:p>
      <w:pPr>
        <w:pStyle w:val="Compact"/>
        <w:numPr>
          <w:ilvl w:val="0"/>
          <w:numId w:val="1016"/>
        </w:numPr>
      </w:pPr>
      <w:r>
        <w:t xml:space="preserve">Numero BCE (preambule)</w:t>
      </w:r>
    </w:p>
    <w:p>
      <w:pPr>
        <w:pStyle w:val="Compact"/>
        <w:numPr>
          <w:ilvl w:val="0"/>
          <w:numId w:val="1016"/>
        </w:numPr>
      </w:pPr>
      <w:r>
        <w:t xml:space="preserve">Lieu de signature (page de signature + Annexe 3)</w:t>
      </w:r>
    </w:p>
    <w:p>
      <w:pPr>
        <w:pStyle w:val="Compact"/>
        <w:numPr>
          <w:ilvl w:val="0"/>
          <w:numId w:val="1016"/>
        </w:numPr>
      </w:pPr>
      <w:r>
        <w:t xml:space="preserve">Administrateur pressenti (Art. 3)</w:t>
      </w:r>
    </w:p>
    <w:p>
      <w:pPr>
        <w:pStyle w:val="Compact"/>
        <w:numPr>
          <w:ilvl w:val="0"/>
          <w:numId w:val="1016"/>
        </w:numPr>
      </w:pPr>
      <w:r>
        <w:t xml:space="preserve">Annexes 2, 4, 5, 6 a rediger</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2026-05-31T12:40:09Z</dcterms:created>
  <dcterms:modified xsi:type="dcterms:W3CDTF">2026-05-31T12:40:09Z</dcterms:modified>
</cp:coreProperties>
</file>

<file path=docProps/custom.xml><?xml version="1.0" encoding="utf-8"?>
<Properties xmlns="http://schemas.openxmlformats.org/officeDocument/2006/custom-properties" xmlns:vt="http://schemas.openxmlformats.org/officeDocument/2006/docPropsVTypes"/>
</file>